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87AF" w14:textId="77777777" w:rsidR="0043112C" w:rsidRPr="0067016D" w:rsidRDefault="0043112C" w:rsidP="0043112C">
      <w:pPr>
        <w:jc w:val="center"/>
        <w:rPr>
          <w:rFonts w:ascii="Arial" w:eastAsia="Times New Roman" w:hAnsi="Arial" w:cs="Arial"/>
          <w:b/>
          <w:sz w:val="24"/>
          <w:szCs w:val="20"/>
        </w:rPr>
      </w:pPr>
      <w:r w:rsidRPr="0067016D">
        <w:rPr>
          <w:rFonts w:ascii="Arial" w:eastAsia="Times New Roman" w:hAnsi="Arial" w:cs="Arial"/>
          <w:b/>
          <w:sz w:val="24"/>
          <w:szCs w:val="20"/>
        </w:rPr>
        <w:t>Cahier des charges</w:t>
      </w:r>
    </w:p>
    <w:p w14:paraId="2E73314C" w14:textId="77777777" w:rsidR="0043112C" w:rsidRPr="0067016D" w:rsidRDefault="0043112C" w:rsidP="0043112C">
      <w:pPr>
        <w:jc w:val="center"/>
        <w:rPr>
          <w:rFonts w:ascii="Arial" w:eastAsia="Times New Roman" w:hAnsi="Arial" w:cs="Arial"/>
          <w:b/>
          <w:sz w:val="20"/>
          <w:szCs w:val="20"/>
        </w:rPr>
      </w:pPr>
    </w:p>
    <w:tbl>
      <w:tblPr>
        <w:tblStyle w:val="Grilledutableau"/>
        <w:tblW w:w="0" w:type="auto"/>
        <w:tblLook w:val="04A0" w:firstRow="1" w:lastRow="0" w:firstColumn="1" w:lastColumn="0" w:noHBand="0" w:noVBand="1"/>
      </w:tblPr>
      <w:tblGrid>
        <w:gridCol w:w="2862"/>
        <w:gridCol w:w="5974"/>
      </w:tblGrid>
      <w:tr w:rsidR="0043112C" w:rsidRPr="0067016D" w14:paraId="76AC96C4" w14:textId="77777777" w:rsidTr="007420EC">
        <w:tc>
          <w:tcPr>
            <w:tcW w:w="2862" w:type="dxa"/>
          </w:tcPr>
          <w:p w14:paraId="1436F998" w14:textId="77777777" w:rsidR="0043112C" w:rsidRPr="0067016D" w:rsidRDefault="0043112C" w:rsidP="007420EC">
            <w:pPr>
              <w:rPr>
                <w:rFonts w:ascii="Arial" w:eastAsia="Times New Roman" w:hAnsi="Arial" w:cs="Arial"/>
                <w:b/>
                <w:sz w:val="20"/>
                <w:szCs w:val="20"/>
              </w:rPr>
            </w:pPr>
            <w:r>
              <w:rPr>
                <w:rFonts w:ascii="Arial" w:eastAsia="Times New Roman" w:hAnsi="Arial" w:cs="Arial"/>
                <w:sz w:val="20"/>
                <w:szCs w:val="20"/>
              </w:rPr>
              <w:t>Intitulé de la mission</w:t>
            </w:r>
          </w:p>
        </w:tc>
        <w:tc>
          <w:tcPr>
            <w:tcW w:w="5974" w:type="dxa"/>
          </w:tcPr>
          <w:p w14:paraId="1C11EC8D" w14:textId="77777777" w:rsidR="0043112C" w:rsidRPr="00A834ED" w:rsidRDefault="0043112C" w:rsidP="007420EC">
            <w:pPr>
              <w:jc w:val="both"/>
              <w:rPr>
                <w:rFonts w:ascii="Arial" w:eastAsia="Times New Roman" w:hAnsi="Arial" w:cs="Arial"/>
                <w:sz w:val="16"/>
                <w:szCs w:val="20"/>
              </w:rPr>
            </w:pPr>
            <w:r>
              <w:rPr>
                <w:rFonts w:ascii="Arial" w:eastAsia="Times New Roman" w:hAnsi="Arial" w:cs="Arial"/>
                <w:sz w:val="16"/>
                <w:szCs w:val="20"/>
              </w:rPr>
              <w:t>RENFORCEMENT DES CAPACITES DE L’EQUIPE CEED EN MATIERE DE TRANSITION ECOLOGIQUE ET HARMONISATION DES OUTILS DE PILOTAGE DE PROGRAMMES VERTS</w:t>
            </w:r>
          </w:p>
        </w:tc>
      </w:tr>
      <w:tr w:rsidR="0043112C" w:rsidRPr="0067016D" w14:paraId="2B492764" w14:textId="77777777" w:rsidTr="007420EC">
        <w:tc>
          <w:tcPr>
            <w:tcW w:w="2862" w:type="dxa"/>
          </w:tcPr>
          <w:p w14:paraId="5620CA39" w14:textId="77777777" w:rsidR="0043112C" w:rsidRPr="0067016D" w:rsidRDefault="0043112C" w:rsidP="007420EC">
            <w:pPr>
              <w:rPr>
                <w:rFonts w:ascii="Arial" w:eastAsia="Times New Roman" w:hAnsi="Arial" w:cs="Arial"/>
                <w:sz w:val="20"/>
                <w:szCs w:val="20"/>
              </w:rPr>
            </w:pPr>
            <w:r>
              <w:rPr>
                <w:rFonts w:ascii="Arial" w:eastAsia="Times New Roman" w:hAnsi="Arial" w:cs="Arial"/>
                <w:sz w:val="20"/>
                <w:szCs w:val="20"/>
              </w:rPr>
              <w:t>Composante </w:t>
            </w:r>
          </w:p>
        </w:tc>
        <w:tc>
          <w:tcPr>
            <w:tcW w:w="5974" w:type="dxa"/>
          </w:tcPr>
          <w:p w14:paraId="42FAD1A3" w14:textId="77777777" w:rsidR="0043112C" w:rsidRPr="00A834ED" w:rsidRDefault="0043112C" w:rsidP="007420EC">
            <w:pPr>
              <w:jc w:val="both"/>
              <w:rPr>
                <w:rFonts w:ascii="Arial" w:eastAsia="Times New Roman" w:hAnsi="Arial" w:cs="Arial"/>
                <w:sz w:val="16"/>
                <w:szCs w:val="20"/>
              </w:rPr>
            </w:pPr>
            <w:r w:rsidRPr="00A834ED">
              <w:rPr>
                <w:rFonts w:ascii="Arial" w:eastAsia="Times New Roman" w:hAnsi="Arial" w:cs="Arial"/>
                <w:sz w:val="16"/>
                <w:szCs w:val="20"/>
              </w:rPr>
              <w:t>COMPOSANTE 1</w:t>
            </w:r>
            <w:r>
              <w:rPr>
                <w:rFonts w:ascii="Arial" w:eastAsia="Times New Roman" w:hAnsi="Arial" w:cs="Arial"/>
                <w:sz w:val="16"/>
                <w:szCs w:val="20"/>
              </w:rPr>
              <w:t xml:space="preserve"> (Activité 2)</w:t>
            </w:r>
          </w:p>
        </w:tc>
      </w:tr>
      <w:tr w:rsidR="0043112C" w:rsidRPr="0067016D" w14:paraId="416F3D9B" w14:textId="77777777" w:rsidTr="007420EC">
        <w:tc>
          <w:tcPr>
            <w:tcW w:w="2862" w:type="dxa"/>
          </w:tcPr>
          <w:p w14:paraId="3079049D" w14:textId="77777777" w:rsidR="0043112C" w:rsidRPr="0067016D" w:rsidRDefault="0043112C" w:rsidP="007420EC">
            <w:pPr>
              <w:rPr>
                <w:rFonts w:ascii="Arial" w:eastAsia="Times New Roman" w:hAnsi="Arial" w:cs="Arial"/>
                <w:sz w:val="20"/>
                <w:szCs w:val="20"/>
              </w:rPr>
            </w:pPr>
            <w:r w:rsidRPr="0067016D">
              <w:rPr>
                <w:rFonts w:ascii="Arial" w:eastAsia="Times New Roman" w:hAnsi="Arial" w:cs="Arial"/>
                <w:sz w:val="20"/>
                <w:szCs w:val="20"/>
              </w:rPr>
              <w:t xml:space="preserve">Dates indicatives  </w:t>
            </w:r>
          </w:p>
        </w:tc>
        <w:tc>
          <w:tcPr>
            <w:tcW w:w="5974" w:type="dxa"/>
          </w:tcPr>
          <w:p w14:paraId="2DB2DA58" w14:textId="6CFA31CA" w:rsidR="0043112C" w:rsidRPr="00A834ED" w:rsidRDefault="005E5E97" w:rsidP="007420EC">
            <w:pPr>
              <w:jc w:val="both"/>
              <w:rPr>
                <w:rFonts w:ascii="Arial" w:eastAsia="Times New Roman" w:hAnsi="Arial" w:cs="Arial"/>
                <w:sz w:val="16"/>
                <w:szCs w:val="20"/>
              </w:rPr>
            </w:pPr>
            <w:r>
              <w:rPr>
                <w:rFonts w:ascii="Arial" w:eastAsia="Times New Roman" w:hAnsi="Arial" w:cs="Arial"/>
                <w:sz w:val="16"/>
                <w:szCs w:val="20"/>
              </w:rPr>
              <w:t>Septembre</w:t>
            </w:r>
            <w:r w:rsidR="0043112C">
              <w:rPr>
                <w:rFonts w:ascii="Arial" w:eastAsia="Times New Roman" w:hAnsi="Arial" w:cs="Arial"/>
                <w:sz w:val="16"/>
                <w:szCs w:val="20"/>
              </w:rPr>
              <w:t xml:space="preserve"> 2026 – NOVEMBRE 2026 </w:t>
            </w:r>
          </w:p>
        </w:tc>
      </w:tr>
      <w:tr w:rsidR="0043112C" w:rsidRPr="0067016D" w14:paraId="52D7A382" w14:textId="77777777" w:rsidTr="007420EC">
        <w:tc>
          <w:tcPr>
            <w:tcW w:w="2862" w:type="dxa"/>
          </w:tcPr>
          <w:p w14:paraId="639B42C4" w14:textId="77777777" w:rsidR="0043112C" w:rsidRPr="0067016D" w:rsidRDefault="0043112C" w:rsidP="007420EC">
            <w:pPr>
              <w:rPr>
                <w:rFonts w:ascii="Arial" w:eastAsia="Times New Roman" w:hAnsi="Arial" w:cs="Arial"/>
                <w:sz w:val="20"/>
                <w:szCs w:val="20"/>
              </w:rPr>
            </w:pPr>
            <w:r>
              <w:rPr>
                <w:rFonts w:ascii="Arial" w:eastAsia="Times New Roman" w:hAnsi="Arial" w:cs="Arial"/>
                <w:sz w:val="20"/>
                <w:szCs w:val="20"/>
              </w:rPr>
              <w:t>Budget indicatif</w:t>
            </w:r>
          </w:p>
        </w:tc>
        <w:tc>
          <w:tcPr>
            <w:tcW w:w="5974" w:type="dxa"/>
          </w:tcPr>
          <w:p w14:paraId="565D42C7" w14:textId="06CAD789" w:rsidR="0043112C" w:rsidRPr="00A834ED" w:rsidRDefault="00460CD1" w:rsidP="0043112C">
            <w:pPr>
              <w:jc w:val="both"/>
              <w:rPr>
                <w:rFonts w:ascii="Arial" w:eastAsia="Times New Roman" w:hAnsi="Arial" w:cs="Arial"/>
                <w:sz w:val="16"/>
                <w:szCs w:val="20"/>
              </w:rPr>
            </w:pPr>
            <w:r>
              <w:rPr>
                <w:rFonts w:ascii="Arial" w:eastAsia="Times New Roman" w:hAnsi="Arial" w:cs="Arial"/>
                <w:sz w:val="16"/>
                <w:szCs w:val="20"/>
              </w:rPr>
              <w:t>6 à 10 JH (</w:t>
            </w:r>
            <w:r w:rsidR="0043112C">
              <w:rPr>
                <w:rFonts w:ascii="Arial" w:eastAsia="Times New Roman" w:hAnsi="Arial" w:cs="Arial"/>
                <w:sz w:val="16"/>
                <w:szCs w:val="20"/>
              </w:rPr>
              <w:t>le budget doit inclure également tous les frais liés au déploiement de la mission – frais de d</w:t>
            </w:r>
            <w:r w:rsidR="001D786E">
              <w:rPr>
                <w:rFonts w:ascii="Arial" w:eastAsia="Times New Roman" w:hAnsi="Arial" w:cs="Arial"/>
                <w:sz w:val="16"/>
                <w:szCs w:val="20"/>
              </w:rPr>
              <w:t>éplacement, hébergement</w:t>
            </w:r>
            <w:r w:rsidR="0043112C">
              <w:rPr>
                <w:rFonts w:ascii="Arial" w:eastAsia="Times New Roman" w:hAnsi="Arial" w:cs="Arial"/>
                <w:sz w:val="16"/>
                <w:szCs w:val="20"/>
              </w:rPr>
              <w:t xml:space="preserve"> éventuels)</w:t>
            </w:r>
          </w:p>
        </w:tc>
      </w:tr>
      <w:tr w:rsidR="0043112C" w:rsidRPr="0067016D" w14:paraId="00C5132C" w14:textId="77777777" w:rsidTr="007420EC">
        <w:tc>
          <w:tcPr>
            <w:tcW w:w="2862" w:type="dxa"/>
          </w:tcPr>
          <w:p w14:paraId="35A89C8D" w14:textId="77777777" w:rsidR="0043112C" w:rsidRPr="0067016D" w:rsidRDefault="0043112C" w:rsidP="007420EC">
            <w:pPr>
              <w:rPr>
                <w:rFonts w:ascii="Arial" w:eastAsia="Times New Roman" w:hAnsi="Arial" w:cs="Arial"/>
                <w:sz w:val="20"/>
                <w:szCs w:val="20"/>
              </w:rPr>
            </w:pPr>
            <w:r w:rsidRPr="0067016D">
              <w:rPr>
                <w:rFonts w:ascii="Arial" w:eastAsia="Times New Roman" w:hAnsi="Arial" w:cs="Arial"/>
                <w:sz w:val="20"/>
                <w:szCs w:val="20"/>
              </w:rPr>
              <w:t xml:space="preserve">Type d’expertise </w:t>
            </w:r>
          </w:p>
        </w:tc>
        <w:tc>
          <w:tcPr>
            <w:tcW w:w="5974" w:type="dxa"/>
          </w:tcPr>
          <w:p w14:paraId="208A9D66" w14:textId="77777777" w:rsidR="0043112C" w:rsidRPr="0067016D" w:rsidRDefault="0043112C" w:rsidP="007420EC">
            <w:pPr>
              <w:jc w:val="both"/>
              <w:rPr>
                <w:rFonts w:ascii="Arial" w:eastAsia="Times New Roman" w:hAnsi="Arial" w:cs="Arial"/>
                <w:sz w:val="16"/>
                <w:szCs w:val="20"/>
              </w:rPr>
            </w:pPr>
            <w:r w:rsidRPr="0067016D">
              <w:rPr>
                <w:rFonts w:ascii="Arial" w:eastAsia="Times New Roman" w:hAnsi="Arial" w:cs="Arial"/>
                <w:sz w:val="16"/>
                <w:szCs w:val="20"/>
              </w:rPr>
              <w:t xml:space="preserve">EXPERTISE </w:t>
            </w:r>
            <w:r>
              <w:rPr>
                <w:rFonts w:ascii="Arial" w:eastAsia="Times New Roman" w:hAnsi="Arial" w:cs="Arial"/>
                <w:sz w:val="16"/>
                <w:szCs w:val="20"/>
              </w:rPr>
              <w:t xml:space="preserve">NATIONALE OU </w:t>
            </w:r>
            <w:r w:rsidRPr="0067016D">
              <w:rPr>
                <w:rFonts w:ascii="Arial" w:eastAsia="Times New Roman" w:hAnsi="Arial" w:cs="Arial"/>
                <w:sz w:val="16"/>
                <w:szCs w:val="20"/>
              </w:rPr>
              <w:t xml:space="preserve">INTERNATIONALE </w:t>
            </w:r>
          </w:p>
        </w:tc>
      </w:tr>
    </w:tbl>
    <w:p w14:paraId="237D2C8B" w14:textId="77777777" w:rsidR="0043112C" w:rsidRPr="0067016D" w:rsidRDefault="0043112C" w:rsidP="0043112C">
      <w:pPr>
        <w:rPr>
          <w:rFonts w:ascii="Arial" w:eastAsia="Times New Roman" w:hAnsi="Arial" w:cs="Arial"/>
          <w:b/>
          <w:sz w:val="20"/>
          <w:szCs w:val="20"/>
        </w:rPr>
      </w:pPr>
    </w:p>
    <w:p w14:paraId="142294C3" w14:textId="77777777" w:rsidR="0043112C" w:rsidRPr="00B5710B" w:rsidRDefault="0043112C" w:rsidP="0043112C">
      <w:pPr>
        <w:pStyle w:val="Paragraphedeliste"/>
        <w:numPr>
          <w:ilvl w:val="0"/>
          <w:numId w:val="4"/>
        </w:numPr>
        <w:rPr>
          <w:rFonts w:ascii="Arial" w:eastAsia="Times New Roman" w:hAnsi="Arial" w:cs="Arial"/>
          <w:b/>
          <w:color w:val="009CA6"/>
        </w:rPr>
      </w:pPr>
      <w:r w:rsidRPr="00433B7A">
        <w:rPr>
          <w:rFonts w:ascii="Arial" w:eastAsia="Times New Roman" w:hAnsi="Arial" w:cs="Arial"/>
          <w:b/>
          <w:color w:val="009CA6"/>
        </w:rPr>
        <w:t xml:space="preserve">Présentation du projet </w:t>
      </w:r>
      <w:proofErr w:type="spellStart"/>
      <w:r w:rsidRPr="00433B7A">
        <w:rPr>
          <w:rFonts w:ascii="Arial" w:eastAsia="Times New Roman" w:hAnsi="Arial" w:cs="Arial"/>
          <w:b/>
          <w:color w:val="009CA6"/>
        </w:rPr>
        <w:t>Greenov’i</w:t>
      </w:r>
      <w:proofErr w:type="spellEnd"/>
      <w:r w:rsidRPr="00433B7A">
        <w:rPr>
          <w:rFonts w:ascii="Arial" w:eastAsia="Times New Roman" w:hAnsi="Arial" w:cs="Arial"/>
          <w:b/>
          <w:color w:val="009CA6"/>
        </w:rPr>
        <w:t xml:space="preserve"> </w:t>
      </w:r>
    </w:p>
    <w:p w14:paraId="0DB1A7AA" w14:textId="77777777" w:rsidR="0043112C" w:rsidRPr="0067016D" w:rsidRDefault="0043112C" w:rsidP="0043112C">
      <w:pPr>
        <w:jc w:val="both"/>
        <w:outlineLvl w:val="1"/>
        <w:rPr>
          <w:rFonts w:ascii="Arial" w:eastAsia="Times New Roman" w:hAnsi="Arial" w:cs="Arial"/>
          <w:sz w:val="20"/>
          <w:szCs w:val="20"/>
        </w:rPr>
      </w:pPr>
      <w:proofErr w:type="spellStart"/>
      <w:r w:rsidRPr="0067016D">
        <w:rPr>
          <w:rFonts w:ascii="Arial" w:eastAsia="Times New Roman" w:hAnsi="Arial" w:cs="Arial"/>
          <w:sz w:val="20"/>
          <w:szCs w:val="20"/>
        </w:rPr>
        <w:t>Greenov’i</w:t>
      </w:r>
      <w:proofErr w:type="spellEnd"/>
      <w:r w:rsidRPr="0067016D">
        <w:rPr>
          <w:rFonts w:ascii="Arial" w:eastAsia="Times New Roman" w:hAnsi="Arial" w:cs="Arial"/>
          <w:sz w:val="20"/>
          <w:szCs w:val="20"/>
        </w:rPr>
        <w:t xml:space="preserve"> est le projet d’appui au secteur privé de la programmation d’appui à l’action environnementale en Tunisie. Financé par l’Union Européenne et mis en œuvre par Expertise France en étroite collaboration avec le Ministère de l’Environnement, le</w:t>
      </w:r>
      <w:r>
        <w:rPr>
          <w:rFonts w:ascii="Arial" w:eastAsia="Times New Roman" w:hAnsi="Arial" w:cs="Arial"/>
          <w:sz w:val="20"/>
          <w:szCs w:val="20"/>
        </w:rPr>
        <w:t xml:space="preserve"> Centre International des Technologies de l’Environnement de Tunis</w:t>
      </w:r>
      <w:r w:rsidRPr="0067016D">
        <w:rPr>
          <w:rFonts w:ascii="Arial" w:eastAsia="Times New Roman" w:hAnsi="Arial" w:cs="Arial"/>
          <w:sz w:val="20"/>
          <w:szCs w:val="20"/>
        </w:rPr>
        <w:t xml:space="preserve"> </w:t>
      </w:r>
      <w:r>
        <w:rPr>
          <w:rFonts w:ascii="Arial" w:eastAsia="Times New Roman" w:hAnsi="Arial" w:cs="Arial"/>
          <w:sz w:val="20"/>
          <w:szCs w:val="20"/>
        </w:rPr>
        <w:t>(</w:t>
      </w:r>
      <w:r w:rsidRPr="0067016D">
        <w:rPr>
          <w:rFonts w:ascii="Arial" w:eastAsia="Times New Roman" w:hAnsi="Arial" w:cs="Arial"/>
          <w:sz w:val="20"/>
          <w:szCs w:val="20"/>
        </w:rPr>
        <w:t>CITET</w:t>
      </w:r>
      <w:r>
        <w:rPr>
          <w:rFonts w:ascii="Arial" w:eastAsia="Times New Roman" w:hAnsi="Arial" w:cs="Arial"/>
          <w:sz w:val="20"/>
          <w:szCs w:val="20"/>
        </w:rPr>
        <w:t>)</w:t>
      </w:r>
      <w:r w:rsidRPr="0067016D">
        <w:rPr>
          <w:rFonts w:ascii="Arial" w:eastAsia="Times New Roman" w:hAnsi="Arial" w:cs="Arial"/>
          <w:sz w:val="20"/>
          <w:szCs w:val="20"/>
        </w:rPr>
        <w:t xml:space="preserve"> et le Ministère de l’Economie et de la Planification, il se donne pour objectif de contribuer à la transition écologique de l'économie tunisienne à travers des modes de consommation et de production plus sobres, en phase avec l’économie verte. Il s’articule autour de deux composantes, définies par la nature des entreprises ciblées : </w:t>
      </w:r>
    </w:p>
    <w:p w14:paraId="7379E408" w14:textId="77777777" w:rsidR="0043112C" w:rsidRPr="0067016D" w:rsidRDefault="0043112C" w:rsidP="0043112C">
      <w:pPr>
        <w:pStyle w:val="Paragraphedeliste"/>
        <w:numPr>
          <w:ilvl w:val="0"/>
          <w:numId w:val="5"/>
        </w:numPr>
        <w:jc w:val="both"/>
        <w:outlineLvl w:val="1"/>
        <w:rPr>
          <w:rFonts w:ascii="Arial" w:eastAsia="Times New Roman" w:hAnsi="Arial" w:cs="Arial"/>
          <w:sz w:val="20"/>
          <w:szCs w:val="20"/>
        </w:rPr>
      </w:pPr>
      <w:r w:rsidRPr="0067016D">
        <w:rPr>
          <w:rFonts w:ascii="Arial" w:eastAsia="Times New Roman" w:hAnsi="Arial" w:cs="Arial"/>
          <w:b/>
          <w:sz w:val="20"/>
          <w:szCs w:val="20"/>
        </w:rPr>
        <w:t>Composante 1 :</w:t>
      </w:r>
      <w:r w:rsidRPr="0067016D">
        <w:rPr>
          <w:rFonts w:ascii="Arial" w:eastAsia="Times New Roman" w:hAnsi="Arial" w:cs="Arial"/>
          <w:sz w:val="20"/>
          <w:szCs w:val="20"/>
        </w:rPr>
        <w:t xml:space="preserve"> Appui à l'émergence et à la création d’entreprises de biens et services verts qui intègrent la justice sociale et de genre ;</w:t>
      </w:r>
    </w:p>
    <w:p w14:paraId="262E031A" w14:textId="77777777" w:rsidR="0043112C" w:rsidRPr="0067016D" w:rsidRDefault="0043112C" w:rsidP="0043112C">
      <w:pPr>
        <w:pStyle w:val="Paragraphedeliste"/>
        <w:numPr>
          <w:ilvl w:val="0"/>
          <w:numId w:val="5"/>
        </w:numPr>
        <w:jc w:val="both"/>
        <w:outlineLvl w:val="1"/>
        <w:rPr>
          <w:rFonts w:ascii="Arial" w:eastAsia="Times New Roman" w:hAnsi="Arial" w:cs="Arial"/>
          <w:sz w:val="20"/>
          <w:szCs w:val="20"/>
        </w:rPr>
      </w:pPr>
      <w:r w:rsidRPr="0067016D">
        <w:rPr>
          <w:rFonts w:ascii="Arial" w:eastAsia="Times New Roman" w:hAnsi="Arial" w:cs="Arial"/>
          <w:b/>
          <w:sz w:val="20"/>
          <w:szCs w:val="20"/>
        </w:rPr>
        <w:t>Composante 2 :</w:t>
      </w:r>
      <w:r w:rsidRPr="0067016D">
        <w:rPr>
          <w:rFonts w:ascii="Arial" w:eastAsia="Times New Roman" w:hAnsi="Arial" w:cs="Arial"/>
          <w:sz w:val="20"/>
          <w:szCs w:val="20"/>
        </w:rPr>
        <w:t xml:space="preserve"> Appui à la transition écologique des entreprises vers des modes de production sobres, équitables et durables.</w:t>
      </w:r>
    </w:p>
    <w:p w14:paraId="4E39C5CD" w14:textId="77777777" w:rsidR="0043112C" w:rsidRPr="0067016D" w:rsidRDefault="0043112C" w:rsidP="0043112C">
      <w:pPr>
        <w:jc w:val="both"/>
        <w:rPr>
          <w:rFonts w:ascii="Arial" w:eastAsia="Times New Roman" w:hAnsi="Arial" w:cs="Arial"/>
          <w:sz w:val="20"/>
          <w:szCs w:val="20"/>
        </w:rPr>
      </w:pPr>
      <w:r w:rsidRPr="0067016D">
        <w:rPr>
          <w:rFonts w:ascii="Arial" w:hAnsi="Arial" w:cs="Arial"/>
          <w:sz w:val="20"/>
          <w:szCs w:val="20"/>
        </w:rPr>
        <w:t xml:space="preserve">Afin de cadrer ses activités, le projet </w:t>
      </w:r>
      <w:proofErr w:type="spellStart"/>
      <w:r w:rsidRPr="0067016D">
        <w:rPr>
          <w:rFonts w:ascii="Arial" w:hAnsi="Arial" w:cs="Arial"/>
          <w:sz w:val="20"/>
          <w:szCs w:val="20"/>
        </w:rPr>
        <w:t>Greenov’i</w:t>
      </w:r>
      <w:proofErr w:type="spellEnd"/>
      <w:r w:rsidRPr="0067016D">
        <w:rPr>
          <w:rFonts w:ascii="Arial" w:hAnsi="Arial" w:cs="Arial"/>
          <w:sz w:val="20"/>
          <w:szCs w:val="20"/>
        </w:rPr>
        <w:t xml:space="preserve"> a construit </w:t>
      </w:r>
      <w:r>
        <w:rPr>
          <w:rFonts w:ascii="Arial" w:hAnsi="Arial" w:cs="Arial"/>
          <w:sz w:val="20"/>
          <w:szCs w:val="20"/>
        </w:rPr>
        <w:t>trois</w:t>
      </w:r>
      <w:r w:rsidRPr="0067016D">
        <w:rPr>
          <w:rFonts w:ascii="Arial" w:hAnsi="Arial" w:cs="Arial"/>
          <w:sz w:val="20"/>
          <w:szCs w:val="20"/>
        </w:rPr>
        <w:t xml:space="preserve"> documents cl</w:t>
      </w:r>
      <w:r>
        <w:rPr>
          <w:rFonts w:ascii="Arial" w:hAnsi="Arial" w:cs="Arial"/>
          <w:sz w:val="20"/>
          <w:szCs w:val="20"/>
        </w:rPr>
        <w:t xml:space="preserve">és </w:t>
      </w:r>
      <w:r w:rsidRPr="0067016D">
        <w:rPr>
          <w:rFonts w:ascii="Arial" w:hAnsi="Arial" w:cs="Arial"/>
          <w:sz w:val="20"/>
          <w:szCs w:val="20"/>
        </w:rPr>
        <w:t>décrits</w:t>
      </w:r>
      <w:r>
        <w:rPr>
          <w:rFonts w:ascii="Arial" w:hAnsi="Arial" w:cs="Arial"/>
          <w:sz w:val="20"/>
          <w:szCs w:val="20"/>
        </w:rPr>
        <w:t xml:space="preserve"> en détail ci-après</w:t>
      </w:r>
      <w:r w:rsidRPr="0067016D">
        <w:rPr>
          <w:rFonts w:ascii="Arial" w:hAnsi="Arial" w:cs="Arial"/>
          <w:sz w:val="20"/>
          <w:szCs w:val="20"/>
        </w:rPr>
        <w:t xml:space="preserve"> – la </w:t>
      </w:r>
      <w:r w:rsidRPr="00527289">
        <w:rPr>
          <w:rFonts w:ascii="Arial" w:hAnsi="Arial" w:cs="Arial"/>
          <w:b/>
          <w:sz w:val="20"/>
          <w:szCs w:val="20"/>
        </w:rPr>
        <w:t>Charte Verte</w:t>
      </w:r>
      <w:r w:rsidRPr="0067016D">
        <w:rPr>
          <w:rFonts w:ascii="Arial" w:hAnsi="Arial" w:cs="Arial"/>
          <w:sz w:val="20"/>
          <w:szCs w:val="20"/>
        </w:rPr>
        <w:t xml:space="preserve">, qui </w:t>
      </w:r>
      <w:r w:rsidRPr="0067016D">
        <w:rPr>
          <w:rFonts w:ascii="Arial" w:eastAsia="Times New Roman" w:hAnsi="Arial" w:cs="Arial"/>
          <w:sz w:val="20"/>
          <w:szCs w:val="20"/>
        </w:rPr>
        <w:t>définit les principes du projet, les critères à respecter durant sa mise en œuvre et l’engagement de l’ens</w:t>
      </w:r>
      <w:r>
        <w:rPr>
          <w:rFonts w:ascii="Arial" w:eastAsia="Times New Roman" w:hAnsi="Arial" w:cs="Arial"/>
          <w:sz w:val="20"/>
          <w:szCs w:val="20"/>
        </w:rPr>
        <w:t xml:space="preserve">emble des parties prenantes, </w:t>
      </w:r>
      <w:r w:rsidRPr="0067016D">
        <w:rPr>
          <w:rFonts w:ascii="Arial" w:eastAsia="Times New Roman" w:hAnsi="Arial" w:cs="Arial"/>
          <w:sz w:val="20"/>
          <w:szCs w:val="20"/>
        </w:rPr>
        <w:t xml:space="preserve">le </w:t>
      </w:r>
      <w:r w:rsidRPr="00527289">
        <w:rPr>
          <w:rFonts w:ascii="Arial" w:eastAsia="Times New Roman" w:hAnsi="Arial" w:cs="Arial"/>
          <w:b/>
          <w:sz w:val="20"/>
          <w:szCs w:val="20"/>
        </w:rPr>
        <w:t>Glossaire</w:t>
      </w:r>
      <w:r w:rsidRPr="0067016D">
        <w:rPr>
          <w:rFonts w:ascii="Arial" w:eastAsia="Times New Roman" w:hAnsi="Arial" w:cs="Arial"/>
          <w:sz w:val="20"/>
          <w:szCs w:val="20"/>
        </w:rPr>
        <w:t xml:space="preserve"> qui explicite et o</w:t>
      </w:r>
      <w:r>
        <w:rPr>
          <w:rFonts w:ascii="Arial" w:eastAsia="Times New Roman" w:hAnsi="Arial" w:cs="Arial"/>
          <w:sz w:val="20"/>
          <w:szCs w:val="20"/>
        </w:rPr>
        <w:t xml:space="preserve">pérationnalise ce cadre général et le </w:t>
      </w:r>
      <w:r w:rsidRPr="00527289">
        <w:rPr>
          <w:rFonts w:ascii="Arial" w:eastAsia="Times New Roman" w:hAnsi="Arial" w:cs="Arial"/>
          <w:b/>
          <w:sz w:val="20"/>
          <w:szCs w:val="20"/>
        </w:rPr>
        <w:t>Plan d’Action Genre</w:t>
      </w:r>
      <w:r>
        <w:rPr>
          <w:rFonts w:ascii="Arial" w:eastAsia="Times New Roman" w:hAnsi="Arial" w:cs="Arial"/>
          <w:sz w:val="20"/>
          <w:szCs w:val="20"/>
        </w:rPr>
        <w:t xml:space="preserve"> qui formule des recommandations opérationnelles pour l’intégration effective de la dimension genre dans toutes les activités du projet. </w:t>
      </w:r>
    </w:p>
    <w:p w14:paraId="19661CA5" w14:textId="77777777" w:rsidR="0043112C" w:rsidRPr="000B473B" w:rsidRDefault="0043112C" w:rsidP="0043112C">
      <w:pPr>
        <w:pStyle w:val="Paragraphedeliste"/>
        <w:numPr>
          <w:ilvl w:val="0"/>
          <w:numId w:val="8"/>
        </w:numPr>
        <w:jc w:val="both"/>
        <w:rPr>
          <w:rFonts w:ascii="Arial" w:eastAsia="Times New Roman" w:hAnsi="Arial" w:cs="Arial"/>
          <w:b/>
          <w:color w:val="6E6E6E"/>
          <w:sz w:val="20"/>
          <w:szCs w:val="20"/>
        </w:rPr>
      </w:pPr>
      <w:r w:rsidRPr="00433B7A">
        <w:rPr>
          <w:rFonts w:ascii="Arial" w:eastAsia="Times New Roman" w:hAnsi="Arial" w:cs="Arial"/>
          <w:b/>
          <w:color w:val="6E6E6E"/>
          <w:sz w:val="20"/>
          <w:szCs w:val="20"/>
        </w:rPr>
        <w:t xml:space="preserve">Charte Verte </w:t>
      </w:r>
    </w:p>
    <w:p w14:paraId="7D65B13E" w14:textId="77777777" w:rsidR="0043112C" w:rsidRPr="0067016D" w:rsidRDefault="0043112C" w:rsidP="0043112C">
      <w:pPr>
        <w:jc w:val="both"/>
        <w:rPr>
          <w:rFonts w:ascii="Arial" w:hAnsi="Arial" w:cs="Arial"/>
          <w:sz w:val="20"/>
          <w:szCs w:val="20"/>
        </w:rPr>
      </w:pPr>
      <w:r w:rsidRPr="0067016D">
        <w:rPr>
          <w:rFonts w:ascii="Arial" w:hAnsi="Arial" w:cs="Arial"/>
          <w:sz w:val="20"/>
          <w:szCs w:val="20"/>
        </w:rPr>
        <w:t xml:space="preserve">La </w:t>
      </w:r>
      <w:hyperlink r:id="rId6" w:history="1">
        <w:r w:rsidRPr="0067016D">
          <w:rPr>
            <w:rStyle w:val="Lienhypertexte"/>
            <w:rFonts w:ascii="Arial" w:hAnsi="Arial" w:cs="Arial"/>
            <w:sz w:val="20"/>
            <w:szCs w:val="20"/>
          </w:rPr>
          <w:t>Charte Verte</w:t>
        </w:r>
      </w:hyperlink>
      <w:r w:rsidRPr="0067016D">
        <w:rPr>
          <w:rFonts w:ascii="Arial" w:hAnsi="Arial" w:cs="Arial"/>
          <w:sz w:val="20"/>
          <w:szCs w:val="20"/>
        </w:rPr>
        <w:t xml:space="preserve"> définit les principes du projet, les critères à respecter durant son implémentation, et les engagements de l’ensemble de ses parties prenantes. </w:t>
      </w:r>
    </w:p>
    <w:p w14:paraId="414D866B" w14:textId="77777777" w:rsidR="0043112C" w:rsidRPr="0067016D" w:rsidRDefault="0043112C" w:rsidP="0043112C">
      <w:pPr>
        <w:jc w:val="both"/>
        <w:rPr>
          <w:rFonts w:ascii="Arial" w:hAnsi="Arial" w:cs="Arial"/>
          <w:sz w:val="20"/>
          <w:szCs w:val="20"/>
        </w:rPr>
      </w:pPr>
      <w:r w:rsidRPr="0067016D">
        <w:rPr>
          <w:rFonts w:ascii="Arial" w:hAnsi="Arial" w:cs="Arial"/>
          <w:sz w:val="20"/>
          <w:szCs w:val="20"/>
        </w:rPr>
        <w:t xml:space="preserve">La Charte Verte s’articule autour de cinq axes fondamentaux : </w:t>
      </w:r>
    </w:p>
    <w:p w14:paraId="562A8A1E" w14:textId="77777777" w:rsidR="0043112C" w:rsidRPr="0067016D" w:rsidRDefault="0043112C" w:rsidP="0043112C">
      <w:pPr>
        <w:pStyle w:val="Paragraphedeliste"/>
        <w:numPr>
          <w:ilvl w:val="0"/>
          <w:numId w:val="6"/>
        </w:numPr>
        <w:jc w:val="both"/>
        <w:rPr>
          <w:rFonts w:ascii="Arial" w:hAnsi="Arial" w:cs="Arial"/>
          <w:sz w:val="20"/>
          <w:szCs w:val="20"/>
        </w:rPr>
      </w:pPr>
      <w:r w:rsidRPr="0067016D">
        <w:rPr>
          <w:rFonts w:ascii="Arial" w:hAnsi="Arial" w:cs="Arial"/>
          <w:sz w:val="20"/>
          <w:szCs w:val="20"/>
        </w:rPr>
        <w:t>La création d’impacts environnementaux, sociaux et économiques positifs ;</w:t>
      </w:r>
    </w:p>
    <w:p w14:paraId="3901732C" w14:textId="77777777" w:rsidR="0043112C" w:rsidRPr="0067016D" w:rsidRDefault="0043112C" w:rsidP="0043112C">
      <w:pPr>
        <w:pStyle w:val="Paragraphedeliste"/>
        <w:numPr>
          <w:ilvl w:val="0"/>
          <w:numId w:val="6"/>
        </w:numPr>
        <w:jc w:val="both"/>
        <w:rPr>
          <w:rFonts w:ascii="Arial" w:hAnsi="Arial" w:cs="Arial"/>
          <w:sz w:val="20"/>
          <w:szCs w:val="20"/>
        </w:rPr>
      </w:pPr>
      <w:r w:rsidRPr="0067016D">
        <w:rPr>
          <w:rFonts w:ascii="Arial" w:hAnsi="Arial" w:cs="Arial"/>
          <w:sz w:val="20"/>
          <w:szCs w:val="20"/>
        </w:rPr>
        <w:t>Le respect et la promotion des principes clefs du projet ;</w:t>
      </w:r>
    </w:p>
    <w:p w14:paraId="07AC2366" w14:textId="77777777" w:rsidR="0043112C" w:rsidRPr="0067016D" w:rsidRDefault="0043112C" w:rsidP="0043112C">
      <w:pPr>
        <w:pStyle w:val="Paragraphedeliste"/>
        <w:numPr>
          <w:ilvl w:val="0"/>
          <w:numId w:val="6"/>
        </w:numPr>
        <w:jc w:val="both"/>
        <w:rPr>
          <w:rFonts w:ascii="Arial" w:hAnsi="Arial" w:cs="Arial"/>
          <w:sz w:val="20"/>
          <w:szCs w:val="20"/>
        </w:rPr>
      </w:pPr>
      <w:r w:rsidRPr="0067016D">
        <w:rPr>
          <w:rFonts w:ascii="Arial" w:hAnsi="Arial" w:cs="Arial"/>
          <w:sz w:val="20"/>
          <w:szCs w:val="20"/>
        </w:rPr>
        <w:t>La conformité avec des prérequis essentiels du projet ;</w:t>
      </w:r>
    </w:p>
    <w:p w14:paraId="71D6AD4F" w14:textId="77777777" w:rsidR="0043112C" w:rsidRPr="0067016D" w:rsidRDefault="0043112C" w:rsidP="0043112C">
      <w:pPr>
        <w:pStyle w:val="Paragraphedeliste"/>
        <w:numPr>
          <w:ilvl w:val="0"/>
          <w:numId w:val="6"/>
        </w:numPr>
        <w:jc w:val="both"/>
        <w:rPr>
          <w:rFonts w:ascii="Arial" w:hAnsi="Arial" w:cs="Arial"/>
          <w:sz w:val="20"/>
          <w:szCs w:val="20"/>
        </w:rPr>
      </w:pPr>
      <w:r w:rsidRPr="0067016D">
        <w:rPr>
          <w:rFonts w:ascii="Arial" w:hAnsi="Arial" w:cs="Arial"/>
          <w:sz w:val="20"/>
          <w:szCs w:val="20"/>
        </w:rPr>
        <w:t xml:space="preserve">L’application du principe de transparence, favorisant l’inclusion et luttant contre le </w:t>
      </w:r>
      <w:r w:rsidRPr="0067016D">
        <w:rPr>
          <w:rFonts w:ascii="Arial" w:hAnsi="Arial" w:cs="Arial"/>
          <w:i/>
          <w:sz w:val="20"/>
          <w:szCs w:val="20"/>
        </w:rPr>
        <w:t>greenwashing</w:t>
      </w:r>
      <w:r w:rsidRPr="0067016D">
        <w:rPr>
          <w:rFonts w:ascii="Arial" w:hAnsi="Arial" w:cs="Arial"/>
          <w:sz w:val="20"/>
          <w:szCs w:val="20"/>
        </w:rPr>
        <w:t> ;</w:t>
      </w:r>
    </w:p>
    <w:p w14:paraId="53C3A4D0" w14:textId="77777777" w:rsidR="0043112C" w:rsidRPr="00852E5B" w:rsidRDefault="0043112C" w:rsidP="0043112C">
      <w:pPr>
        <w:pStyle w:val="Paragraphedeliste"/>
        <w:numPr>
          <w:ilvl w:val="0"/>
          <w:numId w:val="6"/>
        </w:numPr>
        <w:jc w:val="both"/>
        <w:rPr>
          <w:rFonts w:ascii="Arial" w:hAnsi="Arial" w:cs="Arial"/>
          <w:sz w:val="20"/>
          <w:szCs w:val="20"/>
        </w:rPr>
      </w:pPr>
      <w:r w:rsidRPr="0067016D">
        <w:rPr>
          <w:rFonts w:ascii="Arial" w:hAnsi="Arial" w:cs="Arial"/>
          <w:sz w:val="20"/>
          <w:szCs w:val="20"/>
        </w:rPr>
        <w:t>La participation active et continue de l’ensemble des parties prenantes.</w:t>
      </w:r>
    </w:p>
    <w:p w14:paraId="139695CF" w14:textId="77777777" w:rsidR="0043112C" w:rsidRPr="00463BD4" w:rsidRDefault="0043112C" w:rsidP="0043112C">
      <w:pPr>
        <w:pStyle w:val="Paragraphedeliste"/>
        <w:jc w:val="both"/>
        <w:rPr>
          <w:rFonts w:ascii="Arial" w:hAnsi="Arial" w:cs="Arial"/>
          <w:sz w:val="20"/>
          <w:szCs w:val="20"/>
        </w:rPr>
      </w:pPr>
    </w:p>
    <w:p w14:paraId="12FDDC4D" w14:textId="77777777" w:rsidR="0043112C" w:rsidRPr="000B473B" w:rsidRDefault="0043112C" w:rsidP="0043112C">
      <w:pPr>
        <w:pStyle w:val="Paragraphedeliste"/>
        <w:numPr>
          <w:ilvl w:val="0"/>
          <w:numId w:val="8"/>
        </w:numPr>
        <w:jc w:val="both"/>
        <w:rPr>
          <w:rFonts w:ascii="Arial" w:eastAsia="Times New Roman" w:hAnsi="Arial" w:cs="Arial"/>
          <w:b/>
          <w:color w:val="6E6E6E"/>
          <w:sz w:val="20"/>
          <w:szCs w:val="20"/>
        </w:rPr>
      </w:pPr>
      <w:r w:rsidRPr="00433B7A">
        <w:rPr>
          <w:rFonts w:ascii="Arial" w:eastAsia="Times New Roman" w:hAnsi="Arial" w:cs="Arial"/>
          <w:b/>
          <w:color w:val="6E6E6E"/>
          <w:sz w:val="20"/>
          <w:szCs w:val="20"/>
        </w:rPr>
        <w:t xml:space="preserve">Glossaire </w:t>
      </w:r>
    </w:p>
    <w:p w14:paraId="2FF92EFF" w14:textId="77777777" w:rsidR="0043112C" w:rsidRPr="0067016D" w:rsidRDefault="0043112C" w:rsidP="0043112C">
      <w:pPr>
        <w:jc w:val="both"/>
        <w:rPr>
          <w:rFonts w:ascii="Arial" w:eastAsia="Times New Roman" w:hAnsi="Arial" w:cs="Arial"/>
          <w:sz w:val="20"/>
          <w:szCs w:val="20"/>
        </w:rPr>
      </w:pPr>
      <w:r w:rsidRPr="0067016D">
        <w:rPr>
          <w:rFonts w:ascii="Arial" w:eastAsia="Times New Roman" w:hAnsi="Arial" w:cs="Arial"/>
          <w:sz w:val="20"/>
          <w:szCs w:val="20"/>
        </w:rPr>
        <w:t xml:space="preserve">Le </w:t>
      </w:r>
      <w:hyperlink r:id="rId7" w:history="1">
        <w:r w:rsidRPr="0067016D">
          <w:rPr>
            <w:rStyle w:val="Lienhypertexte"/>
            <w:rFonts w:ascii="Arial" w:eastAsia="Times New Roman" w:hAnsi="Arial" w:cs="Arial"/>
            <w:sz w:val="20"/>
            <w:szCs w:val="20"/>
          </w:rPr>
          <w:t>Glossaire</w:t>
        </w:r>
      </w:hyperlink>
      <w:r w:rsidRPr="0067016D">
        <w:rPr>
          <w:rFonts w:ascii="Arial" w:eastAsia="Times New Roman" w:hAnsi="Arial" w:cs="Arial"/>
          <w:sz w:val="20"/>
          <w:szCs w:val="20"/>
        </w:rPr>
        <w:t xml:space="preserve"> est un outil d’aide à la mise en œuvre du projet. Recensant un ensemble de définitions opérationnelles, il a été conçu afin d’apporter une clarification et une compréhension commune des termes mobilisés.</w:t>
      </w:r>
    </w:p>
    <w:p w14:paraId="058CA8E2" w14:textId="77777777" w:rsidR="0043112C" w:rsidRPr="0067016D" w:rsidRDefault="0043112C" w:rsidP="0043112C">
      <w:pPr>
        <w:jc w:val="both"/>
        <w:rPr>
          <w:rFonts w:ascii="Arial" w:hAnsi="Arial" w:cs="Arial"/>
          <w:sz w:val="20"/>
          <w:szCs w:val="20"/>
        </w:rPr>
      </w:pPr>
      <w:r w:rsidRPr="0067016D">
        <w:rPr>
          <w:rFonts w:ascii="Arial" w:eastAsia="Times New Roman" w:hAnsi="Arial" w:cs="Arial"/>
          <w:sz w:val="20"/>
          <w:szCs w:val="20"/>
        </w:rPr>
        <w:t xml:space="preserve">Dans le cadre du projet </w:t>
      </w:r>
      <w:proofErr w:type="spellStart"/>
      <w:r w:rsidRPr="0067016D">
        <w:rPr>
          <w:rFonts w:ascii="Arial" w:eastAsia="Times New Roman" w:hAnsi="Arial" w:cs="Arial"/>
          <w:sz w:val="20"/>
          <w:szCs w:val="20"/>
        </w:rPr>
        <w:t>Greenov’i</w:t>
      </w:r>
      <w:proofErr w:type="spellEnd"/>
      <w:r w:rsidRPr="0067016D">
        <w:rPr>
          <w:rFonts w:ascii="Arial" w:eastAsia="Times New Roman" w:hAnsi="Arial" w:cs="Arial"/>
          <w:sz w:val="20"/>
          <w:szCs w:val="20"/>
        </w:rPr>
        <w:t xml:space="preserve"> et tel qu’indiqué dans le Glossaire, </w:t>
      </w:r>
      <w:r w:rsidRPr="0067016D">
        <w:rPr>
          <w:rFonts w:ascii="Arial" w:hAnsi="Arial" w:cs="Arial"/>
          <w:sz w:val="20"/>
          <w:szCs w:val="20"/>
        </w:rPr>
        <w:t xml:space="preserve">l’entrepreneuriat vert, se définit comme un processus permettant l’émergence d’entreprises créatrices de valeur qui contribuent au développement durable du système socio-écologique à l’échelle nationale. L’entrepreneuriat vert contribue ainsi à l’atténuation des défaillances du marché ayant trait à l’environnement, à travers l’exploitation de potentielles opportunités rentables. </w:t>
      </w:r>
    </w:p>
    <w:p w14:paraId="00379B15" w14:textId="77777777" w:rsidR="0043112C" w:rsidRPr="0067016D" w:rsidRDefault="0043112C" w:rsidP="0043112C">
      <w:pPr>
        <w:jc w:val="both"/>
        <w:rPr>
          <w:rFonts w:ascii="Arial" w:hAnsi="Arial" w:cs="Arial"/>
          <w:sz w:val="20"/>
          <w:szCs w:val="20"/>
        </w:rPr>
      </w:pPr>
    </w:p>
    <w:p w14:paraId="704511D9" w14:textId="77777777" w:rsidR="0043112C" w:rsidRPr="0067016D" w:rsidRDefault="0043112C" w:rsidP="0043112C">
      <w:pPr>
        <w:jc w:val="both"/>
        <w:rPr>
          <w:rFonts w:ascii="Arial" w:hAnsi="Arial" w:cs="Arial"/>
          <w:sz w:val="20"/>
          <w:szCs w:val="20"/>
        </w:rPr>
      </w:pPr>
      <w:r w:rsidRPr="0067016D">
        <w:rPr>
          <w:rFonts w:ascii="Arial" w:hAnsi="Arial" w:cs="Arial"/>
          <w:sz w:val="20"/>
          <w:szCs w:val="20"/>
        </w:rPr>
        <w:t>Il englobe les activités économiques, technologies, produits et services moins polluants qui visent à réduire durablement les émissions de gaz à effet de serre et l’empreinte écologique, minimiser la pollution et économiser les ressources. La clé de l’entrepreneuriat vert est la capacité d’une entreprise à innover et à développer des biens et des services sobres en ressources naturelles et à faibles impacts environnementaux et climatiques. Les opportunités de l’entrepreneuriat vert sont multiples et concernent les principaux secteurs d’activité, notamment l’agriculture, l’énergie, l’industrie, le tourisme, le transport, le bâtiment ou l’urbanisme.</w:t>
      </w:r>
    </w:p>
    <w:p w14:paraId="24CAABE5" w14:textId="77777777" w:rsidR="0043112C" w:rsidRPr="0067016D" w:rsidRDefault="0043112C" w:rsidP="0043112C">
      <w:pPr>
        <w:jc w:val="both"/>
        <w:rPr>
          <w:rFonts w:ascii="Arial" w:hAnsi="Arial" w:cs="Arial"/>
          <w:sz w:val="20"/>
          <w:szCs w:val="20"/>
        </w:rPr>
      </w:pPr>
      <w:r w:rsidRPr="0067016D">
        <w:rPr>
          <w:rFonts w:ascii="Arial" w:hAnsi="Arial" w:cs="Arial"/>
          <w:sz w:val="20"/>
          <w:szCs w:val="20"/>
        </w:rPr>
        <w:t>L’entrepreneuriat vert permet de favoriser les circuits courts de commercialisation et les modes de production plus intégrés. Il permet, également, de valoriser les savoir-faire et les produits locaux en promouvant le développement local et la création d’emplois durables et inclusifs.</w:t>
      </w:r>
    </w:p>
    <w:p w14:paraId="0E312E03" w14:textId="77777777" w:rsidR="0043112C" w:rsidRPr="0067016D" w:rsidRDefault="0043112C" w:rsidP="0043112C">
      <w:pPr>
        <w:jc w:val="both"/>
        <w:rPr>
          <w:rFonts w:ascii="Arial" w:hAnsi="Arial" w:cs="Arial"/>
          <w:sz w:val="20"/>
          <w:szCs w:val="20"/>
        </w:rPr>
      </w:pPr>
      <w:r w:rsidRPr="0067016D">
        <w:rPr>
          <w:rFonts w:ascii="Arial" w:hAnsi="Arial" w:cs="Arial"/>
          <w:sz w:val="20"/>
          <w:szCs w:val="20"/>
        </w:rPr>
        <w:t>De l’entrepreneuriat vert découle une amélioration du bien être humain et de l’équité sociale, en plus d’une réduction des risques environnementaux. Par conséquent, l’entrepreneuriat vert s’inscrit dans une démarche écologique et responsable.</w:t>
      </w:r>
    </w:p>
    <w:p w14:paraId="0FBED6F3" w14:textId="77777777" w:rsidR="0043112C" w:rsidRPr="0067016D" w:rsidRDefault="0043112C" w:rsidP="0043112C">
      <w:pPr>
        <w:jc w:val="both"/>
        <w:rPr>
          <w:rFonts w:ascii="Arial" w:hAnsi="Arial" w:cs="Arial"/>
          <w:sz w:val="20"/>
          <w:szCs w:val="20"/>
        </w:rPr>
      </w:pPr>
      <w:r w:rsidRPr="0067016D">
        <w:rPr>
          <w:rFonts w:ascii="Arial" w:hAnsi="Arial" w:cs="Arial"/>
          <w:sz w:val="20"/>
          <w:szCs w:val="20"/>
        </w:rPr>
        <w:t xml:space="preserve">Le projet </w:t>
      </w:r>
      <w:proofErr w:type="spellStart"/>
      <w:r w:rsidRPr="0067016D">
        <w:rPr>
          <w:rFonts w:ascii="Arial" w:hAnsi="Arial" w:cs="Arial"/>
          <w:sz w:val="20"/>
          <w:szCs w:val="20"/>
        </w:rPr>
        <w:t>Greenov’i</w:t>
      </w:r>
      <w:proofErr w:type="spellEnd"/>
      <w:r w:rsidRPr="0067016D">
        <w:rPr>
          <w:rFonts w:ascii="Arial" w:hAnsi="Arial" w:cs="Arial"/>
          <w:sz w:val="20"/>
          <w:szCs w:val="20"/>
        </w:rPr>
        <w:t xml:space="preserve"> s’appuie sur une définition à double sens de l’entrepreneuriat, basée sur deux approches définies par l’OCDE : </w:t>
      </w:r>
    </w:p>
    <w:p w14:paraId="2748E20D" w14:textId="77777777" w:rsidR="0043112C" w:rsidRPr="0067016D" w:rsidRDefault="0043112C" w:rsidP="0043112C">
      <w:pPr>
        <w:pStyle w:val="Paragraphedeliste"/>
        <w:numPr>
          <w:ilvl w:val="0"/>
          <w:numId w:val="7"/>
        </w:numPr>
        <w:jc w:val="both"/>
        <w:rPr>
          <w:rFonts w:ascii="Arial" w:hAnsi="Arial" w:cs="Arial"/>
          <w:sz w:val="20"/>
          <w:szCs w:val="20"/>
        </w:rPr>
      </w:pPr>
      <w:r w:rsidRPr="0067016D">
        <w:rPr>
          <w:rFonts w:ascii="Arial" w:hAnsi="Arial" w:cs="Arial"/>
          <w:b/>
          <w:sz w:val="20"/>
          <w:szCs w:val="20"/>
        </w:rPr>
        <w:t>Une approche par la production :</w:t>
      </w:r>
      <w:r w:rsidRPr="0067016D">
        <w:rPr>
          <w:rFonts w:ascii="Arial" w:hAnsi="Arial" w:cs="Arial"/>
          <w:sz w:val="20"/>
          <w:szCs w:val="20"/>
        </w:rPr>
        <w:t xml:space="preserve"> l’entrepreneuriat vert équivaut à lancer une activité verte, autrement dit à produire un bien ou un service écologique, qui agit en faveur de l’environnement (Composante 1).</w:t>
      </w:r>
    </w:p>
    <w:p w14:paraId="3214C1EC" w14:textId="5A0BA341" w:rsidR="0043112C" w:rsidRDefault="0043112C" w:rsidP="0043112C">
      <w:pPr>
        <w:pStyle w:val="Paragraphedeliste"/>
        <w:numPr>
          <w:ilvl w:val="0"/>
          <w:numId w:val="7"/>
        </w:numPr>
        <w:jc w:val="both"/>
        <w:rPr>
          <w:rFonts w:ascii="Arial" w:hAnsi="Arial" w:cs="Arial"/>
          <w:sz w:val="20"/>
          <w:szCs w:val="20"/>
        </w:rPr>
      </w:pPr>
      <w:r w:rsidRPr="0067016D">
        <w:rPr>
          <w:rFonts w:ascii="Arial" w:hAnsi="Arial" w:cs="Arial"/>
          <w:b/>
          <w:sz w:val="20"/>
          <w:szCs w:val="20"/>
        </w:rPr>
        <w:t>Une approche par les processus :</w:t>
      </w:r>
      <w:r w:rsidRPr="0067016D">
        <w:rPr>
          <w:rFonts w:ascii="Arial" w:hAnsi="Arial" w:cs="Arial"/>
          <w:sz w:val="20"/>
          <w:szCs w:val="20"/>
        </w:rPr>
        <w:t xml:space="preserve"> l’entrepreneuriat vert consiste à verdir le mode de production d’un bien ou d’un service (Composante 2).</w:t>
      </w:r>
    </w:p>
    <w:p w14:paraId="0B82D4AD" w14:textId="77777777" w:rsidR="00460CD1" w:rsidRPr="0067016D" w:rsidRDefault="00460CD1" w:rsidP="00460CD1">
      <w:pPr>
        <w:pStyle w:val="Paragraphedeliste"/>
        <w:jc w:val="both"/>
        <w:rPr>
          <w:rFonts w:ascii="Arial" w:hAnsi="Arial" w:cs="Arial"/>
          <w:sz w:val="20"/>
          <w:szCs w:val="20"/>
        </w:rPr>
      </w:pPr>
    </w:p>
    <w:p w14:paraId="61605339" w14:textId="77777777" w:rsidR="0043112C" w:rsidRPr="000B473B" w:rsidRDefault="0043112C" w:rsidP="0043112C">
      <w:pPr>
        <w:pStyle w:val="Paragraphedeliste"/>
        <w:numPr>
          <w:ilvl w:val="0"/>
          <w:numId w:val="8"/>
        </w:numPr>
        <w:jc w:val="both"/>
        <w:rPr>
          <w:rFonts w:ascii="Arial" w:eastAsia="Times New Roman" w:hAnsi="Arial" w:cs="Arial"/>
          <w:b/>
          <w:color w:val="6E6E6E"/>
          <w:sz w:val="20"/>
          <w:szCs w:val="20"/>
        </w:rPr>
      </w:pPr>
      <w:r w:rsidRPr="00433B7A">
        <w:rPr>
          <w:rFonts w:ascii="Arial" w:eastAsia="Times New Roman" w:hAnsi="Arial" w:cs="Arial"/>
          <w:b/>
          <w:color w:val="6E6E6E"/>
          <w:sz w:val="20"/>
          <w:szCs w:val="20"/>
        </w:rPr>
        <w:t>Plan d’Action Genre</w:t>
      </w:r>
    </w:p>
    <w:p w14:paraId="47659F67" w14:textId="77777777" w:rsidR="0043112C" w:rsidRDefault="0043112C" w:rsidP="004311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jc w:val="both"/>
        <w:rPr>
          <w:rFonts w:ascii="Arial" w:hAnsi="Arial" w:cs="Arial"/>
          <w:sz w:val="20"/>
          <w:szCs w:val="20"/>
        </w:rPr>
      </w:pPr>
      <w:r>
        <w:rPr>
          <w:rFonts w:ascii="Arial" w:hAnsi="Arial" w:cs="Arial"/>
          <w:sz w:val="20"/>
          <w:szCs w:val="20"/>
        </w:rPr>
        <w:t xml:space="preserve">Le </w:t>
      </w:r>
      <w:hyperlink r:id="rId8" w:anchor=":~:text=Ce%20document%20pr%C3%A9sente%20le%20Plan%20d%27Action%20Genre%20%28PAG%29,dans%20l%E2%80%99%C3%A9conomie%20verte%20et%20l%E2%80%99entrepreneuriat%20vert%20en%20Tunisie." w:history="1">
        <w:r w:rsidRPr="006641EB">
          <w:rPr>
            <w:rStyle w:val="Lienhypertexte"/>
            <w:rFonts w:ascii="Arial" w:hAnsi="Arial" w:cs="Arial"/>
            <w:sz w:val="20"/>
            <w:szCs w:val="20"/>
          </w:rPr>
          <w:t>Plan d’Action Genre</w:t>
        </w:r>
      </w:hyperlink>
      <w:r>
        <w:rPr>
          <w:rFonts w:ascii="Arial" w:hAnsi="Arial" w:cs="Arial"/>
          <w:sz w:val="20"/>
          <w:szCs w:val="20"/>
        </w:rPr>
        <w:t xml:space="preserve"> (PAG) est le fruit d’un travail collaboratif, avec l’équipe et les partenaires de </w:t>
      </w:r>
      <w:proofErr w:type="spellStart"/>
      <w:r>
        <w:rPr>
          <w:rFonts w:ascii="Arial" w:hAnsi="Arial" w:cs="Arial"/>
          <w:sz w:val="20"/>
          <w:szCs w:val="20"/>
        </w:rPr>
        <w:t>Greenov’i</w:t>
      </w:r>
      <w:proofErr w:type="spellEnd"/>
      <w:r>
        <w:rPr>
          <w:rFonts w:ascii="Arial" w:hAnsi="Arial" w:cs="Arial"/>
          <w:sz w:val="20"/>
          <w:szCs w:val="20"/>
        </w:rPr>
        <w:t xml:space="preserve">, en vue d’opérationnaliser et renforcer le potentiel du projet en matière de réduction des inégalités femmes/hommes par des mesures simples et directement opérationnelles s’inscrivant dans le périmètre du projet </w:t>
      </w:r>
      <w:proofErr w:type="spellStart"/>
      <w:r>
        <w:rPr>
          <w:rFonts w:ascii="Arial" w:hAnsi="Arial" w:cs="Arial"/>
          <w:sz w:val="20"/>
          <w:szCs w:val="20"/>
        </w:rPr>
        <w:t>Greenov’i</w:t>
      </w:r>
      <w:proofErr w:type="spellEnd"/>
      <w:r>
        <w:rPr>
          <w:rFonts w:ascii="Arial" w:hAnsi="Arial" w:cs="Arial"/>
          <w:sz w:val="20"/>
          <w:szCs w:val="20"/>
        </w:rPr>
        <w:t xml:space="preserve"> et impactant toutes ses dimensions. </w:t>
      </w:r>
    </w:p>
    <w:p w14:paraId="20A10943" w14:textId="77777777" w:rsidR="0043112C" w:rsidRDefault="0043112C" w:rsidP="004311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jc w:val="both"/>
        <w:rPr>
          <w:rFonts w:ascii="Arial" w:hAnsi="Arial" w:cs="Arial"/>
          <w:sz w:val="20"/>
          <w:szCs w:val="20"/>
        </w:rPr>
      </w:pPr>
      <w:r>
        <w:rPr>
          <w:rFonts w:ascii="Arial" w:hAnsi="Arial" w:cs="Arial"/>
          <w:sz w:val="20"/>
          <w:szCs w:val="20"/>
        </w:rPr>
        <w:t xml:space="preserve">Avec ce PAG, </w:t>
      </w:r>
      <w:proofErr w:type="spellStart"/>
      <w:r>
        <w:rPr>
          <w:rFonts w:ascii="Arial" w:hAnsi="Arial" w:cs="Arial"/>
          <w:sz w:val="20"/>
          <w:szCs w:val="20"/>
        </w:rPr>
        <w:t>Greenov’i</w:t>
      </w:r>
      <w:proofErr w:type="spellEnd"/>
      <w:r>
        <w:rPr>
          <w:rFonts w:ascii="Arial" w:hAnsi="Arial" w:cs="Arial"/>
          <w:sz w:val="20"/>
          <w:szCs w:val="20"/>
        </w:rPr>
        <w:t xml:space="preserve"> vise à renforcer l’inclusion des femmes dans l’économie verte et l’entrepreneuriat. Le plan est structuré autour des deux composantes du projet et des activités prévues dans leur cadre</w:t>
      </w:r>
      <w:proofErr w:type="gramStart"/>
      <w:r>
        <w:rPr>
          <w:rFonts w:ascii="Arial" w:hAnsi="Arial" w:cs="Arial"/>
          <w:sz w:val="20"/>
          <w:szCs w:val="20"/>
        </w:rPr>
        <w:t>. .</w:t>
      </w:r>
      <w:proofErr w:type="gramEnd"/>
      <w:r>
        <w:rPr>
          <w:rFonts w:ascii="Arial" w:hAnsi="Arial" w:cs="Arial"/>
          <w:sz w:val="20"/>
          <w:szCs w:val="20"/>
        </w:rPr>
        <w:t xml:space="preserve"> Il inclut également un troisième axe transversal, notamment relatif à toutes les activités liées à la communication et à la valorisation. </w:t>
      </w:r>
    </w:p>
    <w:p w14:paraId="5CED16D2" w14:textId="77777777" w:rsidR="0043112C" w:rsidRDefault="0043112C" w:rsidP="004311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jc w:val="both"/>
        <w:rPr>
          <w:rFonts w:ascii="Arial" w:hAnsi="Arial" w:cs="Arial"/>
          <w:sz w:val="20"/>
          <w:szCs w:val="20"/>
        </w:rPr>
      </w:pPr>
      <w:r>
        <w:rPr>
          <w:rFonts w:ascii="Arial" w:hAnsi="Arial" w:cs="Arial"/>
          <w:sz w:val="20"/>
          <w:szCs w:val="20"/>
        </w:rPr>
        <w:t xml:space="preserve">Pour chaque objectif, une série d’actions concrètes, en phase avec les réalités opérationnelles du projet, est proposée. Bien que le suivi du PAG soit assuré par le point focal genre de </w:t>
      </w:r>
      <w:proofErr w:type="spellStart"/>
      <w:r>
        <w:rPr>
          <w:rFonts w:ascii="Arial" w:hAnsi="Arial" w:cs="Arial"/>
          <w:sz w:val="20"/>
          <w:szCs w:val="20"/>
        </w:rPr>
        <w:t>Greenov’i</w:t>
      </w:r>
      <w:proofErr w:type="spellEnd"/>
      <w:r>
        <w:rPr>
          <w:rFonts w:ascii="Arial" w:hAnsi="Arial" w:cs="Arial"/>
          <w:sz w:val="20"/>
          <w:szCs w:val="20"/>
        </w:rPr>
        <w:t xml:space="preserve">, sa mise en œuvre est une responsabilité collective : chaque membre de l’équipe </w:t>
      </w:r>
      <w:proofErr w:type="spellStart"/>
      <w:r>
        <w:rPr>
          <w:rFonts w:ascii="Arial" w:hAnsi="Arial" w:cs="Arial"/>
          <w:sz w:val="20"/>
          <w:szCs w:val="20"/>
        </w:rPr>
        <w:t>Greenov’i</w:t>
      </w:r>
      <w:proofErr w:type="spellEnd"/>
      <w:r>
        <w:rPr>
          <w:rFonts w:ascii="Arial" w:hAnsi="Arial" w:cs="Arial"/>
          <w:sz w:val="20"/>
          <w:szCs w:val="20"/>
        </w:rPr>
        <w:t xml:space="preserve"> est acteur et actrice de son déploiement, en veillant à intégrer les actions qui lui incombent dans le cadre de ses activités.</w:t>
      </w:r>
    </w:p>
    <w:p w14:paraId="0E915B12" w14:textId="77777777" w:rsidR="0043112C" w:rsidRPr="00037B84" w:rsidRDefault="0043112C" w:rsidP="004311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jc w:val="both"/>
        <w:rPr>
          <w:rFonts w:ascii="Arial" w:hAnsi="Arial" w:cs="Arial"/>
          <w:sz w:val="20"/>
          <w:szCs w:val="20"/>
        </w:rPr>
      </w:pPr>
    </w:p>
    <w:p w14:paraId="795F80C6" w14:textId="77777777" w:rsidR="0043112C" w:rsidRPr="001119C5" w:rsidRDefault="0043112C" w:rsidP="0043112C">
      <w:pPr>
        <w:pStyle w:val="Paragraphedeliste"/>
        <w:numPr>
          <w:ilvl w:val="0"/>
          <w:numId w:val="1"/>
        </w:numPr>
        <w:rPr>
          <w:rFonts w:ascii="Arial" w:eastAsia="Times New Roman" w:hAnsi="Arial" w:cs="Arial"/>
          <w:b/>
          <w:color w:val="009C9C"/>
          <w:lang w:val="fr"/>
        </w:rPr>
      </w:pPr>
      <w:r w:rsidRPr="00EF1F03">
        <w:rPr>
          <w:rFonts w:ascii="Arial" w:eastAsia="Times New Roman" w:hAnsi="Arial" w:cs="Arial"/>
          <w:b/>
          <w:color w:val="009C9C"/>
          <w:lang w:val="fr"/>
        </w:rPr>
        <w:t>Contexte et justification du besoin</w:t>
      </w:r>
    </w:p>
    <w:p w14:paraId="5FDC37D2" w14:textId="77777777" w:rsidR="0043112C" w:rsidRDefault="0043112C" w:rsidP="0043112C">
      <w:pPr>
        <w:pStyle w:val="NormalWeb"/>
        <w:shd w:val="clear" w:color="auto" w:fill="FFFFFF"/>
        <w:spacing w:before="120" w:beforeAutospacing="0" w:after="120" w:afterAutospacing="0"/>
        <w:jc w:val="both"/>
        <w:rPr>
          <w:rFonts w:ascii="Arial" w:hAnsi="Arial" w:cs="Arial"/>
          <w:sz w:val="20"/>
          <w:szCs w:val="20"/>
        </w:rPr>
      </w:pPr>
      <w:r w:rsidRPr="007420EC">
        <w:rPr>
          <w:rFonts w:ascii="Arial" w:hAnsi="Arial" w:cs="Arial"/>
          <w:b/>
          <w:sz w:val="20"/>
          <w:szCs w:val="20"/>
        </w:rPr>
        <w:t xml:space="preserve">CEED (Center for </w:t>
      </w:r>
      <w:proofErr w:type="spellStart"/>
      <w:r w:rsidRPr="007420EC">
        <w:rPr>
          <w:rFonts w:ascii="Arial" w:hAnsi="Arial" w:cs="Arial"/>
          <w:b/>
          <w:sz w:val="20"/>
          <w:szCs w:val="20"/>
        </w:rPr>
        <w:t>Entrepreneurship</w:t>
      </w:r>
      <w:proofErr w:type="spellEnd"/>
      <w:r w:rsidRPr="007420EC">
        <w:rPr>
          <w:rFonts w:ascii="Arial" w:hAnsi="Arial" w:cs="Arial"/>
          <w:b/>
          <w:sz w:val="20"/>
          <w:szCs w:val="20"/>
        </w:rPr>
        <w:t xml:space="preserve"> and </w:t>
      </w:r>
      <w:proofErr w:type="spellStart"/>
      <w:r w:rsidRPr="007420EC">
        <w:rPr>
          <w:rFonts w:ascii="Arial" w:hAnsi="Arial" w:cs="Arial"/>
          <w:b/>
          <w:sz w:val="20"/>
          <w:szCs w:val="20"/>
        </w:rPr>
        <w:t>Executive</w:t>
      </w:r>
      <w:proofErr w:type="spellEnd"/>
      <w:r w:rsidRPr="007420EC">
        <w:rPr>
          <w:rFonts w:ascii="Arial" w:hAnsi="Arial" w:cs="Arial"/>
          <w:b/>
          <w:sz w:val="20"/>
          <w:szCs w:val="20"/>
        </w:rPr>
        <w:t xml:space="preserve"> </w:t>
      </w:r>
      <w:proofErr w:type="spellStart"/>
      <w:r w:rsidRPr="007420EC">
        <w:rPr>
          <w:rFonts w:ascii="Arial" w:hAnsi="Arial" w:cs="Arial"/>
          <w:b/>
          <w:sz w:val="20"/>
          <w:szCs w:val="20"/>
        </w:rPr>
        <w:t>Development</w:t>
      </w:r>
      <w:proofErr w:type="spellEnd"/>
      <w:r w:rsidRPr="007420EC">
        <w:rPr>
          <w:rFonts w:ascii="Arial" w:hAnsi="Arial" w:cs="Arial"/>
          <w:b/>
          <w:sz w:val="20"/>
          <w:szCs w:val="20"/>
        </w:rPr>
        <w:t>)</w:t>
      </w:r>
      <w:r>
        <w:rPr>
          <w:rFonts w:ascii="Arial" w:hAnsi="Arial" w:cs="Arial"/>
          <w:sz w:val="20"/>
          <w:szCs w:val="20"/>
        </w:rPr>
        <w:t xml:space="preserve">, est une organisation non gouvernementale tunisienne membre d’un réseau international. Elle est engagée dans l’accompagnement des entrepreneuses et entrepreneurs évoluant dans les marchés émergents. L’organisation œuvre pour la promotion d’un entrepreneuriat durable, innovant et générateur de croissance inclusive. </w:t>
      </w:r>
    </w:p>
    <w:p w14:paraId="1E5651ED" w14:textId="6FF6670C" w:rsidR="0043112C" w:rsidRDefault="0043112C" w:rsidP="0043112C">
      <w:pPr>
        <w:pStyle w:val="NormalWeb"/>
        <w:shd w:val="clear" w:color="auto" w:fill="FFFFFF"/>
        <w:spacing w:before="120" w:beforeAutospacing="0" w:after="120" w:afterAutospacing="0"/>
        <w:jc w:val="both"/>
        <w:rPr>
          <w:rFonts w:ascii="Arial" w:hAnsi="Arial" w:cs="Arial"/>
          <w:sz w:val="20"/>
          <w:szCs w:val="20"/>
        </w:rPr>
      </w:pPr>
      <w:r>
        <w:rPr>
          <w:rFonts w:ascii="Arial" w:hAnsi="Arial" w:cs="Arial"/>
          <w:sz w:val="20"/>
          <w:szCs w:val="20"/>
        </w:rPr>
        <w:t xml:space="preserve">A ce titre, CEED accompagne les entrepreneuses et entrepreneurs à différentes étapes du développement de leurs entreprises, en facilitant leur accès à un écosystème dynamique, à des opportunités de formation, de mentorat et de réseautage. </w:t>
      </w:r>
    </w:p>
    <w:p w14:paraId="7091B461" w14:textId="5EE6D976" w:rsidR="0043112C" w:rsidRDefault="00C045E7" w:rsidP="0043112C">
      <w:pPr>
        <w:pStyle w:val="NormalWeb"/>
        <w:shd w:val="clear" w:color="auto" w:fill="FFFFFF"/>
        <w:spacing w:before="120" w:beforeAutospacing="0" w:after="120" w:afterAutospacing="0"/>
        <w:jc w:val="both"/>
        <w:rPr>
          <w:rFonts w:ascii="Arial" w:hAnsi="Arial" w:cs="Arial"/>
          <w:sz w:val="20"/>
          <w:szCs w:val="20"/>
        </w:rPr>
      </w:pPr>
      <w:r w:rsidRPr="00C045E7">
        <w:rPr>
          <w:rFonts w:ascii="Arial" w:hAnsi="Arial" w:cs="Arial"/>
          <w:sz w:val="20"/>
          <w:szCs w:val="20"/>
        </w:rPr>
        <w:t xml:space="preserve">Cette mission s’inscrit dans le cadre de la mise en œuvre du projet </w:t>
      </w:r>
      <w:proofErr w:type="spellStart"/>
      <w:r w:rsidRPr="00C045E7">
        <w:rPr>
          <w:rFonts w:ascii="Arial" w:hAnsi="Arial" w:cs="Arial"/>
          <w:sz w:val="20"/>
          <w:szCs w:val="20"/>
        </w:rPr>
        <w:t>EcoGreen</w:t>
      </w:r>
      <w:proofErr w:type="spellEnd"/>
      <w:r w:rsidRPr="00C045E7">
        <w:rPr>
          <w:rFonts w:ascii="Arial" w:hAnsi="Arial" w:cs="Arial"/>
          <w:sz w:val="20"/>
          <w:szCs w:val="20"/>
        </w:rPr>
        <w:t xml:space="preserve">+, porté par CEED Tunisie </w:t>
      </w:r>
      <w:r w:rsidRPr="00C365C0">
        <w:rPr>
          <w:rFonts w:ascii="Arial" w:hAnsi="Arial" w:cs="Arial"/>
          <w:sz w:val="20"/>
          <w:szCs w:val="20"/>
        </w:rPr>
        <w:t>en partenariat avec la Fondation DAAM,</w:t>
      </w:r>
      <w:r w:rsidRPr="00C045E7">
        <w:rPr>
          <w:rFonts w:ascii="Arial" w:hAnsi="Arial" w:cs="Arial"/>
          <w:sz w:val="20"/>
          <w:szCs w:val="20"/>
        </w:rPr>
        <w:t xml:space="preserve"> </w:t>
      </w:r>
      <w:r>
        <w:rPr>
          <w:rFonts w:ascii="Arial" w:hAnsi="Arial" w:cs="Arial"/>
          <w:sz w:val="20"/>
          <w:szCs w:val="20"/>
        </w:rPr>
        <w:t>et</w:t>
      </w:r>
      <w:r w:rsidR="0043112C">
        <w:rPr>
          <w:rFonts w:ascii="Arial" w:hAnsi="Arial" w:cs="Arial"/>
          <w:sz w:val="20"/>
          <w:szCs w:val="20"/>
        </w:rPr>
        <w:t xml:space="preserve"> financé et appuyé techniquement par le proje</w:t>
      </w:r>
      <w:r w:rsidR="00460CD1">
        <w:rPr>
          <w:rFonts w:ascii="Arial" w:hAnsi="Arial" w:cs="Arial"/>
          <w:sz w:val="20"/>
          <w:szCs w:val="20"/>
        </w:rPr>
        <w:t xml:space="preserve">t </w:t>
      </w:r>
      <w:proofErr w:type="spellStart"/>
      <w:r w:rsidR="00460CD1">
        <w:rPr>
          <w:rFonts w:ascii="Arial" w:hAnsi="Arial" w:cs="Arial"/>
          <w:sz w:val="20"/>
          <w:szCs w:val="20"/>
        </w:rPr>
        <w:t>Greenov’i</w:t>
      </w:r>
      <w:proofErr w:type="spellEnd"/>
      <w:r w:rsidR="00460CD1">
        <w:rPr>
          <w:rFonts w:ascii="Arial" w:hAnsi="Arial" w:cs="Arial"/>
          <w:sz w:val="20"/>
          <w:szCs w:val="20"/>
        </w:rPr>
        <w:t xml:space="preserve">. </w:t>
      </w:r>
      <w:proofErr w:type="spellStart"/>
      <w:r w:rsidR="00460CD1">
        <w:rPr>
          <w:rFonts w:ascii="Arial" w:hAnsi="Arial" w:cs="Arial"/>
          <w:sz w:val="20"/>
          <w:szCs w:val="20"/>
        </w:rPr>
        <w:t>EcoGreen</w:t>
      </w:r>
      <w:proofErr w:type="spellEnd"/>
      <w:r w:rsidR="00460CD1">
        <w:rPr>
          <w:rFonts w:ascii="Arial" w:hAnsi="Arial" w:cs="Arial"/>
          <w:sz w:val="20"/>
          <w:szCs w:val="20"/>
        </w:rPr>
        <w:t xml:space="preserve">+ </w:t>
      </w:r>
      <w:r w:rsidR="0043112C">
        <w:rPr>
          <w:rFonts w:ascii="Arial" w:hAnsi="Arial" w:cs="Arial"/>
          <w:sz w:val="20"/>
          <w:szCs w:val="20"/>
        </w:rPr>
        <w:t xml:space="preserve">prévoit la co-construction et la mise en œuvre de cinq programmes d’accompagnement verts par les structures d’appui locales des régions de Gabès, Sfax, Tozeur, Médine et Sidi Bouzid. </w:t>
      </w:r>
    </w:p>
    <w:p w14:paraId="23A7F714" w14:textId="4264854B" w:rsidR="00C045E7" w:rsidRDefault="00C045E7" w:rsidP="0043112C">
      <w:pPr>
        <w:pStyle w:val="NormalWeb"/>
        <w:shd w:val="clear" w:color="auto" w:fill="FFFFFF"/>
        <w:spacing w:before="120" w:beforeAutospacing="0" w:after="120" w:afterAutospacing="0"/>
        <w:jc w:val="both"/>
        <w:rPr>
          <w:rFonts w:ascii="Arial" w:hAnsi="Arial" w:cs="Arial"/>
          <w:sz w:val="20"/>
          <w:szCs w:val="20"/>
        </w:rPr>
      </w:pPr>
      <w:r w:rsidRPr="00C045E7">
        <w:rPr>
          <w:rFonts w:ascii="Arial" w:hAnsi="Arial" w:cs="Arial"/>
          <w:sz w:val="20"/>
          <w:szCs w:val="20"/>
        </w:rPr>
        <w:lastRenderedPageBreak/>
        <w:t xml:space="preserve">La présente mission permettra à l’équipe de CEED Tunisie, </w:t>
      </w:r>
      <w:r w:rsidRPr="00C365C0">
        <w:rPr>
          <w:rFonts w:ascii="Arial" w:hAnsi="Arial" w:cs="Arial"/>
          <w:sz w:val="20"/>
          <w:szCs w:val="20"/>
        </w:rPr>
        <w:t>en coordination avec la Fondation DAAM,</w:t>
      </w:r>
      <w:r w:rsidRPr="00C045E7">
        <w:rPr>
          <w:rFonts w:ascii="Arial" w:hAnsi="Arial" w:cs="Arial"/>
          <w:sz w:val="20"/>
          <w:szCs w:val="20"/>
        </w:rPr>
        <w:t xml:space="preserve"> d’être outillée pour superviser, analyser, valider, harmoniser et pérenniser les programmes développés par les structures d’appui locales, tout en intégrant une approche genre et environnement.</w:t>
      </w:r>
    </w:p>
    <w:p w14:paraId="4B65924C" w14:textId="5ADC3204" w:rsidR="0043112C" w:rsidRDefault="0043112C" w:rsidP="0043112C">
      <w:pPr>
        <w:pStyle w:val="NormalWeb"/>
        <w:shd w:val="clear" w:color="auto" w:fill="FFFFFF"/>
        <w:spacing w:before="120" w:beforeAutospacing="0" w:after="120" w:afterAutospacing="0"/>
        <w:jc w:val="both"/>
        <w:rPr>
          <w:rFonts w:ascii="Arial" w:hAnsi="Arial" w:cs="Arial"/>
          <w:sz w:val="20"/>
          <w:szCs w:val="20"/>
        </w:rPr>
      </w:pPr>
      <w:r>
        <w:rPr>
          <w:rFonts w:ascii="Arial" w:hAnsi="Arial" w:cs="Arial"/>
          <w:sz w:val="20"/>
          <w:szCs w:val="20"/>
        </w:rPr>
        <w:t xml:space="preserve">Compte tenu de la complexité du projet, de la diversité des contextes régionaux, et du mandat d’action de </w:t>
      </w:r>
      <w:proofErr w:type="spellStart"/>
      <w:r>
        <w:rPr>
          <w:rFonts w:ascii="Arial" w:hAnsi="Arial" w:cs="Arial"/>
          <w:sz w:val="20"/>
          <w:szCs w:val="20"/>
        </w:rPr>
        <w:t>Greenov’i</w:t>
      </w:r>
      <w:proofErr w:type="spellEnd"/>
      <w:r>
        <w:rPr>
          <w:rFonts w:ascii="Arial" w:hAnsi="Arial" w:cs="Arial"/>
          <w:sz w:val="20"/>
          <w:szCs w:val="20"/>
        </w:rPr>
        <w:t xml:space="preserve"> guidé par la nécessité d’agir en matière d’économie verte, d’innovation écologique, de transition durable et d’inclusion sociale, CEED souhaite renforcer ses capacités internes sur ses sujets</w:t>
      </w:r>
      <w:r w:rsidR="00C045E7">
        <w:rPr>
          <w:rFonts w:ascii="Arial" w:hAnsi="Arial" w:cs="Arial"/>
          <w:sz w:val="20"/>
          <w:szCs w:val="20"/>
        </w:rPr>
        <w:t>.</w:t>
      </w:r>
    </w:p>
    <w:p w14:paraId="12AA4521" w14:textId="77777777" w:rsidR="0043112C" w:rsidRDefault="0043112C" w:rsidP="0043112C">
      <w:pPr>
        <w:pStyle w:val="Paragraphedeliste"/>
        <w:numPr>
          <w:ilvl w:val="0"/>
          <w:numId w:val="1"/>
        </w:numPr>
        <w:spacing w:line="240" w:lineRule="auto"/>
        <w:jc w:val="both"/>
        <w:rPr>
          <w:rFonts w:ascii="Arial" w:eastAsia="Times New Roman" w:hAnsi="Arial" w:cs="Arial"/>
          <w:b/>
          <w:color w:val="009C9C"/>
          <w:lang w:val="fr"/>
        </w:rPr>
      </w:pPr>
      <w:r w:rsidRPr="002418DA">
        <w:rPr>
          <w:rFonts w:ascii="Arial" w:eastAsia="Times New Roman" w:hAnsi="Arial" w:cs="Arial"/>
          <w:b/>
          <w:color w:val="009C9C"/>
          <w:lang w:val="fr"/>
        </w:rPr>
        <w:t>Objectifs et résultats de la mission</w:t>
      </w:r>
    </w:p>
    <w:p w14:paraId="678CBA8E" w14:textId="220713B4" w:rsidR="0043112C" w:rsidRDefault="0043112C" w:rsidP="0043112C">
      <w:pPr>
        <w:pStyle w:val="NormalWeb"/>
        <w:shd w:val="clear" w:color="auto" w:fill="FFFFFF"/>
        <w:spacing w:before="120" w:beforeAutospacing="0" w:after="120" w:afterAutospacing="0"/>
        <w:jc w:val="both"/>
        <w:rPr>
          <w:rFonts w:ascii="Arial" w:hAnsi="Arial" w:cs="Arial"/>
          <w:spacing w:val="3"/>
          <w:sz w:val="20"/>
          <w:szCs w:val="20"/>
        </w:rPr>
      </w:pPr>
      <w:r w:rsidRPr="007420EC">
        <w:rPr>
          <w:rFonts w:ascii="Arial" w:hAnsi="Arial" w:cs="Arial"/>
          <w:sz w:val="20"/>
          <w:szCs w:val="20"/>
          <w:lang w:val="fr"/>
        </w:rPr>
        <w:t xml:space="preserve">La présente mission a pour objectif de </w:t>
      </w:r>
      <w:r w:rsidRPr="007420EC">
        <w:rPr>
          <w:rFonts w:ascii="Arial" w:hAnsi="Arial" w:cs="Arial"/>
          <w:spacing w:val="3"/>
          <w:sz w:val="20"/>
          <w:szCs w:val="20"/>
        </w:rPr>
        <w:t xml:space="preserve">renforcer les compétences internes de toute l’équipe de CEED Tunisie afin de lui permettre de piloter, superviser et valider les programmes verts développés dans le cadre du projet </w:t>
      </w:r>
      <w:proofErr w:type="spellStart"/>
      <w:r w:rsidRPr="007420EC">
        <w:rPr>
          <w:rFonts w:ascii="Arial" w:hAnsi="Arial" w:cs="Arial"/>
          <w:spacing w:val="3"/>
          <w:sz w:val="20"/>
          <w:szCs w:val="20"/>
        </w:rPr>
        <w:t>EcoGreen</w:t>
      </w:r>
      <w:proofErr w:type="spellEnd"/>
      <w:r w:rsidRPr="007420EC">
        <w:rPr>
          <w:rFonts w:ascii="Arial" w:hAnsi="Arial" w:cs="Arial"/>
          <w:spacing w:val="3"/>
          <w:sz w:val="20"/>
          <w:szCs w:val="20"/>
        </w:rPr>
        <w:t xml:space="preserve">+. </w:t>
      </w:r>
    </w:p>
    <w:p w14:paraId="1CDDC290" w14:textId="77777777" w:rsidR="0043112C" w:rsidRDefault="0043112C" w:rsidP="0043112C">
      <w:pPr>
        <w:pStyle w:val="NormalWeb"/>
        <w:shd w:val="clear" w:color="auto" w:fill="FFFFFF"/>
        <w:spacing w:before="120" w:beforeAutospacing="0" w:after="120" w:afterAutospacing="0"/>
        <w:jc w:val="both"/>
        <w:rPr>
          <w:rFonts w:ascii="Arial" w:hAnsi="Arial" w:cs="Arial"/>
          <w:spacing w:val="3"/>
          <w:sz w:val="20"/>
          <w:szCs w:val="20"/>
        </w:rPr>
      </w:pPr>
      <w:r w:rsidRPr="007420EC">
        <w:rPr>
          <w:rFonts w:ascii="Arial" w:hAnsi="Arial" w:cs="Arial"/>
          <w:spacing w:val="3"/>
          <w:sz w:val="20"/>
          <w:szCs w:val="20"/>
        </w:rPr>
        <w:t>Par ailleurs l’association vise plusieurs objectifs spécifiques</w:t>
      </w:r>
      <w:r>
        <w:rPr>
          <w:rFonts w:ascii="Arial" w:hAnsi="Arial" w:cs="Arial"/>
          <w:spacing w:val="3"/>
          <w:sz w:val="20"/>
          <w:szCs w:val="20"/>
        </w:rPr>
        <w:t xml:space="preserve"> : </w:t>
      </w:r>
    </w:p>
    <w:p w14:paraId="027DD426" w14:textId="2DCA0C4D" w:rsidR="0043112C" w:rsidRDefault="0043112C" w:rsidP="0043112C">
      <w:pPr>
        <w:pStyle w:val="NormalWeb"/>
        <w:numPr>
          <w:ilvl w:val="0"/>
          <w:numId w:val="14"/>
        </w:numPr>
        <w:shd w:val="clear" w:color="auto" w:fill="FFFFFF"/>
        <w:spacing w:before="120" w:beforeAutospacing="0" w:after="120" w:afterAutospacing="0"/>
        <w:jc w:val="both"/>
        <w:rPr>
          <w:rFonts w:ascii="Arial" w:hAnsi="Arial" w:cs="Arial"/>
          <w:spacing w:val="3"/>
          <w:sz w:val="20"/>
          <w:szCs w:val="20"/>
        </w:rPr>
      </w:pPr>
      <w:r>
        <w:rPr>
          <w:rFonts w:ascii="Arial" w:hAnsi="Arial" w:cs="Arial"/>
          <w:spacing w:val="3"/>
          <w:sz w:val="20"/>
          <w:szCs w:val="20"/>
        </w:rPr>
        <w:t>H</w:t>
      </w:r>
      <w:r w:rsidRPr="007420EC">
        <w:rPr>
          <w:rFonts w:ascii="Arial" w:hAnsi="Arial" w:cs="Arial"/>
          <w:spacing w:val="3"/>
          <w:sz w:val="20"/>
          <w:szCs w:val="20"/>
        </w:rPr>
        <w:t xml:space="preserve">armoniser les outils </w:t>
      </w:r>
      <w:r w:rsidR="009B6495">
        <w:rPr>
          <w:rFonts w:ascii="Arial" w:hAnsi="Arial" w:cs="Arial"/>
          <w:spacing w:val="3"/>
          <w:sz w:val="20"/>
          <w:szCs w:val="20"/>
        </w:rPr>
        <w:t xml:space="preserve">de suivi </w:t>
      </w:r>
      <w:r w:rsidRPr="007420EC">
        <w:rPr>
          <w:rFonts w:ascii="Arial" w:hAnsi="Arial" w:cs="Arial"/>
          <w:spacing w:val="3"/>
          <w:sz w:val="20"/>
          <w:szCs w:val="20"/>
        </w:rPr>
        <w:t>internes, pour garantir un suivi personnalisé</w:t>
      </w:r>
      <w:r w:rsidR="00B23139">
        <w:rPr>
          <w:rFonts w:ascii="Arial" w:hAnsi="Arial" w:cs="Arial"/>
          <w:spacing w:val="3"/>
          <w:sz w:val="20"/>
          <w:szCs w:val="20"/>
        </w:rPr>
        <w:t>, mais</w:t>
      </w:r>
      <w:r w:rsidRPr="007420EC">
        <w:rPr>
          <w:rFonts w:ascii="Arial" w:hAnsi="Arial" w:cs="Arial"/>
          <w:spacing w:val="3"/>
          <w:sz w:val="20"/>
          <w:szCs w:val="20"/>
        </w:rPr>
        <w:t xml:space="preserve"> standardisé et reproductible</w:t>
      </w:r>
      <w:r w:rsidR="00B23139">
        <w:rPr>
          <w:rFonts w:ascii="Arial" w:hAnsi="Arial" w:cs="Arial"/>
          <w:spacing w:val="3"/>
          <w:sz w:val="20"/>
          <w:szCs w:val="20"/>
        </w:rPr>
        <w:t>,</w:t>
      </w:r>
      <w:r w:rsidRPr="007420EC">
        <w:rPr>
          <w:rFonts w:ascii="Arial" w:hAnsi="Arial" w:cs="Arial"/>
          <w:spacing w:val="3"/>
          <w:sz w:val="20"/>
          <w:szCs w:val="20"/>
        </w:rPr>
        <w:t xml:space="preserve"> tout en assur</w:t>
      </w:r>
      <w:r w:rsidR="00B23139">
        <w:rPr>
          <w:rFonts w:ascii="Arial" w:hAnsi="Arial" w:cs="Arial"/>
          <w:spacing w:val="3"/>
          <w:sz w:val="20"/>
          <w:szCs w:val="20"/>
        </w:rPr>
        <w:t>ant</w:t>
      </w:r>
      <w:r w:rsidRPr="007420EC">
        <w:rPr>
          <w:rFonts w:ascii="Arial" w:hAnsi="Arial" w:cs="Arial"/>
          <w:spacing w:val="3"/>
          <w:sz w:val="20"/>
          <w:szCs w:val="20"/>
        </w:rPr>
        <w:t xml:space="preserve"> la pérennisation et la duplication des programmes</w:t>
      </w:r>
      <w:r>
        <w:rPr>
          <w:rFonts w:ascii="Arial" w:hAnsi="Arial" w:cs="Arial"/>
          <w:spacing w:val="3"/>
          <w:sz w:val="20"/>
          <w:szCs w:val="20"/>
        </w:rPr>
        <w:t xml:space="preserve"> ; </w:t>
      </w:r>
    </w:p>
    <w:p w14:paraId="3040745F" w14:textId="77777777" w:rsidR="0043112C" w:rsidRDefault="0043112C" w:rsidP="0043112C">
      <w:pPr>
        <w:pStyle w:val="NormalWeb"/>
        <w:numPr>
          <w:ilvl w:val="0"/>
          <w:numId w:val="14"/>
        </w:numPr>
        <w:shd w:val="clear" w:color="auto" w:fill="FFFFFF"/>
        <w:spacing w:before="120" w:beforeAutospacing="0" w:after="120" w:afterAutospacing="0"/>
        <w:jc w:val="both"/>
        <w:rPr>
          <w:rFonts w:ascii="Arial" w:hAnsi="Arial" w:cs="Arial"/>
          <w:spacing w:val="3"/>
          <w:sz w:val="20"/>
          <w:szCs w:val="20"/>
        </w:rPr>
      </w:pPr>
      <w:r>
        <w:rPr>
          <w:rFonts w:ascii="Arial" w:hAnsi="Arial" w:cs="Arial"/>
          <w:spacing w:val="3"/>
          <w:sz w:val="20"/>
          <w:szCs w:val="20"/>
        </w:rPr>
        <w:t xml:space="preserve">Renforcer l’intégration transversale des approches genre et environnement dans les outils, processus et pratiques de suivi ; </w:t>
      </w:r>
    </w:p>
    <w:p w14:paraId="7B8EAD39" w14:textId="1E97B041" w:rsidR="0043112C" w:rsidRDefault="0043112C" w:rsidP="0043112C">
      <w:pPr>
        <w:pStyle w:val="NormalWeb"/>
        <w:numPr>
          <w:ilvl w:val="0"/>
          <w:numId w:val="14"/>
        </w:numPr>
        <w:shd w:val="clear" w:color="auto" w:fill="FFFFFF"/>
        <w:spacing w:before="120" w:beforeAutospacing="0" w:after="120" w:afterAutospacing="0"/>
        <w:jc w:val="both"/>
        <w:rPr>
          <w:rFonts w:ascii="Arial" w:hAnsi="Arial" w:cs="Arial"/>
          <w:spacing w:val="3"/>
          <w:sz w:val="20"/>
          <w:szCs w:val="20"/>
        </w:rPr>
      </w:pPr>
      <w:r>
        <w:rPr>
          <w:rFonts w:ascii="Arial" w:hAnsi="Arial" w:cs="Arial"/>
          <w:spacing w:val="3"/>
          <w:sz w:val="20"/>
          <w:szCs w:val="20"/>
        </w:rPr>
        <w:t>Consolider les capacités de pilotage stratégique, d’ajustement et d’amélioration continue pour le post-projet.</w:t>
      </w:r>
    </w:p>
    <w:p w14:paraId="3C518342" w14:textId="77777777" w:rsidR="004D205A" w:rsidRPr="004D205A" w:rsidRDefault="004D205A" w:rsidP="004D205A">
      <w:pPr>
        <w:pStyle w:val="NormalWeb"/>
        <w:shd w:val="clear" w:color="auto" w:fill="FFFFFF"/>
        <w:spacing w:before="120" w:beforeAutospacing="0" w:after="120" w:afterAutospacing="0"/>
        <w:ind w:left="1080"/>
        <w:jc w:val="both"/>
        <w:rPr>
          <w:rFonts w:ascii="Arial" w:hAnsi="Arial" w:cs="Arial"/>
          <w:spacing w:val="3"/>
          <w:sz w:val="20"/>
          <w:szCs w:val="20"/>
        </w:rPr>
      </w:pPr>
    </w:p>
    <w:p w14:paraId="2B986050" w14:textId="77777777" w:rsidR="0043112C" w:rsidRPr="000E488E" w:rsidRDefault="0043112C" w:rsidP="0043112C">
      <w:pPr>
        <w:jc w:val="both"/>
        <w:rPr>
          <w:rFonts w:ascii="Arial" w:hAnsi="Arial" w:cs="Arial"/>
          <w:sz w:val="20"/>
          <w:szCs w:val="20"/>
        </w:rPr>
      </w:pPr>
      <w:r w:rsidRPr="000E488E">
        <w:rPr>
          <w:rFonts w:ascii="Arial" w:hAnsi="Arial" w:cs="Arial"/>
          <w:sz w:val="20"/>
          <w:szCs w:val="20"/>
        </w:rPr>
        <w:t>Les 5 résultats attendus sont :</w:t>
      </w:r>
    </w:p>
    <w:p w14:paraId="0FB3B99A" w14:textId="26A6C09C" w:rsidR="0043112C" w:rsidRDefault="0043112C" w:rsidP="00460CD1">
      <w:pPr>
        <w:pStyle w:val="Paragraphedeliste"/>
        <w:numPr>
          <w:ilvl w:val="0"/>
          <w:numId w:val="13"/>
        </w:numPr>
        <w:jc w:val="both"/>
        <w:rPr>
          <w:rFonts w:ascii="Arial" w:hAnsi="Arial" w:cs="Arial"/>
          <w:spacing w:val="3"/>
          <w:sz w:val="20"/>
          <w:szCs w:val="20"/>
          <w:shd w:val="clear" w:color="auto" w:fill="FFFFFF"/>
        </w:rPr>
      </w:pPr>
      <w:r w:rsidRPr="007420EC">
        <w:rPr>
          <w:rFonts w:ascii="Arial" w:hAnsi="Arial" w:cs="Arial"/>
          <w:b/>
          <w:spacing w:val="3"/>
          <w:sz w:val="20"/>
          <w:szCs w:val="20"/>
          <w:shd w:val="clear" w:color="auto" w:fill="FFFFFF"/>
        </w:rPr>
        <w:t>Résultat 1 :</w:t>
      </w:r>
      <w:r w:rsidRPr="007420EC">
        <w:rPr>
          <w:rFonts w:ascii="Arial" w:hAnsi="Arial" w:cs="Arial"/>
          <w:spacing w:val="3"/>
          <w:sz w:val="20"/>
          <w:szCs w:val="20"/>
          <w:shd w:val="clear" w:color="auto" w:fill="FFFFFF"/>
        </w:rPr>
        <w:t xml:space="preserve"> CEED dispos</w:t>
      </w:r>
      <w:r w:rsidR="00F94E2B">
        <w:rPr>
          <w:rFonts w:ascii="Arial" w:hAnsi="Arial" w:cs="Arial"/>
          <w:spacing w:val="3"/>
          <w:sz w:val="20"/>
          <w:szCs w:val="20"/>
          <w:shd w:val="clear" w:color="auto" w:fill="FFFFFF"/>
        </w:rPr>
        <w:t xml:space="preserve">e de compétences renforcées </w:t>
      </w:r>
      <w:r w:rsidR="00B23139">
        <w:rPr>
          <w:rFonts w:ascii="Arial" w:hAnsi="Arial" w:cs="Arial"/>
          <w:spacing w:val="3"/>
          <w:sz w:val="20"/>
          <w:szCs w:val="20"/>
          <w:shd w:val="clear" w:color="auto" w:fill="FFFFFF"/>
        </w:rPr>
        <w:t>sur la</w:t>
      </w:r>
      <w:r w:rsidRPr="007420EC">
        <w:rPr>
          <w:rFonts w:ascii="Arial" w:hAnsi="Arial" w:cs="Arial"/>
          <w:spacing w:val="3"/>
          <w:sz w:val="20"/>
          <w:szCs w:val="20"/>
          <w:shd w:val="clear" w:color="auto" w:fill="FFFFFF"/>
        </w:rPr>
        <w:t xml:space="preserve"> supervis</w:t>
      </w:r>
      <w:r w:rsidR="00B23139">
        <w:rPr>
          <w:rFonts w:ascii="Arial" w:hAnsi="Arial" w:cs="Arial"/>
          <w:spacing w:val="3"/>
          <w:sz w:val="20"/>
          <w:szCs w:val="20"/>
          <w:shd w:val="clear" w:color="auto" w:fill="FFFFFF"/>
        </w:rPr>
        <w:t>ion</w:t>
      </w:r>
      <w:r w:rsidRPr="007420EC">
        <w:rPr>
          <w:rFonts w:ascii="Arial" w:hAnsi="Arial" w:cs="Arial"/>
          <w:spacing w:val="3"/>
          <w:sz w:val="20"/>
          <w:szCs w:val="20"/>
          <w:shd w:val="clear" w:color="auto" w:fill="FFFFFF"/>
        </w:rPr>
        <w:t xml:space="preserve"> </w:t>
      </w:r>
      <w:r w:rsidR="00B23139">
        <w:rPr>
          <w:rFonts w:ascii="Arial" w:hAnsi="Arial" w:cs="Arial"/>
          <w:spacing w:val="3"/>
          <w:sz w:val="20"/>
          <w:szCs w:val="20"/>
          <w:shd w:val="clear" w:color="auto" w:fill="FFFFFF"/>
        </w:rPr>
        <w:t>d</w:t>
      </w:r>
      <w:r w:rsidRPr="007420EC">
        <w:rPr>
          <w:rFonts w:ascii="Arial" w:hAnsi="Arial" w:cs="Arial"/>
          <w:spacing w:val="3"/>
          <w:sz w:val="20"/>
          <w:szCs w:val="20"/>
          <w:shd w:val="clear" w:color="auto" w:fill="FFFFFF"/>
        </w:rPr>
        <w:t>e programmes verts</w:t>
      </w:r>
      <w:r w:rsidR="00F94E2B">
        <w:rPr>
          <w:rFonts w:ascii="Arial" w:hAnsi="Arial" w:cs="Arial"/>
          <w:spacing w:val="3"/>
          <w:sz w:val="20"/>
          <w:szCs w:val="20"/>
          <w:shd w:val="clear" w:color="auto" w:fill="FFFFFF"/>
        </w:rPr>
        <w:t xml:space="preserve">, en assurant un suivi stratégique structuré et une prise de décision éclairée. </w:t>
      </w:r>
    </w:p>
    <w:p w14:paraId="7CE408EE" w14:textId="2831AB98" w:rsidR="0043112C" w:rsidRDefault="0043112C" w:rsidP="00460CD1">
      <w:pPr>
        <w:pStyle w:val="Paragraphedeliste"/>
        <w:numPr>
          <w:ilvl w:val="0"/>
          <w:numId w:val="13"/>
        </w:numPr>
        <w:jc w:val="both"/>
        <w:rPr>
          <w:rFonts w:ascii="Arial" w:hAnsi="Arial" w:cs="Arial"/>
          <w:spacing w:val="3"/>
          <w:sz w:val="20"/>
          <w:szCs w:val="20"/>
          <w:shd w:val="clear" w:color="auto" w:fill="FFFFFF"/>
        </w:rPr>
      </w:pPr>
      <w:r w:rsidRPr="007420EC">
        <w:rPr>
          <w:rFonts w:ascii="Arial" w:hAnsi="Arial" w:cs="Arial"/>
          <w:b/>
          <w:spacing w:val="3"/>
          <w:sz w:val="20"/>
          <w:szCs w:val="20"/>
          <w:shd w:val="clear" w:color="auto" w:fill="FFFFFF"/>
        </w:rPr>
        <w:t>Résultat 2 :</w:t>
      </w:r>
      <w:r w:rsidR="00F94E2B">
        <w:rPr>
          <w:rFonts w:ascii="Arial" w:hAnsi="Arial" w:cs="Arial"/>
          <w:spacing w:val="3"/>
          <w:sz w:val="20"/>
          <w:szCs w:val="20"/>
          <w:shd w:val="clear" w:color="auto" w:fill="FFFFFF"/>
        </w:rPr>
        <w:t xml:space="preserve"> Des o</w:t>
      </w:r>
      <w:r w:rsidRPr="007420EC">
        <w:rPr>
          <w:rFonts w:ascii="Arial" w:hAnsi="Arial" w:cs="Arial"/>
          <w:spacing w:val="3"/>
          <w:sz w:val="20"/>
          <w:szCs w:val="20"/>
          <w:shd w:val="clear" w:color="auto" w:fill="FFFFFF"/>
        </w:rPr>
        <w:t>utils harmonisés et reproductibles</w:t>
      </w:r>
      <w:r w:rsidR="00460CD1">
        <w:rPr>
          <w:rFonts w:ascii="Arial" w:hAnsi="Arial" w:cs="Arial"/>
          <w:spacing w:val="3"/>
          <w:sz w:val="20"/>
          <w:szCs w:val="20"/>
          <w:shd w:val="clear" w:color="auto" w:fill="FFFFFF"/>
        </w:rPr>
        <w:t xml:space="preserve"> s</w:t>
      </w:r>
      <w:r w:rsidR="00F94E2B">
        <w:rPr>
          <w:rFonts w:ascii="Arial" w:hAnsi="Arial" w:cs="Arial"/>
          <w:spacing w:val="3"/>
          <w:sz w:val="20"/>
          <w:szCs w:val="20"/>
          <w:shd w:val="clear" w:color="auto" w:fill="FFFFFF"/>
        </w:rPr>
        <w:t>ont développés</w:t>
      </w:r>
      <w:r w:rsidRPr="007420EC">
        <w:rPr>
          <w:rFonts w:ascii="Arial" w:hAnsi="Arial" w:cs="Arial"/>
          <w:spacing w:val="3"/>
          <w:sz w:val="20"/>
          <w:szCs w:val="20"/>
          <w:shd w:val="clear" w:color="auto" w:fill="FFFFFF"/>
        </w:rPr>
        <w:t xml:space="preserve"> pour</w:t>
      </w:r>
      <w:r w:rsidR="00460CD1">
        <w:rPr>
          <w:rFonts w:ascii="Arial" w:hAnsi="Arial" w:cs="Arial"/>
          <w:spacing w:val="3"/>
          <w:sz w:val="20"/>
          <w:szCs w:val="20"/>
          <w:shd w:val="clear" w:color="auto" w:fill="FFFFFF"/>
        </w:rPr>
        <w:t xml:space="preserve"> assurer un suivi-</w:t>
      </w:r>
      <w:r w:rsidR="00F94E2B">
        <w:rPr>
          <w:rFonts w:ascii="Arial" w:hAnsi="Arial" w:cs="Arial"/>
          <w:spacing w:val="3"/>
          <w:sz w:val="20"/>
          <w:szCs w:val="20"/>
          <w:shd w:val="clear" w:color="auto" w:fill="FFFFFF"/>
        </w:rPr>
        <w:t xml:space="preserve">évaluation cohérent des programmes, facilitant ainsi leur appropriation et leur déploiement dans différents contextes. </w:t>
      </w:r>
    </w:p>
    <w:p w14:paraId="5337974F" w14:textId="77777777" w:rsidR="0043112C" w:rsidRDefault="0043112C" w:rsidP="00460CD1">
      <w:pPr>
        <w:pStyle w:val="Paragraphedeliste"/>
        <w:numPr>
          <w:ilvl w:val="0"/>
          <w:numId w:val="13"/>
        </w:numPr>
        <w:jc w:val="both"/>
        <w:rPr>
          <w:rFonts w:ascii="Arial" w:hAnsi="Arial" w:cs="Arial"/>
          <w:spacing w:val="3"/>
          <w:sz w:val="20"/>
          <w:szCs w:val="20"/>
          <w:shd w:val="clear" w:color="auto" w:fill="FFFFFF"/>
        </w:rPr>
      </w:pPr>
      <w:r w:rsidRPr="007420EC">
        <w:rPr>
          <w:rFonts w:ascii="Arial" w:hAnsi="Arial" w:cs="Arial"/>
          <w:b/>
          <w:spacing w:val="3"/>
          <w:sz w:val="20"/>
          <w:szCs w:val="20"/>
          <w:shd w:val="clear" w:color="auto" w:fill="FFFFFF"/>
        </w:rPr>
        <w:t>Résultat 3 :</w:t>
      </w:r>
      <w:r w:rsidRPr="007420EC">
        <w:rPr>
          <w:rFonts w:ascii="Arial" w:hAnsi="Arial" w:cs="Arial"/>
          <w:spacing w:val="3"/>
          <w:sz w:val="20"/>
          <w:szCs w:val="20"/>
          <w:shd w:val="clear" w:color="auto" w:fill="FFFFFF"/>
        </w:rPr>
        <w:t xml:space="preserve"> </w:t>
      </w:r>
      <w:r w:rsidR="00F94E2B">
        <w:rPr>
          <w:rFonts w:ascii="Arial" w:hAnsi="Arial" w:cs="Arial"/>
          <w:spacing w:val="3"/>
          <w:sz w:val="20"/>
          <w:szCs w:val="20"/>
          <w:shd w:val="clear" w:color="auto" w:fill="FFFFFF"/>
        </w:rPr>
        <w:t xml:space="preserve">Les équipes ont renforcé leurs capacités à intégrer les dimensions genre et environnement dans la conception, la mise en œuvre et l’évaluation des programmes, garantissant une approche inclusive et durable. </w:t>
      </w:r>
    </w:p>
    <w:p w14:paraId="16B48D7D" w14:textId="073CE2B2" w:rsidR="0043112C" w:rsidRDefault="0043112C" w:rsidP="00460CD1">
      <w:pPr>
        <w:pStyle w:val="Paragraphedeliste"/>
        <w:numPr>
          <w:ilvl w:val="0"/>
          <w:numId w:val="13"/>
        </w:numPr>
        <w:jc w:val="both"/>
        <w:rPr>
          <w:rFonts w:ascii="Arial" w:hAnsi="Arial" w:cs="Arial"/>
          <w:spacing w:val="3"/>
          <w:sz w:val="20"/>
          <w:szCs w:val="20"/>
          <w:shd w:val="clear" w:color="auto" w:fill="FFFFFF"/>
        </w:rPr>
      </w:pPr>
      <w:r w:rsidRPr="007420EC">
        <w:rPr>
          <w:rFonts w:ascii="Arial" w:hAnsi="Arial" w:cs="Arial"/>
          <w:b/>
          <w:spacing w:val="3"/>
          <w:sz w:val="20"/>
          <w:szCs w:val="20"/>
          <w:shd w:val="clear" w:color="auto" w:fill="FFFFFF"/>
        </w:rPr>
        <w:t>Résultat 4 :</w:t>
      </w:r>
      <w:r w:rsidRPr="007420EC">
        <w:rPr>
          <w:rFonts w:ascii="Arial" w:hAnsi="Arial" w:cs="Arial"/>
          <w:spacing w:val="3"/>
          <w:sz w:val="20"/>
          <w:szCs w:val="20"/>
          <w:shd w:val="clear" w:color="auto" w:fill="FFFFFF"/>
        </w:rPr>
        <w:t xml:space="preserve"> </w:t>
      </w:r>
      <w:r w:rsidR="00605411">
        <w:rPr>
          <w:rFonts w:ascii="Arial" w:hAnsi="Arial" w:cs="Arial"/>
          <w:spacing w:val="3"/>
          <w:sz w:val="20"/>
          <w:szCs w:val="20"/>
          <w:shd w:val="clear" w:color="auto" w:fill="FFFFFF"/>
        </w:rPr>
        <w:t xml:space="preserve">Une </w:t>
      </w:r>
      <w:r w:rsidR="00B23139">
        <w:rPr>
          <w:rFonts w:ascii="Arial" w:hAnsi="Arial" w:cs="Arial"/>
          <w:spacing w:val="3"/>
          <w:sz w:val="20"/>
          <w:szCs w:val="20"/>
          <w:shd w:val="clear" w:color="auto" w:fill="FFFFFF"/>
        </w:rPr>
        <w:t xml:space="preserve">stratégie de </w:t>
      </w:r>
      <w:r w:rsidR="00605411">
        <w:rPr>
          <w:rFonts w:ascii="Arial" w:hAnsi="Arial" w:cs="Arial"/>
          <w:spacing w:val="3"/>
          <w:sz w:val="20"/>
          <w:szCs w:val="20"/>
          <w:shd w:val="clear" w:color="auto" w:fill="FFFFFF"/>
        </w:rPr>
        <w:t>pérennisation des programmes existants</w:t>
      </w:r>
      <w:r w:rsidR="00460CD1">
        <w:rPr>
          <w:rFonts w:ascii="Arial" w:hAnsi="Arial" w:cs="Arial"/>
          <w:spacing w:val="3"/>
          <w:sz w:val="20"/>
          <w:szCs w:val="20"/>
          <w:shd w:val="clear" w:color="auto" w:fill="FFFFFF"/>
        </w:rPr>
        <w:t xml:space="preserve"> et </w:t>
      </w:r>
      <w:r w:rsidR="00B23139">
        <w:rPr>
          <w:rFonts w:ascii="Arial" w:hAnsi="Arial" w:cs="Arial"/>
          <w:spacing w:val="3"/>
          <w:sz w:val="20"/>
          <w:szCs w:val="20"/>
          <w:shd w:val="clear" w:color="auto" w:fill="FFFFFF"/>
        </w:rPr>
        <w:t>de l</w:t>
      </w:r>
      <w:r w:rsidR="00605411">
        <w:rPr>
          <w:rFonts w:ascii="Arial" w:hAnsi="Arial" w:cs="Arial"/>
          <w:spacing w:val="3"/>
          <w:sz w:val="20"/>
          <w:szCs w:val="20"/>
          <w:shd w:val="clear" w:color="auto" w:fill="FFFFFF"/>
        </w:rPr>
        <w:t>eur duplication dans d’autres régions</w:t>
      </w:r>
      <w:r w:rsidR="00B23139">
        <w:rPr>
          <w:rFonts w:ascii="Arial" w:hAnsi="Arial" w:cs="Arial"/>
          <w:spacing w:val="3"/>
          <w:sz w:val="20"/>
          <w:szCs w:val="20"/>
          <w:shd w:val="clear" w:color="auto" w:fill="FFFFFF"/>
        </w:rPr>
        <w:t xml:space="preserve"> est élaborée</w:t>
      </w:r>
      <w:r w:rsidR="00605411">
        <w:rPr>
          <w:rFonts w:ascii="Arial" w:hAnsi="Arial" w:cs="Arial"/>
          <w:spacing w:val="3"/>
          <w:sz w:val="20"/>
          <w:szCs w:val="20"/>
          <w:shd w:val="clear" w:color="auto" w:fill="FFFFFF"/>
        </w:rPr>
        <w:t xml:space="preserve">, dans une logique de capitalisation et de passage à l’échelle. </w:t>
      </w:r>
    </w:p>
    <w:p w14:paraId="27A4BB72" w14:textId="7232D7F0" w:rsidR="0043112C" w:rsidRPr="007420EC" w:rsidRDefault="0043112C" w:rsidP="00460CD1">
      <w:pPr>
        <w:pStyle w:val="Paragraphedeliste"/>
        <w:numPr>
          <w:ilvl w:val="0"/>
          <w:numId w:val="13"/>
        </w:numPr>
        <w:jc w:val="both"/>
        <w:rPr>
          <w:rFonts w:ascii="Arial" w:hAnsi="Arial" w:cs="Arial"/>
          <w:spacing w:val="3"/>
          <w:sz w:val="20"/>
          <w:szCs w:val="20"/>
          <w:shd w:val="clear" w:color="auto" w:fill="FFFFFF"/>
        </w:rPr>
      </w:pPr>
      <w:r w:rsidRPr="007420EC">
        <w:rPr>
          <w:rFonts w:ascii="Arial" w:hAnsi="Arial" w:cs="Arial"/>
          <w:b/>
          <w:spacing w:val="3"/>
          <w:sz w:val="20"/>
          <w:szCs w:val="20"/>
          <w:shd w:val="clear" w:color="auto" w:fill="FFFFFF"/>
        </w:rPr>
        <w:t>Résultat 5 :</w:t>
      </w:r>
      <w:r w:rsidR="00605411">
        <w:rPr>
          <w:rFonts w:ascii="Arial" w:hAnsi="Arial" w:cs="Arial"/>
          <w:spacing w:val="3"/>
          <w:sz w:val="20"/>
          <w:szCs w:val="20"/>
          <w:shd w:val="clear" w:color="auto" w:fill="FFFFFF"/>
        </w:rPr>
        <w:t xml:space="preserve"> Une c</w:t>
      </w:r>
      <w:r w:rsidRPr="007420EC">
        <w:rPr>
          <w:rFonts w:ascii="Arial" w:hAnsi="Arial" w:cs="Arial"/>
          <w:spacing w:val="3"/>
          <w:sz w:val="20"/>
          <w:szCs w:val="20"/>
          <w:shd w:val="clear" w:color="auto" w:fill="FFFFFF"/>
        </w:rPr>
        <w:t>ohérence interrégionale dans l</w:t>
      </w:r>
      <w:r w:rsidR="00605411">
        <w:rPr>
          <w:rFonts w:ascii="Arial" w:hAnsi="Arial" w:cs="Arial"/>
          <w:spacing w:val="3"/>
          <w:sz w:val="20"/>
          <w:szCs w:val="20"/>
          <w:shd w:val="clear" w:color="auto" w:fill="FFFFFF"/>
        </w:rPr>
        <w:t xml:space="preserve">a supervision et le pilotage des </w:t>
      </w:r>
      <w:r w:rsidRPr="007420EC">
        <w:rPr>
          <w:rFonts w:ascii="Arial" w:hAnsi="Arial" w:cs="Arial"/>
          <w:spacing w:val="3"/>
          <w:sz w:val="20"/>
          <w:szCs w:val="20"/>
          <w:shd w:val="clear" w:color="auto" w:fill="FFFFFF"/>
        </w:rPr>
        <w:t>programme</w:t>
      </w:r>
      <w:r w:rsidR="00605411">
        <w:rPr>
          <w:rFonts w:ascii="Arial" w:hAnsi="Arial" w:cs="Arial"/>
          <w:spacing w:val="3"/>
          <w:sz w:val="20"/>
          <w:szCs w:val="20"/>
          <w:shd w:val="clear" w:color="auto" w:fill="FFFFFF"/>
        </w:rPr>
        <w:t xml:space="preserve">s existants est assurée. </w:t>
      </w:r>
    </w:p>
    <w:p w14:paraId="75B7BF61" w14:textId="6CD0DD0D" w:rsidR="0043112C" w:rsidRDefault="0043112C" w:rsidP="0043112C">
      <w:pPr>
        <w:jc w:val="both"/>
        <w:rPr>
          <w:rFonts w:ascii="Arial" w:hAnsi="Arial" w:cs="Arial"/>
          <w:sz w:val="20"/>
          <w:szCs w:val="20"/>
        </w:rPr>
      </w:pPr>
      <w:r>
        <w:rPr>
          <w:rFonts w:ascii="Arial" w:hAnsi="Arial" w:cs="Arial"/>
          <w:sz w:val="20"/>
          <w:szCs w:val="20"/>
        </w:rPr>
        <w:t xml:space="preserve">Par conséquent, cette assistance technique permettra de contribuer directement aux objectifs de </w:t>
      </w:r>
      <w:proofErr w:type="spellStart"/>
      <w:r>
        <w:rPr>
          <w:rFonts w:ascii="Arial" w:hAnsi="Arial" w:cs="Arial"/>
          <w:sz w:val="20"/>
          <w:szCs w:val="20"/>
        </w:rPr>
        <w:t>Greenov’i</w:t>
      </w:r>
      <w:proofErr w:type="spellEnd"/>
      <w:r>
        <w:rPr>
          <w:rFonts w:ascii="Arial" w:hAnsi="Arial" w:cs="Arial"/>
          <w:sz w:val="20"/>
          <w:szCs w:val="20"/>
        </w:rPr>
        <w:t xml:space="preserve"> en (1) renforçant les compétences internes pour la supervision et le pilotage des programmes verts, (2) en garantissant la pérennisation et la reproductibilité des programmes vert</w:t>
      </w:r>
      <w:r w:rsidR="00460CD1">
        <w:rPr>
          <w:rFonts w:ascii="Arial" w:hAnsi="Arial" w:cs="Arial"/>
          <w:sz w:val="20"/>
          <w:szCs w:val="20"/>
        </w:rPr>
        <w:t xml:space="preserve">s au-delà du projet Eco Green+ </w:t>
      </w:r>
      <w:r>
        <w:rPr>
          <w:rFonts w:ascii="Arial" w:hAnsi="Arial" w:cs="Arial"/>
          <w:sz w:val="20"/>
          <w:szCs w:val="20"/>
        </w:rPr>
        <w:t xml:space="preserve">et (3) en structurant durablement l’écosystème d’appui à l’éco-entrepreneuriat. </w:t>
      </w:r>
    </w:p>
    <w:p w14:paraId="2535EA92" w14:textId="77777777" w:rsidR="0043112C" w:rsidRDefault="0043112C" w:rsidP="0043112C">
      <w:pPr>
        <w:jc w:val="both"/>
        <w:rPr>
          <w:rFonts w:ascii="Arial" w:hAnsi="Arial" w:cs="Arial"/>
          <w:sz w:val="20"/>
          <w:szCs w:val="20"/>
        </w:rPr>
      </w:pPr>
      <w:r>
        <w:rPr>
          <w:rFonts w:ascii="Arial" w:hAnsi="Arial" w:cs="Arial"/>
          <w:sz w:val="20"/>
          <w:szCs w:val="20"/>
        </w:rPr>
        <w:t xml:space="preserve">A la fin de la mission, </w:t>
      </w:r>
      <w:proofErr w:type="gramStart"/>
      <w:r>
        <w:rPr>
          <w:rFonts w:ascii="Arial" w:hAnsi="Arial" w:cs="Arial"/>
          <w:sz w:val="20"/>
          <w:szCs w:val="20"/>
        </w:rPr>
        <w:t>l’</w:t>
      </w:r>
      <w:proofErr w:type="spellStart"/>
      <w:r>
        <w:rPr>
          <w:rFonts w:ascii="Arial" w:hAnsi="Arial" w:cs="Arial"/>
          <w:sz w:val="20"/>
          <w:szCs w:val="20"/>
        </w:rPr>
        <w:t>expert.e</w:t>
      </w:r>
      <w:proofErr w:type="spellEnd"/>
      <w:proofErr w:type="gramEnd"/>
      <w:r>
        <w:rPr>
          <w:rFonts w:ascii="Arial" w:hAnsi="Arial" w:cs="Arial"/>
          <w:sz w:val="20"/>
          <w:szCs w:val="20"/>
        </w:rPr>
        <w:t xml:space="preserve"> devra consacrer un temps (1h maximum) dédié à la conduite d’un entretien semi-directif avec l’équipe de </w:t>
      </w:r>
      <w:proofErr w:type="spellStart"/>
      <w:r>
        <w:rPr>
          <w:rFonts w:ascii="Arial" w:hAnsi="Arial" w:cs="Arial"/>
          <w:sz w:val="20"/>
          <w:szCs w:val="20"/>
        </w:rPr>
        <w:t>Greenov’i</w:t>
      </w:r>
      <w:proofErr w:type="spellEnd"/>
      <w:r>
        <w:rPr>
          <w:rFonts w:ascii="Arial" w:hAnsi="Arial" w:cs="Arial"/>
          <w:sz w:val="20"/>
          <w:szCs w:val="20"/>
        </w:rPr>
        <w:t xml:space="preserve">, afin d’analyser les effets et l’impact de l’assistance technique, ainsi qu’identifier les axes d’amélioration possibles du suivi assuré par Expertise France. </w:t>
      </w:r>
    </w:p>
    <w:p w14:paraId="09BB66DF" w14:textId="4D72EFB9" w:rsidR="00460CD1" w:rsidRDefault="0043112C" w:rsidP="0043112C">
      <w:pPr>
        <w:jc w:val="both"/>
        <w:rPr>
          <w:rFonts w:ascii="Arial" w:hAnsi="Arial" w:cs="Arial"/>
          <w:sz w:val="20"/>
          <w:szCs w:val="20"/>
        </w:rPr>
      </w:pPr>
      <w:r>
        <w:rPr>
          <w:rFonts w:ascii="Arial" w:hAnsi="Arial" w:cs="Arial"/>
          <w:sz w:val="20"/>
          <w:szCs w:val="20"/>
        </w:rPr>
        <w:t>Cette démarche sera également menée auprès de l’équi</w:t>
      </w:r>
      <w:r w:rsidR="00C365C0">
        <w:rPr>
          <w:rFonts w:ascii="Arial" w:hAnsi="Arial" w:cs="Arial"/>
          <w:sz w:val="20"/>
          <w:szCs w:val="20"/>
        </w:rPr>
        <w:t xml:space="preserve">pe-projet du CEED. Elle s’inscrit </w:t>
      </w:r>
      <w:r>
        <w:rPr>
          <w:rFonts w:ascii="Arial" w:hAnsi="Arial" w:cs="Arial"/>
          <w:sz w:val="20"/>
          <w:szCs w:val="20"/>
        </w:rPr>
        <w:t>dans une logique de capitalisation visant à évaluer l’impact global des assistances techniques et à dégager d’éventuelles pistes d’amélioration.</w:t>
      </w:r>
    </w:p>
    <w:p w14:paraId="352F0712" w14:textId="77777777" w:rsidR="0043112C" w:rsidRPr="00C12E79" w:rsidRDefault="0043112C" w:rsidP="0043112C">
      <w:pPr>
        <w:pStyle w:val="Paragraphedeliste"/>
        <w:numPr>
          <w:ilvl w:val="0"/>
          <w:numId w:val="1"/>
        </w:numPr>
        <w:spacing w:before="120" w:after="120" w:line="240" w:lineRule="auto"/>
        <w:jc w:val="both"/>
        <w:rPr>
          <w:rFonts w:ascii="Arial" w:eastAsia="Times New Roman" w:hAnsi="Arial" w:cs="Arial"/>
          <w:b/>
          <w:color w:val="009CA6"/>
        </w:rPr>
      </w:pPr>
      <w:r w:rsidRPr="00AA0892">
        <w:rPr>
          <w:rFonts w:ascii="Arial" w:eastAsia="Times New Roman" w:hAnsi="Arial" w:cs="Arial"/>
          <w:b/>
          <w:color w:val="009CA6"/>
        </w:rPr>
        <w:t>Description de la mission</w:t>
      </w:r>
    </w:p>
    <w:p w14:paraId="682F2084" w14:textId="52813D01" w:rsidR="0043112C" w:rsidRDefault="00C365C0" w:rsidP="0043112C">
      <w:pPr>
        <w:jc w:val="both"/>
        <w:rPr>
          <w:rFonts w:ascii="Arial" w:hAnsi="Arial" w:cs="Arial"/>
          <w:sz w:val="20"/>
          <w:szCs w:val="20"/>
        </w:rPr>
      </w:pPr>
      <w:r>
        <w:rPr>
          <w:rFonts w:ascii="Arial" w:hAnsi="Arial" w:cs="Arial"/>
          <w:sz w:val="20"/>
          <w:szCs w:val="20"/>
        </w:rPr>
        <w:t xml:space="preserve">La mission s’étendra de </w:t>
      </w:r>
      <w:proofErr w:type="gramStart"/>
      <w:r w:rsidR="005E5E97">
        <w:rPr>
          <w:rFonts w:ascii="Arial" w:hAnsi="Arial" w:cs="Arial"/>
          <w:sz w:val="20"/>
          <w:szCs w:val="20"/>
        </w:rPr>
        <w:t>Septembre</w:t>
      </w:r>
      <w:proofErr w:type="gramEnd"/>
      <w:r>
        <w:rPr>
          <w:rFonts w:ascii="Arial" w:hAnsi="Arial" w:cs="Arial"/>
          <w:sz w:val="20"/>
          <w:szCs w:val="20"/>
        </w:rPr>
        <w:t xml:space="preserve"> </w:t>
      </w:r>
      <w:r w:rsidR="0043112C">
        <w:rPr>
          <w:rFonts w:ascii="Arial" w:hAnsi="Arial" w:cs="Arial"/>
          <w:sz w:val="20"/>
          <w:szCs w:val="20"/>
        </w:rPr>
        <w:t xml:space="preserve">2026 à </w:t>
      </w:r>
      <w:proofErr w:type="gramStart"/>
      <w:r w:rsidR="0043112C">
        <w:rPr>
          <w:rFonts w:ascii="Arial" w:hAnsi="Arial" w:cs="Arial"/>
          <w:sz w:val="20"/>
          <w:szCs w:val="20"/>
        </w:rPr>
        <w:t>Novembre</w:t>
      </w:r>
      <w:proofErr w:type="gramEnd"/>
      <w:r w:rsidR="0043112C">
        <w:rPr>
          <w:rFonts w:ascii="Arial" w:hAnsi="Arial" w:cs="Arial"/>
          <w:sz w:val="20"/>
          <w:szCs w:val="20"/>
        </w:rPr>
        <w:t xml:space="preserve"> 2026 et reposera sur la méthodologie présentée ci-après. </w:t>
      </w:r>
    </w:p>
    <w:p w14:paraId="72FF6621" w14:textId="77777777" w:rsidR="0043112C" w:rsidRPr="002C3752" w:rsidRDefault="0043112C" w:rsidP="0043112C">
      <w:pPr>
        <w:spacing w:line="240" w:lineRule="auto"/>
        <w:jc w:val="both"/>
        <w:rPr>
          <w:rFonts w:ascii="Arial" w:eastAsia="Arial" w:hAnsi="Arial" w:cs="Arial"/>
          <w:sz w:val="20"/>
          <w:szCs w:val="20"/>
        </w:rPr>
      </w:pPr>
      <w:r w:rsidRPr="002C3752">
        <w:rPr>
          <w:rFonts w:ascii="Arial" w:eastAsia="Arial" w:hAnsi="Arial" w:cs="Arial"/>
          <w:sz w:val="20"/>
          <w:szCs w:val="20"/>
        </w:rPr>
        <w:lastRenderedPageBreak/>
        <w:t>Il s’agit d’une méthodologie préliminaire que le</w:t>
      </w:r>
      <w:r>
        <w:rPr>
          <w:rFonts w:ascii="Arial" w:eastAsia="Arial" w:hAnsi="Arial" w:cs="Arial"/>
          <w:sz w:val="20"/>
          <w:szCs w:val="20"/>
        </w:rPr>
        <w:t>.la</w:t>
      </w:r>
      <w:r w:rsidRPr="002C3752">
        <w:rPr>
          <w:rFonts w:ascii="Arial" w:eastAsia="Arial" w:hAnsi="Arial" w:cs="Arial"/>
          <w:sz w:val="20"/>
          <w:szCs w:val="20"/>
        </w:rPr>
        <w:t xml:space="preserve"> </w:t>
      </w:r>
      <w:proofErr w:type="spellStart"/>
      <w:proofErr w:type="gramStart"/>
      <w:r w:rsidRPr="002C3752">
        <w:rPr>
          <w:rFonts w:ascii="Arial" w:eastAsia="Arial" w:hAnsi="Arial" w:cs="Arial"/>
          <w:sz w:val="20"/>
          <w:szCs w:val="20"/>
        </w:rPr>
        <w:t>candidat.e</w:t>
      </w:r>
      <w:proofErr w:type="spellEnd"/>
      <w:proofErr w:type="gramEnd"/>
      <w:r w:rsidRPr="002C3752">
        <w:rPr>
          <w:rFonts w:ascii="Arial" w:eastAsia="Arial" w:hAnsi="Arial" w:cs="Arial"/>
          <w:sz w:val="20"/>
          <w:szCs w:val="20"/>
        </w:rPr>
        <w:t xml:space="preserve"> doi</w:t>
      </w:r>
      <w:r>
        <w:rPr>
          <w:rFonts w:ascii="Arial" w:eastAsia="Arial" w:hAnsi="Arial" w:cs="Arial"/>
          <w:sz w:val="20"/>
          <w:szCs w:val="20"/>
        </w:rPr>
        <w:t>t</w:t>
      </w:r>
      <w:r w:rsidRPr="002C3752">
        <w:rPr>
          <w:rFonts w:ascii="Arial" w:eastAsia="Arial" w:hAnsi="Arial" w:cs="Arial"/>
          <w:sz w:val="20"/>
          <w:szCs w:val="20"/>
        </w:rPr>
        <w:t xml:space="preserve"> s’approprier et compléter. Toute proposition alternative, venant changer la logique d’intervention, doit être accompagnée d'une justification détaillée expliquant les raisons de ces modifications et les avantages attendus.</w:t>
      </w:r>
    </w:p>
    <w:p w14:paraId="4AFDFBB2" w14:textId="52658B7F" w:rsidR="0043112C" w:rsidRDefault="0043112C" w:rsidP="0043112C">
      <w:pPr>
        <w:spacing w:before="120" w:after="120" w:line="240" w:lineRule="auto"/>
        <w:jc w:val="both"/>
        <w:rPr>
          <w:rFonts w:ascii="Arial" w:eastAsia="Arial" w:hAnsi="Arial" w:cs="Arial"/>
          <w:sz w:val="20"/>
          <w:szCs w:val="20"/>
        </w:rPr>
      </w:pPr>
      <w:r w:rsidRPr="002C3752">
        <w:rPr>
          <w:rFonts w:ascii="Arial" w:eastAsia="Arial" w:hAnsi="Arial" w:cs="Arial"/>
          <w:sz w:val="20"/>
          <w:szCs w:val="20"/>
        </w:rPr>
        <w:t xml:space="preserve">Les </w:t>
      </w:r>
      <w:r w:rsidRPr="002C3752">
        <w:rPr>
          <w:rFonts w:ascii="Arial" w:eastAsia="Arial" w:hAnsi="Arial" w:cs="Arial"/>
          <w:sz w:val="20"/>
          <w:szCs w:val="20"/>
          <w:u w:val="single"/>
        </w:rPr>
        <w:t xml:space="preserve">candidat.es seront évalué.es sur leur capacité </w:t>
      </w:r>
      <w:r w:rsidRPr="005C2159">
        <w:rPr>
          <w:rFonts w:ascii="Arial" w:eastAsia="Arial" w:hAnsi="Arial" w:cs="Arial"/>
          <w:sz w:val="20"/>
          <w:szCs w:val="20"/>
          <w:u w:val="single"/>
        </w:rPr>
        <w:t>à se réapproprier cette méthodologie</w:t>
      </w:r>
      <w:r w:rsidRPr="005C2159">
        <w:rPr>
          <w:rFonts w:ascii="Arial" w:eastAsia="Arial" w:hAnsi="Arial" w:cs="Arial"/>
          <w:sz w:val="20"/>
          <w:szCs w:val="20"/>
        </w:rPr>
        <w:t xml:space="preserve"> et à y intégrer des éléments </w:t>
      </w:r>
      <w:r w:rsidRPr="004F0618">
        <w:rPr>
          <w:rFonts w:ascii="Arial" w:eastAsia="Arial" w:hAnsi="Arial" w:cs="Arial"/>
          <w:sz w:val="20"/>
          <w:szCs w:val="20"/>
        </w:rPr>
        <w:t>innovants et à forte valeur ajoutée pour optimiser l'impact de leur intervention.</w:t>
      </w:r>
    </w:p>
    <w:p w14:paraId="59CDE60B" w14:textId="0B63BD79" w:rsidR="004D205A" w:rsidRDefault="004D205A" w:rsidP="0043112C">
      <w:pPr>
        <w:spacing w:before="120" w:after="120" w:line="240" w:lineRule="auto"/>
        <w:jc w:val="both"/>
        <w:rPr>
          <w:rFonts w:ascii="Arial" w:eastAsia="Arial" w:hAnsi="Arial" w:cs="Arial"/>
          <w:sz w:val="20"/>
          <w:szCs w:val="20"/>
        </w:rPr>
      </w:pPr>
      <w:r>
        <w:rPr>
          <w:rFonts w:ascii="Arial" w:eastAsia="Arial" w:hAnsi="Arial" w:cs="Arial"/>
          <w:sz w:val="20"/>
          <w:szCs w:val="20"/>
        </w:rPr>
        <w:t xml:space="preserve">La mission démarrera avec une réunion de cadrage entre le prestataire, l’équipe du projet </w:t>
      </w:r>
      <w:proofErr w:type="spellStart"/>
      <w:r>
        <w:rPr>
          <w:rFonts w:ascii="Arial" w:eastAsia="Arial" w:hAnsi="Arial" w:cs="Arial"/>
          <w:sz w:val="20"/>
          <w:szCs w:val="20"/>
        </w:rPr>
        <w:t>Greenov’i</w:t>
      </w:r>
      <w:proofErr w:type="spellEnd"/>
      <w:r>
        <w:rPr>
          <w:rFonts w:ascii="Arial" w:eastAsia="Arial" w:hAnsi="Arial" w:cs="Arial"/>
          <w:sz w:val="20"/>
          <w:szCs w:val="20"/>
        </w:rPr>
        <w:t xml:space="preserve"> et l’équipe-projet de CEED visant à définir clairement le cadre de travail, les attentes et à établir une vision commune, tant sur le plan technique qu’opérationnel. </w:t>
      </w:r>
    </w:p>
    <w:p w14:paraId="0CADB150" w14:textId="77777777" w:rsidR="0043112C" w:rsidRPr="007420EC" w:rsidRDefault="0043112C" w:rsidP="0043112C">
      <w:pPr>
        <w:jc w:val="both"/>
        <w:rPr>
          <w:rFonts w:ascii="Arial" w:hAnsi="Arial" w:cs="Arial"/>
          <w:color w:val="1F1F1F"/>
          <w:spacing w:val="3"/>
          <w:sz w:val="20"/>
          <w:szCs w:val="18"/>
          <w:shd w:val="clear" w:color="auto" w:fill="FFFFFF"/>
        </w:rPr>
      </w:pPr>
      <w:r w:rsidRPr="007420EC">
        <w:rPr>
          <w:rFonts w:ascii="Arial" w:hAnsi="Arial" w:cs="Arial"/>
          <w:color w:val="1F1F1F"/>
          <w:spacing w:val="3"/>
          <w:sz w:val="20"/>
          <w:szCs w:val="18"/>
          <w:shd w:val="clear" w:color="auto" w:fill="FFFFFF"/>
        </w:rPr>
        <w:t xml:space="preserve">Pour atteindre ces résultats, les principales activités envisagées pour l’ensemble de l’équipe interne CEED Tunisie sont : </w:t>
      </w:r>
    </w:p>
    <w:p w14:paraId="7E77EEC6" w14:textId="7C5514DC" w:rsidR="0043112C" w:rsidRDefault="0043112C" w:rsidP="0043112C">
      <w:pPr>
        <w:spacing w:before="120" w:after="120" w:line="240" w:lineRule="auto"/>
        <w:jc w:val="both"/>
        <w:rPr>
          <w:rFonts w:ascii="Arial" w:eastAsia="Arial" w:hAnsi="Arial" w:cs="Arial"/>
          <w:b/>
          <w:sz w:val="20"/>
          <w:szCs w:val="20"/>
        </w:rPr>
      </w:pPr>
      <w:r>
        <w:rPr>
          <w:rFonts w:ascii="Arial" w:eastAsia="Arial" w:hAnsi="Arial" w:cs="Arial"/>
          <w:b/>
          <w:sz w:val="20"/>
          <w:szCs w:val="20"/>
        </w:rPr>
        <w:t xml:space="preserve">Etape 1 </w:t>
      </w:r>
      <w:r w:rsidRPr="00AA0892">
        <w:rPr>
          <w:rFonts w:ascii="Arial" w:eastAsia="Arial" w:hAnsi="Arial" w:cs="Arial"/>
          <w:b/>
          <w:sz w:val="20"/>
          <w:szCs w:val="20"/>
        </w:rPr>
        <w:t xml:space="preserve">– </w:t>
      </w:r>
      <w:r w:rsidR="00081BA8" w:rsidRPr="00081BA8">
        <w:rPr>
          <w:rFonts w:ascii="Arial" w:eastAsia="Arial" w:hAnsi="Arial" w:cs="Arial"/>
          <w:b/>
          <w:sz w:val="20"/>
          <w:szCs w:val="20"/>
        </w:rPr>
        <w:t>Atelier de renforcement des compétences environnementales et méthodologiques (4</w:t>
      </w:r>
      <w:r w:rsidR="005E5E97">
        <w:rPr>
          <w:rFonts w:ascii="Arial" w:eastAsia="Arial" w:hAnsi="Arial" w:cs="Arial"/>
          <w:b/>
          <w:sz w:val="20"/>
          <w:szCs w:val="20"/>
        </w:rPr>
        <w:t xml:space="preserve"> JH</w:t>
      </w:r>
      <w:r w:rsidR="00081BA8" w:rsidRPr="00081BA8">
        <w:rPr>
          <w:rFonts w:ascii="Arial" w:eastAsia="Arial" w:hAnsi="Arial" w:cs="Arial"/>
          <w:b/>
          <w:sz w:val="20"/>
          <w:szCs w:val="20"/>
        </w:rPr>
        <w:t>)</w:t>
      </w:r>
    </w:p>
    <w:p w14:paraId="5A102248" w14:textId="7341EDD0" w:rsidR="0043112C" w:rsidRDefault="0043112C" w:rsidP="0043112C">
      <w:pPr>
        <w:spacing w:before="120" w:after="120" w:line="240" w:lineRule="auto"/>
        <w:jc w:val="both"/>
        <w:rPr>
          <w:rFonts w:ascii="Arial" w:eastAsia="Arial" w:hAnsi="Arial" w:cs="Arial"/>
          <w:sz w:val="20"/>
          <w:szCs w:val="20"/>
        </w:rPr>
      </w:pPr>
      <w:r>
        <w:rPr>
          <w:rFonts w:ascii="Arial" w:eastAsia="Arial" w:hAnsi="Arial" w:cs="Arial"/>
          <w:sz w:val="20"/>
          <w:szCs w:val="20"/>
        </w:rPr>
        <w:t>Cette étape-clé vise à renforcer les capacités de l’équipe de CEED Tunisie sur les concepts clés de l’économie verte, de l’innovation écologique et de la gestion durable des ressources</w:t>
      </w:r>
      <w:r w:rsidR="00081BA8">
        <w:rPr>
          <w:rFonts w:ascii="Arial" w:eastAsia="Arial" w:hAnsi="Arial" w:cs="Arial"/>
          <w:sz w:val="20"/>
          <w:szCs w:val="20"/>
        </w:rPr>
        <w:t>. Il combinera des présentations interactives, des études de cas et des exercices pratiques pour soutenir</w:t>
      </w:r>
      <w:r>
        <w:rPr>
          <w:rFonts w:ascii="Arial" w:eastAsia="Arial" w:hAnsi="Arial" w:cs="Arial"/>
          <w:sz w:val="20"/>
          <w:szCs w:val="20"/>
        </w:rPr>
        <w:t xml:space="preserve"> efficacement le pilotage des programmes. </w:t>
      </w:r>
    </w:p>
    <w:p w14:paraId="0BFE6CD5" w14:textId="47DC85D4" w:rsidR="00081BA8" w:rsidRDefault="00081BA8" w:rsidP="00081BA8">
      <w:pPr>
        <w:spacing w:before="120" w:after="120" w:line="240" w:lineRule="auto"/>
        <w:jc w:val="both"/>
        <w:rPr>
          <w:rFonts w:ascii="Arial" w:eastAsia="Arial" w:hAnsi="Arial" w:cs="Arial"/>
          <w:sz w:val="20"/>
          <w:szCs w:val="20"/>
        </w:rPr>
      </w:pPr>
      <w:proofErr w:type="spellStart"/>
      <w:r>
        <w:rPr>
          <w:rFonts w:ascii="Arial" w:eastAsia="Arial" w:hAnsi="Arial" w:cs="Arial"/>
          <w:sz w:val="20"/>
          <w:szCs w:val="20"/>
        </w:rPr>
        <w:t>Echéance</w:t>
      </w:r>
      <w:proofErr w:type="spellEnd"/>
      <w:r>
        <w:rPr>
          <w:rFonts w:ascii="Arial" w:eastAsia="Arial" w:hAnsi="Arial" w:cs="Arial"/>
          <w:sz w:val="20"/>
          <w:szCs w:val="20"/>
        </w:rPr>
        <w:t xml:space="preserve"> : </w:t>
      </w:r>
      <w:r w:rsidR="005E5E97">
        <w:rPr>
          <w:rFonts w:ascii="Arial" w:eastAsia="Arial" w:hAnsi="Arial" w:cs="Arial"/>
          <w:sz w:val="20"/>
          <w:szCs w:val="20"/>
        </w:rPr>
        <w:t>Septembre</w:t>
      </w:r>
      <w:r>
        <w:rPr>
          <w:rFonts w:ascii="Arial" w:eastAsia="Arial" w:hAnsi="Arial" w:cs="Arial"/>
          <w:sz w:val="20"/>
          <w:szCs w:val="20"/>
        </w:rPr>
        <w:t xml:space="preserve"> 2026</w:t>
      </w:r>
    </w:p>
    <w:p w14:paraId="73A02738" w14:textId="77777777" w:rsidR="0043112C" w:rsidRPr="00D63638" w:rsidRDefault="0043112C" w:rsidP="0043112C">
      <w:pPr>
        <w:spacing w:before="120" w:after="120" w:line="240" w:lineRule="auto"/>
        <w:jc w:val="both"/>
        <w:rPr>
          <w:rFonts w:ascii="Arial" w:eastAsia="Arial" w:hAnsi="Arial" w:cs="Arial"/>
          <w:b/>
          <w:sz w:val="20"/>
          <w:szCs w:val="20"/>
          <w:u w:val="single"/>
        </w:rPr>
      </w:pPr>
      <w:r w:rsidRPr="00DF6476">
        <w:rPr>
          <w:rFonts w:ascii="Arial" w:eastAsia="Arial" w:hAnsi="Arial" w:cs="Arial"/>
          <w:b/>
          <w:sz w:val="20"/>
          <w:szCs w:val="20"/>
          <w:u w:val="single"/>
        </w:rPr>
        <w:t xml:space="preserve">Livrables attendus à la fin de l’étape 1 : </w:t>
      </w:r>
    </w:p>
    <w:p w14:paraId="620D808F" w14:textId="77777777" w:rsidR="0043112C" w:rsidRPr="00C12E79" w:rsidRDefault="0043112C" w:rsidP="0043112C">
      <w:pPr>
        <w:pStyle w:val="Paragraphedeliste"/>
        <w:numPr>
          <w:ilvl w:val="0"/>
          <w:numId w:val="2"/>
        </w:numPr>
        <w:spacing w:before="120" w:after="120" w:line="240" w:lineRule="auto"/>
        <w:jc w:val="both"/>
        <w:rPr>
          <w:rFonts w:ascii="Arial" w:eastAsia="Arial" w:hAnsi="Arial" w:cs="Arial"/>
          <w:b/>
          <w:sz w:val="20"/>
          <w:szCs w:val="20"/>
        </w:rPr>
      </w:pPr>
      <w:r>
        <w:rPr>
          <w:rFonts w:ascii="Arial" w:hAnsi="Arial" w:cs="Arial"/>
          <w:color w:val="1F1F1F"/>
          <w:spacing w:val="3"/>
          <w:sz w:val="20"/>
          <w:szCs w:val="20"/>
          <w:shd w:val="clear" w:color="auto" w:fill="FFFFFF"/>
        </w:rPr>
        <w:t xml:space="preserve">Supports pédagogiques associés à l’atelier ; </w:t>
      </w:r>
    </w:p>
    <w:p w14:paraId="03E8C38A" w14:textId="77777777" w:rsidR="0043112C" w:rsidRPr="00C12E79" w:rsidRDefault="0043112C" w:rsidP="0043112C">
      <w:pPr>
        <w:pStyle w:val="Paragraphedeliste"/>
        <w:numPr>
          <w:ilvl w:val="0"/>
          <w:numId w:val="2"/>
        </w:numPr>
        <w:spacing w:before="120" w:after="120" w:line="240" w:lineRule="auto"/>
        <w:jc w:val="both"/>
        <w:rPr>
          <w:rFonts w:ascii="Arial" w:eastAsia="Arial" w:hAnsi="Arial" w:cs="Arial"/>
          <w:b/>
          <w:sz w:val="20"/>
          <w:szCs w:val="20"/>
        </w:rPr>
      </w:pPr>
      <w:r>
        <w:rPr>
          <w:rFonts w:ascii="Arial" w:hAnsi="Arial" w:cs="Arial"/>
          <w:color w:val="1F1F1F"/>
          <w:spacing w:val="3"/>
          <w:sz w:val="20"/>
          <w:szCs w:val="20"/>
          <w:shd w:val="clear" w:color="auto" w:fill="FFFFFF"/>
        </w:rPr>
        <w:t xml:space="preserve">Feuille d’émargement ; </w:t>
      </w:r>
    </w:p>
    <w:p w14:paraId="13A22AAD" w14:textId="320C6817" w:rsidR="0043112C" w:rsidRPr="0061015F" w:rsidRDefault="0043112C" w:rsidP="0043112C">
      <w:pPr>
        <w:pStyle w:val="Paragraphedeliste"/>
        <w:numPr>
          <w:ilvl w:val="0"/>
          <w:numId w:val="2"/>
        </w:numPr>
        <w:spacing w:before="120" w:after="120" w:line="240" w:lineRule="auto"/>
        <w:jc w:val="both"/>
        <w:rPr>
          <w:rFonts w:ascii="Arial" w:eastAsia="Arial" w:hAnsi="Arial" w:cs="Arial"/>
          <w:b/>
          <w:sz w:val="20"/>
          <w:szCs w:val="20"/>
        </w:rPr>
      </w:pPr>
      <w:r>
        <w:rPr>
          <w:rFonts w:ascii="Arial" w:hAnsi="Arial" w:cs="Arial"/>
          <w:color w:val="1F1F1F"/>
          <w:spacing w:val="3"/>
          <w:sz w:val="20"/>
          <w:szCs w:val="20"/>
          <w:shd w:val="clear" w:color="auto" w:fill="FFFFFF"/>
        </w:rPr>
        <w:t>Plan d’action individuel</w:t>
      </w:r>
      <w:r w:rsidR="00883CD4">
        <w:rPr>
          <w:rFonts w:ascii="Arial" w:hAnsi="Arial" w:cs="Arial"/>
          <w:color w:val="1F1F1F"/>
          <w:spacing w:val="3"/>
          <w:sz w:val="20"/>
          <w:szCs w:val="20"/>
          <w:shd w:val="clear" w:color="auto" w:fill="FFFFFF"/>
        </w:rPr>
        <w:t xml:space="preserve"> : </w:t>
      </w:r>
      <w:r w:rsidR="00883CD4" w:rsidRPr="00883CD4">
        <w:rPr>
          <w:rFonts w:ascii="Arial" w:hAnsi="Arial" w:cs="Arial"/>
          <w:color w:val="1F1F1F"/>
          <w:spacing w:val="3"/>
          <w:sz w:val="20"/>
          <w:szCs w:val="20"/>
          <w:shd w:val="clear" w:color="auto" w:fill="FFFFFF"/>
        </w:rPr>
        <w:t xml:space="preserve">document personnalisé pour chaque </w:t>
      </w:r>
      <w:r w:rsidR="00883CD4">
        <w:rPr>
          <w:rFonts w:ascii="Arial" w:hAnsi="Arial" w:cs="Arial"/>
          <w:color w:val="1F1F1F"/>
          <w:spacing w:val="3"/>
          <w:sz w:val="20"/>
          <w:szCs w:val="20"/>
          <w:shd w:val="clear" w:color="auto" w:fill="FFFFFF"/>
        </w:rPr>
        <w:t>membre de l’équipe</w:t>
      </w:r>
      <w:r w:rsidR="00883CD4" w:rsidRPr="00883CD4">
        <w:rPr>
          <w:rFonts w:ascii="Arial" w:hAnsi="Arial" w:cs="Arial"/>
          <w:color w:val="1F1F1F"/>
          <w:spacing w:val="3"/>
          <w:sz w:val="20"/>
          <w:szCs w:val="20"/>
          <w:shd w:val="clear" w:color="auto" w:fill="FFFFFF"/>
        </w:rPr>
        <w:t xml:space="preserve"> précisant comment les compétences et connaissances acquises lors de l’atelier seront appliquées concrètement dans le cadre de ses missions au sein de CEED Tunisie.</w:t>
      </w:r>
    </w:p>
    <w:p w14:paraId="4F4BE266" w14:textId="253CEACB" w:rsidR="0043112C" w:rsidRPr="000B473B" w:rsidRDefault="0043112C" w:rsidP="0043112C">
      <w:pPr>
        <w:spacing w:before="120" w:after="120" w:line="240" w:lineRule="auto"/>
        <w:jc w:val="both"/>
        <w:rPr>
          <w:rFonts w:ascii="Times New Roman" w:eastAsia="Times New Roman" w:hAnsi="Times New Roman" w:cs="Times New Roman"/>
          <w:color w:val="000000" w:themeColor="text1"/>
          <w:sz w:val="20"/>
          <w:szCs w:val="20"/>
          <w:lang w:eastAsia="fr-FR"/>
        </w:rPr>
      </w:pPr>
      <w:r w:rsidRPr="00ED0149">
        <w:rPr>
          <w:rFonts w:ascii="Arial" w:eastAsia="Arial" w:hAnsi="Arial" w:cs="Arial"/>
          <w:b/>
          <w:sz w:val="20"/>
          <w:szCs w:val="20"/>
        </w:rPr>
        <w:t xml:space="preserve">Etape 2 – </w:t>
      </w:r>
      <w:r>
        <w:rPr>
          <w:rFonts w:ascii="Arial" w:eastAsia="Arial" w:hAnsi="Arial" w:cs="Arial"/>
          <w:b/>
          <w:sz w:val="20"/>
          <w:szCs w:val="20"/>
        </w:rPr>
        <w:t xml:space="preserve">Revue et harmonisation des outils et méthodologies </w:t>
      </w:r>
      <w:r w:rsidR="00E070DE">
        <w:rPr>
          <w:rFonts w:ascii="Arial" w:eastAsia="Arial" w:hAnsi="Arial" w:cs="Arial"/>
          <w:b/>
          <w:sz w:val="20"/>
          <w:szCs w:val="20"/>
        </w:rPr>
        <w:t xml:space="preserve">internes </w:t>
      </w:r>
      <w:r w:rsidR="00E070DE" w:rsidRPr="000B473B">
        <w:rPr>
          <w:rFonts w:ascii="Arial" w:eastAsia="Arial" w:hAnsi="Arial" w:cs="Arial"/>
          <w:b/>
          <w:color w:val="000000" w:themeColor="text1"/>
          <w:sz w:val="20"/>
          <w:szCs w:val="20"/>
        </w:rPr>
        <w:t>(</w:t>
      </w:r>
      <w:r w:rsidR="005E5E97">
        <w:rPr>
          <w:rFonts w:ascii="Arial" w:eastAsia="Arial" w:hAnsi="Arial" w:cs="Arial"/>
          <w:b/>
          <w:color w:val="000000" w:themeColor="text1"/>
          <w:sz w:val="20"/>
          <w:szCs w:val="20"/>
        </w:rPr>
        <w:t>3</w:t>
      </w:r>
      <w:r>
        <w:rPr>
          <w:rFonts w:ascii="Arial" w:eastAsia="Arial" w:hAnsi="Arial" w:cs="Arial"/>
          <w:b/>
          <w:color w:val="000000" w:themeColor="text1"/>
          <w:sz w:val="20"/>
          <w:szCs w:val="20"/>
        </w:rPr>
        <w:t xml:space="preserve"> JH)</w:t>
      </w:r>
      <w:r w:rsidRPr="000B473B">
        <w:rPr>
          <w:rFonts w:ascii="Arial" w:eastAsia="Arial" w:hAnsi="Arial" w:cs="Arial"/>
          <w:b/>
          <w:color w:val="000000" w:themeColor="text1"/>
          <w:sz w:val="20"/>
          <w:szCs w:val="20"/>
        </w:rPr>
        <w:t xml:space="preserve">     </w:t>
      </w:r>
    </w:p>
    <w:p w14:paraId="2D393BB2" w14:textId="77777777" w:rsidR="0043112C" w:rsidRPr="00E316E9" w:rsidRDefault="0043112C" w:rsidP="0043112C">
      <w:pPr>
        <w:spacing w:before="120" w:after="12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Cette étape a pour objectif de standardiser les outils et référentiels internes de CEED Tunisie, en cohérence avec les exigences du programme </w:t>
      </w:r>
      <w:proofErr w:type="spellStart"/>
      <w:r>
        <w:rPr>
          <w:rFonts w:ascii="Arial" w:hAnsi="Arial" w:cs="Arial"/>
          <w:color w:val="000000" w:themeColor="text1"/>
          <w:sz w:val="20"/>
          <w:szCs w:val="20"/>
        </w:rPr>
        <w:t>Greenov’i</w:t>
      </w:r>
      <w:proofErr w:type="spellEnd"/>
      <w:r>
        <w:rPr>
          <w:rFonts w:ascii="Arial" w:hAnsi="Arial" w:cs="Arial"/>
          <w:color w:val="000000" w:themeColor="text1"/>
          <w:sz w:val="20"/>
          <w:szCs w:val="20"/>
        </w:rPr>
        <w:t xml:space="preserve">, afin d’assurer une supervision homogène et efficace des programmes de l’ensemble des régions. </w:t>
      </w:r>
    </w:p>
    <w:p w14:paraId="07B3F0F0" w14:textId="457BD4B3" w:rsidR="0043112C" w:rsidRPr="00D534EA" w:rsidRDefault="0043112C" w:rsidP="0043112C">
      <w:pPr>
        <w:spacing w:before="120" w:after="120" w:line="240" w:lineRule="auto"/>
        <w:jc w:val="both"/>
        <w:rPr>
          <w:rFonts w:ascii="Arial" w:hAnsi="Arial" w:cs="Arial"/>
          <w:color w:val="000000" w:themeColor="text1"/>
          <w:spacing w:val="3"/>
          <w:sz w:val="20"/>
          <w:szCs w:val="20"/>
          <w:shd w:val="clear" w:color="auto" w:fill="FFFFFF"/>
        </w:rPr>
      </w:pPr>
      <w:proofErr w:type="spellStart"/>
      <w:r>
        <w:rPr>
          <w:rFonts w:ascii="Arial" w:hAnsi="Arial" w:cs="Arial"/>
          <w:color w:val="000000" w:themeColor="text1"/>
          <w:spacing w:val="3"/>
          <w:sz w:val="20"/>
          <w:szCs w:val="20"/>
          <w:shd w:val="clear" w:color="auto" w:fill="FFFFFF"/>
        </w:rPr>
        <w:t>Echéance</w:t>
      </w:r>
      <w:proofErr w:type="spellEnd"/>
      <w:r>
        <w:rPr>
          <w:rFonts w:ascii="Arial" w:hAnsi="Arial" w:cs="Arial"/>
          <w:color w:val="000000" w:themeColor="text1"/>
          <w:spacing w:val="3"/>
          <w:sz w:val="20"/>
          <w:szCs w:val="20"/>
          <w:shd w:val="clear" w:color="auto" w:fill="FFFFFF"/>
        </w:rPr>
        <w:t xml:space="preserve"> : </w:t>
      </w:r>
      <w:r w:rsidR="005E5E97">
        <w:rPr>
          <w:rFonts w:ascii="Arial" w:hAnsi="Arial" w:cs="Arial"/>
          <w:color w:val="000000" w:themeColor="text1"/>
          <w:spacing w:val="3"/>
          <w:sz w:val="20"/>
          <w:szCs w:val="20"/>
          <w:shd w:val="clear" w:color="auto" w:fill="FFFFFF"/>
        </w:rPr>
        <w:t>O</w:t>
      </w:r>
      <w:r>
        <w:rPr>
          <w:rFonts w:ascii="Arial" w:hAnsi="Arial" w:cs="Arial"/>
          <w:color w:val="000000" w:themeColor="text1"/>
          <w:spacing w:val="3"/>
          <w:sz w:val="20"/>
          <w:szCs w:val="20"/>
          <w:shd w:val="clear" w:color="auto" w:fill="FFFFFF"/>
        </w:rPr>
        <w:t>ctobre 2026</w:t>
      </w:r>
    </w:p>
    <w:p w14:paraId="1D2ECF6D" w14:textId="77777777" w:rsidR="0043112C" w:rsidRPr="000B473B" w:rsidRDefault="0043112C" w:rsidP="0043112C">
      <w:pPr>
        <w:spacing w:before="120" w:after="120" w:line="240" w:lineRule="auto"/>
        <w:jc w:val="both"/>
        <w:rPr>
          <w:rFonts w:ascii="Arial" w:eastAsia="Arial" w:hAnsi="Arial" w:cs="Arial"/>
          <w:b/>
          <w:color w:val="000000" w:themeColor="text1"/>
          <w:sz w:val="20"/>
          <w:szCs w:val="20"/>
          <w:u w:val="single"/>
        </w:rPr>
      </w:pPr>
      <w:r w:rsidRPr="000B473B">
        <w:rPr>
          <w:rFonts w:ascii="Arial" w:eastAsia="Arial" w:hAnsi="Arial" w:cs="Arial"/>
          <w:b/>
          <w:color w:val="000000" w:themeColor="text1"/>
          <w:sz w:val="20"/>
          <w:szCs w:val="20"/>
          <w:u w:val="single"/>
        </w:rPr>
        <w:t xml:space="preserve">Livrables attendus à la fin de l’étape 2 : </w:t>
      </w:r>
    </w:p>
    <w:p w14:paraId="27D850D5" w14:textId="19BBF38F" w:rsidR="0043112C" w:rsidRPr="0061015F" w:rsidRDefault="0043112C" w:rsidP="0043112C">
      <w:pPr>
        <w:pStyle w:val="Paragraphedeliste"/>
        <w:numPr>
          <w:ilvl w:val="0"/>
          <w:numId w:val="2"/>
        </w:numPr>
        <w:spacing w:before="120" w:after="120" w:line="240" w:lineRule="auto"/>
        <w:jc w:val="both"/>
        <w:rPr>
          <w:rFonts w:ascii="Arial" w:eastAsia="Arial" w:hAnsi="Arial" w:cs="Arial"/>
          <w:b/>
          <w:color w:val="000000" w:themeColor="text1"/>
          <w:sz w:val="20"/>
          <w:szCs w:val="20"/>
          <w:u w:val="single"/>
        </w:rPr>
      </w:pPr>
      <w:r>
        <w:rPr>
          <w:rFonts w:ascii="Arial" w:hAnsi="Arial" w:cs="Arial"/>
          <w:color w:val="000000" w:themeColor="text1"/>
          <w:spacing w:val="3"/>
          <w:sz w:val="20"/>
          <w:szCs w:val="20"/>
          <w:shd w:val="clear" w:color="auto" w:fill="FFFFFF"/>
        </w:rPr>
        <w:t xml:space="preserve">Guides méthodologiques </w:t>
      </w:r>
      <w:r w:rsidR="00E070DE">
        <w:rPr>
          <w:rFonts w:ascii="Arial" w:hAnsi="Arial" w:cs="Arial"/>
          <w:color w:val="000000" w:themeColor="text1"/>
          <w:spacing w:val="3"/>
          <w:sz w:val="20"/>
          <w:szCs w:val="20"/>
          <w:shd w:val="clear" w:color="auto" w:fill="FFFFFF"/>
        </w:rPr>
        <w:t>harmonisés ;</w:t>
      </w:r>
    </w:p>
    <w:p w14:paraId="30A1B2C1" w14:textId="79404CAD" w:rsidR="0043112C" w:rsidRPr="0061015F" w:rsidRDefault="0043112C" w:rsidP="0043112C">
      <w:pPr>
        <w:pStyle w:val="Paragraphedeliste"/>
        <w:numPr>
          <w:ilvl w:val="0"/>
          <w:numId w:val="2"/>
        </w:numPr>
        <w:spacing w:before="120" w:after="120" w:line="240" w:lineRule="auto"/>
        <w:jc w:val="both"/>
        <w:rPr>
          <w:rFonts w:ascii="Arial" w:eastAsia="Arial" w:hAnsi="Arial" w:cs="Arial"/>
          <w:b/>
          <w:color w:val="000000" w:themeColor="text1"/>
          <w:sz w:val="20"/>
          <w:szCs w:val="20"/>
          <w:u w:val="single"/>
        </w:rPr>
      </w:pPr>
      <w:r>
        <w:rPr>
          <w:rFonts w:ascii="Arial" w:hAnsi="Arial" w:cs="Arial"/>
          <w:color w:val="000000" w:themeColor="text1"/>
          <w:spacing w:val="3"/>
          <w:sz w:val="20"/>
          <w:szCs w:val="20"/>
          <w:shd w:val="clear" w:color="auto" w:fill="FFFFFF"/>
        </w:rPr>
        <w:t>Modèles d</w:t>
      </w:r>
      <w:r w:rsidR="00B23139">
        <w:rPr>
          <w:rFonts w:ascii="Arial" w:hAnsi="Arial" w:cs="Arial"/>
          <w:color w:val="000000" w:themeColor="text1"/>
          <w:spacing w:val="3"/>
          <w:sz w:val="20"/>
          <w:szCs w:val="20"/>
          <w:shd w:val="clear" w:color="auto" w:fill="FFFFFF"/>
        </w:rPr>
        <w:t>’outils de</w:t>
      </w:r>
      <w:r>
        <w:rPr>
          <w:rFonts w:ascii="Arial" w:hAnsi="Arial" w:cs="Arial"/>
          <w:color w:val="000000" w:themeColor="text1"/>
          <w:spacing w:val="3"/>
          <w:sz w:val="20"/>
          <w:szCs w:val="20"/>
          <w:shd w:val="clear" w:color="auto" w:fill="FFFFFF"/>
        </w:rPr>
        <w:t xml:space="preserve"> suivi et d’évaluation ;</w:t>
      </w:r>
    </w:p>
    <w:p w14:paraId="46535281" w14:textId="77777777" w:rsidR="0043112C" w:rsidRPr="00852E5B" w:rsidRDefault="0043112C" w:rsidP="0043112C">
      <w:pPr>
        <w:pStyle w:val="Paragraphedeliste"/>
        <w:numPr>
          <w:ilvl w:val="0"/>
          <w:numId w:val="2"/>
        </w:numPr>
        <w:spacing w:before="120" w:after="120" w:line="240" w:lineRule="auto"/>
        <w:jc w:val="both"/>
        <w:rPr>
          <w:rFonts w:ascii="Arial" w:eastAsia="Arial" w:hAnsi="Arial" w:cs="Arial"/>
          <w:b/>
          <w:color w:val="000000" w:themeColor="text1"/>
          <w:sz w:val="20"/>
          <w:szCs w:val="20"/>
          <w:u w:val="single"/>
        </w:rPr>
      </w:pPr>
      <w:r>
        <w:rPr>
          <w:rFonts w:ascii="Arial" w:hAnsi="Arial" w:cs="Arial"/>
          <w:color w:val="000000" w:themeColor="text1"/>
          <w:spacing w:val="3"/>
          <w:sz w:val="20"/>
          <w:szCs w:val="20"/>
          <w:shd w:val="clear" w:color="auto" w:fill="FFFFFF"/>
        </w:rPr>
        <w:t>Note de synthèses des améliorations apportées.</w:t>
      </w:r>
    </w:p>
    <w:p w14:paraId="05910824" w14:textId="309843B6" w:rsidR="0043112C" w:rsidRPr="009A1FEE" w:rsidRDefault="0043112C" w:rsidP="0043112C">
      <w:pPr>
        <w:spacing w:before="120" w:after="120" w:line="240" w:lineRule="auto"/>
        <w:jc w:val="both"/>
        <w:rPr>
          <w:rFonts w:ascii="Arial" w:eastAsia="Arial" w:hAnsi="Arial" w:cs="Arial"/>
          <w:b/>
          <w:color w:val="000000" w:themeColor="text1"/>
          <w:sz w:val="20"/>
          <w:szCs w:val="20"/>
          <w:u w:val="single"/>
        </w:rPr>
      </w:pPr>
      <w:r w:rsidRPr="009A1FEE">
        <w:rPr>
          <w:rFonts w:ascii="Arial" w:eastAsia="Arial" w:hAnsi="Arial" w:cs="Arial"/>
          <w:b/>
          <w:color w:val="000000" w:themeColor="text1"/>
          <w:sz w:val="20"/>
          <w:szCs w:val="20"/>
        </w:rPr>
        <w:t>Etape 3 –</w:t>
      </w:r>
      <w:r w:rsidRPr="009A1FEE">
        <w:rPr>
          <w:rFonts w:ascii="Arial" w:hAnsi="Arial" w:cs="Arial"/>
          <w:b/>
          <w:color w:val="000000" w:themeColor="text1"/>
          <w:spacing w:val="3"/>
          <w:sz w:val="20"/>
          <w:szCs w:val="20"/>
          <w:shd w:val="clear" w:color="auto" w:fill="FFFFFF"/>
        </w:rPr>
        <w:t xml:space="preserve"> Coaching pratique sur l’utilisation des outils internes </w:t>
      </w:r>
      <w:r w:rsidRPr="007420EC">
        <w:rPr>
          <w:rFonts w:ascii="Arial" w:hAnsi="Arial" w:cs="Arial"/>
          <w:b/>
          <w:color w:val="000000" w:themeColor="text1"/>
          <w:spacing w:val="3"/>
          <w:sz w:val="20"/>
          <w:szCs w:val="20"/>
          <w:shd w:val="clear" w:color="auto" w:fill="FFFFFF"/>
        </w:rPr>
        <w:t>(</w:t>
      </w:r>
      <w:r w:rsidR="005E5E97">
        <w:rPr>
          <w:rFonts w:ascii="Arial" w:hAnsi="Arial" w:cs="Arial"/>
          <w:b/>
          <w:color w:val="000000" w:themeColor="text1"/>
          <w:spacing w:val="3"/>
          <w:sz w:val="20"/>
          <w:szCs w:val="20"/>
          <w:shd w:val="clear" w:color="auto" w:fill="FFFFFF"/>
        </w:rPr>
        <w:t>3</w:t>
      </w:r>
      <w:r w:rsidRPr="007420EC">
        <w:rPr>
          <w:rFonts w:ascii="Arial" w:hAnsi="Arial" w:cs="Arial"/>
          <w:b/>
          <w:color w:val="000000" w:themeColor="text1"/>
          <w:spacing w:val="3"/>
          <w:sz w:val="20"/>
          <w:szCs w:val="20"/>
          <w:shd w:val="clear" w:color="auto" w:fill="FFFFFF"/>
        </w:rPr>
        <w:t xml:space="preserve"> JH)</w:t>
      </w:r>
    </w:p>
    <w:p w14:paraId="27F2086C" w14:textId="77777777" w:rsidR="0043112C" w:rsidRDefault="0043112C" w:rsidP="0043112C">
      <w:pPr>
        <w:jc w:val="both"/>
        <w:rPr>
          <w:rFonts w:ascii="Arial" w:hAnsi="Arial" w:cs="Arial"/>
          <w:color w:val="000000" w:themeColor="text1"/>
          <w:spacing w:val="3"/>
          <w:sz w:val="20"/>
          <w:szCs w:val="20"/>
          <w:shd w:val="clear" w:color="auto" w:fill="FFFFFF"/>
        </w:rPr>
      </w:pPr>
      <w:r>
        <w:rPr>
          <w:rFonts w:ascii="Arial" w:hAnsi="Arial" w:cs="Arial"/>
          <w:color w:val="000000" w:themeColor="text1"/>
          <w:spacing w:val="3"/>
          <w:sz w:val="20"/>
          <w:szCs w:val="20"/>
          <w:shd w:val="clear" w:color="auto" w:fill="FFFFFF"/>
        </w:rPr>
        <w:t xml:space="preserve">En collaboration avec l’équipe de CEED, cette dernière étape permettra à l’équipe d’être accompagnée sur l’utilisation concrète des outils développés pour le pilotage, l’ajustement et la supervision des programmes, en intégrant de manière opérationnelle les dimensions de genre. </w:t>
      </w:r>
    </w:p>
    <w:p w14:paraId="0B39EBAF" w14:textId="77777777" w:rsidR="0043112C" w:rsidRPr="000B473B" w:rsidRDefault="0043112C" w:rsidP="0043112C">
      <w:pPr>
        <w:jc w:val="both"/>
        <w:rPr>
          <w:rFonts w:ascii="Arial" w:hAnsi="Arial" w:cs="Arial"/>
          <w:color w:val="000000" w:themeColor="text1"/>
          <w:spacing w:val="3"/>
          <w:sz w:val="20"/>
          <w:szCs w:val="20"/>
          <w:shd w:val="clear" w:color="auto" w:fill="FFFFFF"/>
        </w:rPr>
      </w:pPr>
      <w:r>
        <w:rPr>
          <w:rFonts w:ascii="Arial" w:hAnsi="Arial" w:cs="Arial"/>
          <w:color w:val="000000" w:themeColor="text1"/>
          <w:spacing w:val="3"/>
          <w:sz w:val="20"/>
          <w:szCs w:val="20"/>
          <w:shd w:val="clear" w:color="auto" w:fill="FFFFFF"/>
        </w:rPr>
        <w:t>Échéance : Novembre 2026</w:t>
      </w:r>
      <w:r w:rsidRPr="000B473B">
        <w:rPr>
          <w:rFonts w:ascii="Arial" w:hAnsi="Arial" w:cs="Arial"/>
          <w:color w:val="000000" w:themeColor="text1"/>
          <w:spacing w:val="3"/>
          <w:sz w:val="20"/>
          <w:szCs w:val="20"/>
          <w:shd w:val="clear" w:color="auto" w:fill="FFFFFF"/>
        </w:rPr>
        <w:t xml:space="preserve"> </w:t>
      </w:r>
    </w:p>
    <w:p w14:paraId="481340E3" w14:textId="77777777" w:rsidR="0043112C" w:rsidRPr="000B473B" w:rsidRDefault="0043112C" w:rsidP="0043112C">
      <w:pPr>
        <w:spacing w:before="120" w:after="120" w:line="240" w:lineRule="auto"/>
        <w:jc w:val="both"/>
        <w:rPr>
          <w:rFonts w:ascii="Arial" w:eastAsia="Arial" w:hAnsi="Arial" w:cs="Arial"/>
          <w:b/>
          <w:color w:val="000000" w:themeColor="text1"/>
          <w:sz w:val="20"/>
          <w:szCs w:val="20"/>
          <w:u w:val="single"/>
        </w:rPr>
      </w:pPr>
      <w:r w:rsidRPr="000B473B">
        <w:rPr>
          <w:rFonts w:ascii="Arial" w:eastAsia="Arial" w:hAnsi="Arial" w:cs="Arial"/>
          <w:b/>
          <w:color w:val="000000" w:themeColor="text1"/>
          <w:sz w:val="20"/>
          <w:szCs w:val="20"/>
          <w:u w:val="single"/>
        </w:rPr>
        <w:t xml:space="preserve">Livrables attendus à la fin de l’étape 3 : </w:t>
      </w:r>
    </w:p>
    <w:p w14:paraId="25AD13AA" w14:textId="77777777" w:rsidR="0043112C" w:rsidRPr="000B473B" w:rsidRDefault="0043112C" w:rsidP="0043112C">
      <w:pPr>
        <w:pStyle w:val="Paragraphedeliste"/>
        <w:numPr>
          <w:ilvl w:val="0"/>
          <w:numId w:val="2"/>
        </w:numPr>
        <w:jc w:val="both"/>
        <w:rPr>
          <w:rFonts w:ascii="Arial" w:hAnsi="Arial" w:cs="Arial"/>
          <w:color w:val="000000" w:themeColor="text1"/>
          <w:spacing w:val="3"/>
          <w:sz w:val="20"/>
          <w:szCs w:val="20"/>
          <w:shd w:val="clear" w:color="auto" w:fill="FFFFFF"/>
        </w:rPr>
      </w:pPr>
      <w:r>
        <w:rPr>
          <w:rFonts w:ascii="Arial" w:hAnsi="Arial" w:cs="Arial"/>
          <w:color w:val="000000" w:themeColor="text1"/>
          <w:spacing w:val="3"/>
          <w:sz w:val="20"/>
          <w:szCs w:val="20"/>
          <w:shd w:val="clear" w:color="auto" w:fill="FFFFFF"/>
        </w:rPr>
        <w:t xml:space="preserve">Rapports d’accompagnement ; </w:t>
      </w:r>
    </w:p>
    <w:p w14:paraId="7BD83A5E" w14:textId="77777777" w:rsidR="0043112C" w:rsidRPr="000B473B" w:rsidRDefault="0043112C" w:rsidP="0043112C">
      <w:pPr>
        <w:pStyle w:val="Paragraphedeliste"/>
        <w:numPr>
          <w:ilvl w:val="0"/>
          <w:numId w:val="2"/>
        </w:numPr>
        <w:jc w:val="both"/>
        <w:rPr>
          <w:rFonts w:ascii="Arial" w:hAnsi="Arial" w:cs="Arial"/>
          <w:color w:val="000000" w:themeColor="text1"/>
          <w:spacing w:val="3"/>
          <w:sz w:val="20"/>
          <w:szCs w:val="20"/>
          <w:shd w:val="clear" w:color="auto" w:fill="FFFFFF"/>
        </w:rPr>
      </w:pPr>
      <w:r>
        <w:rPr>
          <w:rFonts w:ascii="Arial" w:hAnsi="Arial" w:cs="Arial"/>
          <w:color w:val="000000" w:themeColor="text1"/>
          <w:spacing w:val="3"/>
          <w:sz w:val="20"/>
          <w:szCs w:val="20"/>
          <w:shd w:val="clear" w:color="auto" w:fill="FFFFFF"/>
        </w:rPr>
        <w:t xml:space="preserve">Check-lists d’utilisation des outils ; </w:t>
      </w:r>
    </w:p>
    <w:p w14:paraId="1BD14B2E" w14:textId="1C3E08D3" w:rsidR="004D205A" w:rsidRDefault="0043112C" w:rsidP="001D786E">
      <w:pPr>
        <w:pStyle w:val="Paragraphedeliste"/>
        <w:numPr>
          <w:ilvl w:val="0"/>
          <w:numId w:val="2"/>
        </w:numPr>
        <w:jc w:val="both"/>
        <w:rPr>
          <w:shd w:val="clear" w:color="auto" w:fill="FFFFFF"/>
        </w:rPr>
      </w:pPr>
      <w:r>
        <w:rPr>
          <w:rFonts w:ascii="Arial" w:hAnsi="Arial" w:cs="Arial"/>
          <w:color w:val="000000" w:themeColor="text1"/>
          <w:spacing w:val="3"/>
          <w:sz w:val="20"/>
          <w:szCs w:val="20"/>
          <w:shd w:val="clear" w:color="auto" w:fill="FFFFFF"/>
        </w:rPr>
        <w:t xml:space="preserve">Retour d’expérience d’application pratique </w:t>
      </w:r>
    </w:p>
    <w:p w14:paraId="20314668" w14:textId="7B38F372" w:rsidR="0043112C" w:rsidRPr="005E13CB" w:rsidRDefault="0043112C" w:rsidP="005E13CB">
      <w:pPr>
        <w:jc w:val="both"/>
        <w:rPr>
          <w:rFonts w:ascii="Arial" w:hAnsi="Arial" w:cs="Arial"/>
          <w:color w:val="000000" w:themeColor="text1"/>
          <w:spacing w:val="3"/>
          <w:sz w:val="20"/>
          <w:szCs w:val="20"/>
          <w:shd w:val="clear" w:color="auto" w:fill="FFFFFF"/>
        </w:rPr>
      </w:pPr>
    </w:p>
    <w:p w14:paraId="1D66D7DA" w14:textId="3876F828" w:rsidR="0043112C" w:rsidRDefault="0043112C" w:rsidP="0043112C">
      <w:pPr>
        <w:pStyle w:val="Paragraphedeliste"/>
        <w:numPr>
          <w:ilvl w:val="0"/>
          <w:numId w:val="1"/>
        </w:numPr>
        <w:spacing w:line="240" w:lineRule="auto"/>
        <w:jc w:val="both"/>
        <w:outlineLvl w:val="1"/>
        <w:rPr>
          <w:rFonts w:ascii="Arial" w:eastAsia="Times New Roman" w:hAnsi="Arial" w:cs="Arial"/>
          <w:b/>
          <w:color w:val="009CA6"/>
        </w:rPr>
      </w:pPr>
      <w:r w:rsidRPr="00A25D0C">
        <w:rPr>
          <w:rFonts w:ascii="Arial" w:eastAsia="Times New Roman" w:hAnsi="Arial" w:cs="Arial"/>
          <w:b/>
          <w:color w:val="009CA6"/>
        </w:rPr>
        <w:t>Calendrier prévisionnel et livrables attendus</w:t>
      </w:r>
    </w:p>
    <w:p w14:paraId="471AE2BC" w14:textId="3D37EBFE" w:rsidR="004D205A" w:rsidRPr="004D205A" w:rsidRDefault="004D205A" w:rsidP="004D205A">
      <w:pPr>
        <w:spacing w:line="240" w:lineRule="auto"/>
        <w:jc w:val="both"/>
        <w:outlineLvl w:val="1"/>
        <w:rPr>
          <w:rFonts w:ascii="Arial" w:eastAsia="Times New Roman" w:hAnsi="Arial" w:cs="Arial"/>
          <w:sz w:val="20"/>
          <w:szCs w:val="20"/>
        </w:rPr>
      </w:pPr>
      <w:r w:rsidRPr="004D205A">
        <w:rPr>
          <w:rFonts w:ascii="Arial" w:eastAsia="Times New Roman" w:hAnsi="Arial" w:cs="Arial"/>
          <w:sz w:val="20"/>
          <w:szCs w:val="20"/>
        </w:rPr>
        <w:t xml:space="preserve">La durée globale de l’ensemble des prestations de ce cahier des charges est fixée à </w:t>
      </w:r>
      <w:r w:rsidR="005E5E97">
        <w:rPr>
          <w:rFonts w:ascii="Arial" w:eastAsia="Times New Roman" w:hAnsi="Arial" w:cs="Arial"/>
          <w:b/>
          <w:sz w:val="20"/>
          <w:szCs w:val="20"/>
        </w:rPr>
        <w:t>3</w:t>
      </w:r>
      <w:r w:rsidR="00A724AD">
        <w:rPr>
          <w:rFonts w:ascii="Arial" w:eastAsia="Times New Roman" w:hAnsi="Arial" w:cs="Arial"/>
          <w:b/>
          <w:sz w:val="20"/>
          <w:szCs w:val="20"/>
        </w:rPr>
        <w:t xml:space="preserve"> mois (dates indicatives : </w:t>
      </w:r>
      <w:r w:rsidR="005E5E97">
        <w:rPr>
          <w:rFonts w:ascii="Arial" w:eastAsia="Times New Roman" w:hAnsi="Arial" w:cs="Arial"/>
          <w:b/>
          <w:sz w:val="20"/>
          <w:szCs w:val="20"/>
        </w:rPr>
        <w:t>Septembre</w:t>
      </w:r>
      <w:r w:rsidRPr="004D205A">
        <w:rPr>
          <w:rFonts w:ascii="Arial" w:eastAsia="Times New Roman" w:hAnsi="Arial" w:cs="Arial"/>
          <w:b/>
          <w:sz w:val="20"/>
          <w:szCs w:val="20"/>
        </w:rPr>
        <w:t>-</w:t>
      </w:r>
      <w:r w:rsidR="00A724AD">
        <w:rPr>
          <w:rFonts w:ascii="Arial" w:eastAsia="Times New Roman" w:hAnsi="Arial" w:cs="Arial"/>
          <w:b/>
          <w:sz w:val="20"/>
          <w:szCs w:val="20"/>
        </w:rPr>
        <w:t>n</w:t>
      </w:r>
      <w:r w:rsidR="00C365C0">
        <w:rPr>
          <w:rFonts w:ascii="Arial" w:eastAsia="Times New Roman" w:hAnsi="Arial" w:cs="Arial"/>
          <w:b/>
          <w:sz w:val="20"/>
          <w:szCs w:val="20"/>
        </w:rPr>
        <w:t>ovembre</w:t>
      </w:r>
      <w:r w:rsidRPr="004D205A">
        <w:rPr>
          <w:rFonts w:ascii="Arial" w:eastAsia="Times New Roman" w:hAnsi="Arial" w:cs="Arial"/>
          <w:b/>
          <w:sz w:val="20"/>
          <w:szCs w:val="20"/>
        </w:rPr>
        <w:t xml:space="preserve"> 2026)</w:t>
      </w:r>
      <w:r w:rsidRPr="004D205A">
        <w:rPr>
          <w:rFonts w:ascii="Arial" w:eastAsia="Times New Roman" w:hAnsi="Arial" w:cs="Arial"/>
          <w:sz w:val="20"/>
          <w:szCs w:val="20"/>
        </w:rPr>
        <w:t xml:space="preserve"> à compter de la date de notifi</w:t>
      </w:r>
      <w:r w:rsidR="00A724AD">
        <w:rPr>
          <w:rFonts w:ascii="Arial" w:eastAsia="Times New Roman" w:hAnsi="Arial" w:cs="Arial"/>
          <w:sz w:val="20"/>
          <w:szCs w:val="20"/>
        </w:rPr>
        <w:t>cation par le commanditaire. Le prestataire</w:t>
      </w:r>
      <w:r w:rsidRPr="004D205A">
        <w:rPr>
          <w:rFonts w:ascii="Arial" w:eastAsia="Times New Roman" w:hAnsi="Arial" w:cs="Arial"/>
          <w:sz w:val="20"/>
          <w:szCs w:val="20"/>
        </w:rPr>
        <w:t xml:space="preserve"> </w:t>
      </w:r>
      <w:r w:rsidR="00A724AD" w:rsidRPr="004D205A">
        <w:rPr>
          <w:rFonts w:ascii="Arial" w:eastAsia="Times New Roman" w:hAnsi="Arial" w:cs="Arial"/>
          <w:sz w:val="20"/>
          <w:szCs w:val="20"/>
        </w:rPr>
        <w:t>devra</w:t>
      </w:r>
      <w:r w:rsidRPr="004D205A">
        <w:rPr>
          <w:rFonts w:ascii="Arial" w:eastAsia="Times New Roman" w:hAnsi="Arial" w:cs="Arial"/>
          <w:sz w:val="20"/>
          <w:szCs w:val="20"/>
        </w:rPr>
        <w:t xml:space="preserve"> produire les livrables tels qu’indiqués dans le tableau ci-dessous. </w:t>
      </w:r>
    </w:p>
    <w:p w14:paraId="0D739865" w14:textId="24206C22" w:rsidR="0043112C" w:rsidRDefault="004D205A" w:rsidP="0043112C">
      <w:pPr>
        <w:spacing w:line="240" w:lineRule="auto"/>
        <w:jc w:val="both"/>
        <w:outlineLvl w:val="1"/>
        <w:rPr>
          <w:rFonts w:ascii="Arial" w:eastAsia="Times New Roman" w:hAnsi="Arial" w:cs="Arial"/>
          <w:sz w:val="20"/>
          <w:szCs w:val="20"/>
        </w:rPr>
      </w:pPr>
      <w:r w:rsidRPr="004D205A">
        <w:rPr>
          <w:rFonts w:ascii="Arial" w:eastAsia="Times New Roman" w:hAnsi="Arial" w:cs="Arial"/>
          <w:sz w:val="20"/>
          <w:szCs w:val="20"/>
        </w:rPr>
        <w:lastRenderedPageBreak/>
        <w:t xml:space="preserve">Les dates des remises des livrables sont prévisionnelles. </w:t>
      </w:r>
    </w:p>
    <w:p w14:paraId="0AE11F95" w14:textId="1BE7F3DD" w:rsidR="00C365C0" w:rsidRDefault="00164364" w:rsidP="0043112C">
      <w:pPr>
        <w:spacing w:line="240" w:lineRule="auto"/>
        <w:jc w:val="both"/>
        <w:outlineLvl w:val="1"/>
        <w:rPr>
          <w:rFonts w:ascii="Arial" w:eastAsia="Times New Roman" w:hAnsi="Arial" w:cs="Arial"/>
          <w:sz w:val="20"/>
          <w:szCs w:val="20"/>
        </w:rPr>
      </w:pPr>
      <w:r>
        <w:rPr>
          <w:rFonts w:ascii="Arial" w:eastAsia="Times New Roman" w:hAnsi="Arial" w:cs="Arial"/>
          <w:sz w:val="20"/>
          <w:szCs w:val="20"/>
        </w:rPr>
        <w:t xml:space="preserve">T0 = Début de la première phase </w:t>
      </w:r>
    </w:p>
    <w:tbl>
      <w:tblPr>
        <w:tblW w:w="8916" w:type="dxa"/>
        <w:jc w:val="center"/>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ayout w:type="fixed"/>
        <w:tblLook w:val="0400" w:firstRow="0" w:lastRow="0" w:firstColumn="0" w:lastColumn="0" w:noHBand="0" w:noVBand="1"/>
      </w:tblPr>
      <w:tblGrid>
        <w:gridCol w:w="978"/>
        <w:gridCol w:w="283"/>
        <w:gridCol w:w="5670"/>
        <w:gridCol w:w="1985"/>
      </w:tblGrid>
      <w:tr w:rsidR="00164364" w14:paraId="138DC604" w14:textId="77777777" w:rsidTr="00A36428">
        <w:trPr>
          <w:trHeight w:val="182"/>
          <w:jc w:val="center"/>
        </w:trPr>
        <w:tc>
          <w:tcPr>
            <w:tcW w:w="1261"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F243E"/>
            <w:vAlign w:val="center"/>
            <w:hideMark/>
          </w:tcPr>
          <w:p w14:paraId="38B9A8CB" w14:textId="77777777" w:rsidR="00164364" w:rsidRDefault="00164364" w:rsidP="00A36428">
            <w:pPr>
              <w:spacing w:before="240" w:line="240" w:lineRule="auto"/>
              <w:jc w:val="center"/>
              <w:rPr>
                <w:rFonts w:ascii="Arial" w:eastAsia="Calibri" w:hAnsi="Arial" w:cs="Arial"/>
                <w:b/>
                <w:sz w:val="16"/>
                <w:szCs w:val="20"/>
              </w:rPr>
            </w:pPr>
            <w:r>
              <w:rPr>
                <w:rFonts w:ascii="Arial" w:eastAsia="Calibri" w:hAnsi="Arial" w:cs="Arial"/>
                <w:b/>
                <w:sz w:val="16"/>
                <w:szCs w:val="20"/>
              </w:rPr>
              <w:t>Livrables</w:t>
            </w:r>
          </w:p>
        </w:tc>
        <w:tc>
          <w:tcPr>
            <w:tcW w:w="5670"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F243E"/>
            <w:vAlign w:val="center"/>
            <w:hideMark/>
          </w:tcPr>
          <w:p w14:paraId="458D3768" w14:textId="77777777" w:rsidR="00164364" w:rsidRDefault="00164364" w:rsidP="00A36428">
            <w:pPr>
              <w:spacing w:before="240" w:line="240" w:lineRule="auto"/>
              <w:rPr>
                <w:rFonts w:ascii="Arial" w:eastAsia="Calibri" w:hAnsi="Arial" w:cs="Arial"/>
                <w:b/>
                <w:sz w:val="16"/>
                <w:szCs w:val="20"/>
              </w:rPr>
            </w:pPr>
            <w:r>
              <w:rPr>
                <w:rFonts w:ascii="Arial" w:eastAsia="Calibri" w:hAnsi="Arial" w:cs="Arial"/>
                <w:b/>
                <w:sz w:val="16"/>
                <w:szCs w:val="20"/>
              </w:rPr>
              <w:t>Intitulé</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F243E"/>
            <w:vAlign w:val="center"/>
            <w:hideMark/>
          </w:tcPr>
          <w:p w14:paraId="55936B72" w14:textId="77777777" w:rsidR="00164364" w:rsidRDefault="00164364" w:rsidP="00A36428">
            <w:pPr>
              <w:spacing w:before="240" w:line="240" w:lineRule="auto"/>
              <w:jc w:val="center"/>
              <w:rPr>
                <w:rFonts w:ascii="Arial" w:eastAsia="Calibri" w:hAnsi="Arial" w:cs="Arial"/>
                <w:b/>
                <w:sz w:val="16"/>
                <w:szCs w:val="20"/>
              </w:rPr>
            </w:pPr>
            <w:r>
              <w:rPr>
                <w:rFonts w:ascii="Arial" w:eastAsia="Calibri" w:hAnsi="Arial" w:cs="Arial"/>
                <w:b/>
                <w:sz w:val="16"/>
                <w:szCs w:val="20"/>
              </w:rPr>
              <w:t>Date de remise des livrables (indicatif)</w:t>
            </w:r>
          </w:p>
        </w:tc>
      </w:tr>
      <w:tr w:rsidR="00164364" w14:paraId="21DD9491" w14:textId="77777777" w:rsidTr="00A36428">
        <w:trPr>
          <w:trHeight w:val="373"/>
          <w:jc w:val="center"/>
        </w:trPr>
        <w:tc>
          <w:tcPr>
            <w:tcW w:w="6931" w:type="dxa"/>
            <w:gridSpan w:val="3"/>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BE5F1"/>
            <w:vAlign w:val="center"/>
            <w:hideMark/>
          </w:tcPr>
          <w:p w14:paraId="40F23383" w14:textId="4EA34F77" w:rsidR="00164364" w:rsidRPr="00767076" w:rsidRDefault="00767076" w:rsidP="00A36428">
            <w:pPr>
              <w:pStyle w:val="Paragraphedeliste"/>
              <w:numPr>
                <w:ilvl w:val="0"/>
                <w:numId w:val="15"/>
              </w:numPr>
              <w:spacing w:before="240" w:line="240" w:lineRule="auto"/>
              <w:jc w:val="both"/>
              <w:rPr>
                <w:rFonts w:ascii="Arial" w:eastAsia="Calibri" w:hAnsi="Arial" w:cs="Arial"/>
                <w:b/>
                <w:sz w:val="18"/>
                <w:szCs w:val="20"/>
              </w:rPr>
            </w:pPr>
            <w:r>
              <w:rPr>
                <w:rFonts w:ascii="Arial" w:eastAsia="Calibri" w:hAnsi="Arial" w:cs="Arial"/>
                <w:b/>
                <w:sz w:val="20"/>
                <w:szCs w:val="20"/>
              </w:rPr>
              <w:t xml:space="preserve">Atelier de renforcement des compétences environnementales et méthodologiques </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BE5F1"/>
            <w:vAlign w:val="center"/>
            <w:hideMark/>
          </w:tcPr>
          <w:p w14:paraId="26AEFAF0" w14:textId="103FA303" w:rsidR="00164364" w:rsidRDefault="00767076" w:rsidP="00A36428">
            <w:pPr>
              <w:spacing w:before="240" w:line="240" w:lineRule="auto"/>
              <w:jc w:val="center"/>
              <w:rPr>
                <w:rFonts w:ascii="Arial" w:eastAsia="Calibri" w:hAnsi="Arial" w:cs="Arial"/>
                <w:b/>
                <w:sz w:val="16"/>
                <w:szCs w:val="20"/>
              </w:rPr>
            </w:pPr>
            <w:r>
              <w:rPr>
                <w:rFonts w:ascii="Arial" w:eastAsia="Calibri" w:hAnsi="Arial" w:cs="Arial"/>
                <w:b/>
                <w:sz w:val="16"/>
                <w:szCs w:val="20"/>
              </w:rPr>
              <w:t xml:space="preserve">T0+ </w:t>
            </w:r>
            <w:r w:rsidR="005E5E97">
              <w:rPr>
                <w:rFonts w:ascii="Arial" w:eastAsia="Calibri" w:hAnsi="Arial" w:cs="Arial"/>
                <w:b/>
                <w:sz w:val="16"/>
                <w:szCs w:val="20"/>
              </w:rPr>
              <w:t>1</w:t>
            </w:r>
            <w:r w:rsidR="00164364">
              <w:rPr>
                <w:rFonts w:ascii="Arial" w:eastAsia="Calibri" w:hAnsi="Arial" w:cs="Arial"/>
                <w:b/>
                <w:sz w:val="16"/>
                <w:szCs w:val="20"/>
              </w:rPr>
              <w:t xml:space="preserve"> mois</w:t>
            </w:r>
          </w:p>
        </w:tc>
      </w:tr>
      <w:tr w:rsidR="00164364" w14:paraId="7FFBDA31" w14:textId="77777777" w:rsidTr="00A36428">
        <w:trPr>
          <w:trHeight w:val="535"/>
          <w:jc w:val="center"/>
        </w:trPr>
        <w:tc>
          <w:tcPr>
            <w:tcW w:w="9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4C994E2D" w14:textId="77777777" w:rsidR="00164364" w:rsidRDefault="00164364" w:rsidP="00A36428">
            <w:pPr>
              <w:spacing w:before="240" w:line="240" w:lineRule="auto"/>
              <w:jc w:val="center"/>
              <w:rPr>
                <w:rFonts w:ascii="Arial" w:eastAsia="Calibri" w:hAnsi="Arial" w:cs="Arial"/>
                <w:sz w:val="16"/>
                <w:szCs w:val="20"/>
              </w:rPr>
            </w:pPr>
            <w:r>
              <w:rPr>
                <w:rFonts w:ascii="Arial" w:eastAsia="Calibri" w:hAnsi="Arial" w:cs="Arial"/>
                <w:sz w:val="16"/>
                <w:szCs w:val="20"/>
              </w:rPr>
              <w:t>L1.1</w:t>
            </w:r>
          </w:p>
        </w:tc>
        <w:tc>
          <w:tcPr>
            <w:tcW w:w="5953"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3058E379" w14:textId="47488808" w:rsidR="00164364" w:rsidRPr="00767076" w:rsidRDefault="00767076" w:rsidP="00A36428">
            <w:pPr>
              <w:spacing w:before="240" w:after="0" w:line="240" w:lineRule="auto"/>
              <w:jc w:val="both"/>
              <w:rPr>
                <w:rFonts w:ascii="Arial" w:eastAsia="Calibri" w:hAnsi="Arial" w:cs="Arial"/>
                <w:sz w:val="18"/>
                <w:szCs w:val="20"/>
              </w:rPr>
            </w:pPr>
            <w:r w:rsidRPr="00767076">
              <w:rPr>
                <w:rFonts w:ascii="Arial" w:hAnsi="Arial" w:cs="Arial"/>
                <w:color w:val="1F1F1F"/>
                <w:spacing w:val="3"/>
                <w:sz w:val="18"/>
                <w:szCs w:val="20"/>
                <w:shd w:val="clear" w:color="auto" w:fill="FFFFFF"/>
              </w:rPr>
              <w:t>Supports pédagogiques associées à l’atelier</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5D1B6B9A" w14:textId="77777777" w:rsidR="00164364" w:rsidRDefault="00164364" w:rsidP="00A36428">
            <w:pPr>
              <w:spacing w:before="240" w:line="240" w:lineRule="auto"/>
              <w:jc w:val="center"/>
              <w:rPr>
                <w:rFonts w:ascii="Arial" w:eastAsia="Calibri" w:hAnsi="Arial" w:cs="Arial"/>
                <w:sz w:val="16"/>
                <w:szCs w:val="20"/>
              </w:rPr>
            </w:pPr>
            <w:r>
              <w:rPr>
                <w:rFonts w:ascii="Arial" w:eastAsia="Calibri" w:hAnsi="Arial" w:cs="Arial"/>
                <w:sz w:val="16"/>
                <w:szCs w:val="20"/>
              </w:rPr>
              <w:t>T0 + 1 mois</w:t>
            </w:r>
          </w:p>
        </w:tc>
      </w:tr>
      <w:tr w:rsidR="00164364" w14:paraId="3580D7C8" w14:textId="77777777" w:rsidTr="00A36428">
        <w:trPr>
          <w:trHeight w:val="535"/>
          <w:jc w:val="center"/>
        </w:trPr>
        <w:tc>
          <w:tcPr>
            <w:tcW w:w="9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0E8DA970" w14:textId="77777777" w:rsidR="00164364" w:rsidRDefault="00164364" w:rsidP="00A36428">
            <w:pPr>
              <w:spacing w:before="240" w:line="240" w:lineRule="auto"/>
              <w:jc w:val="center"/>
              <w:rPr>
                <w:rFonts w:ascii="Arial" w:eastAsia="Calibri" w:hAnsi="Arial" w:cs="Arial"/>
                <w:sz w:val="16"/>
                <w:szCs w:val="20"/>
              </w:rPr>
            </w:pPr>
            <w:r>
              <w:rPr>
                <w:rFonts w:ascii="Arial" w:eastAsia="Calibri" w:hAnsi="Arial" w:cs="Arial"/>
                <w:sz w:val="16"/>
                <w:szCs w:val="20"/>
              </w:rPr>
              <w:t>L1.3</w:t>
            </w:r>
          </w:p>
        </w:tc>
        <w:tc>
          <w:tcPr>
            <w:tcW w:w="5953"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6BA9DB17" w14:textId="3C2C6488" w:rsidR="00164364" w:rsidRPr="00767076" w:rsidRDefault="00767076" w:rsidP="00A36428">
            <w:pPr>
              <w:spacing w:before="240" w:after="0" w:line="240" w:lineRule="auto"/>
              <w:jc w:val="both"/>
              <w:rPr>
                <w:rFonts w:ascii="Arial" w:eastAsia="Calibri" w:hAnsi="Arial" w:cs="Arial"/>
                <w:sz w:val="18"/>
                <w:szCs w:val="20"/>
              </w:rPr>
            </w:pPr>
            <w:r w:rsidRPr="00767076">
              <w:rPr>
                <w:rFonts w:ascii="Arial" w:eastAsia="Calibri" w:hAnsi="Arial" w:cs="Arial"/>
                <w:sz w:val="18"/>
                <w:szCs w:val="20"/>
              </w:rPr>
              <w:t xml:space="preserve">Feuilles d’émargement </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6E470467" w14:textId="7DA78299" w:rsidR="00164364" w:rsidRDefault="00164364" w:rsidP="00A36428">
            <w:pPr>
              <w:spacing w:before="240" w:line="240" w:lineRule="auto"/>
              <w:jc w:val="center"/>
              <w:rPr>
                <w:rFonts w:ascii="Arial" w:eastAsia="Calibri" w:hAnsi="Arial" w:cs="Arial"/>
                <w:sz w:val="16"/>
                <w:szCs w:val="20"/>
              </w:rPr>
            </w:pPr>
            <w:r>
              <w:rPr>
                <w:rFonts w:ascii="Arial" w:eastAsia="Calibri" w:hAnsi="Arial" w:cs="Arial"/>
                <w:sz w:val="16"/>
                <w:szCs w:val="20"/>
              </w:rPr>
              <w:t>T0 + 1</w:t>
            </w:r>
            <w:r w:rsidR="005E5E97">
              <w:rPr>
                <w:rFonts w:ascii="Arial" w:eastAsia="Calibri" w:hAnsi="Arial" w:cs="Arial"/>
                <w:sz w:val="16"/>
                <w:szCs w:val="20"/>
              </w:rPr>
              <w:t xml:space="preserve"> </w:t>
            </w:r>
            <w:r>
              <w:rPr>
                <w:rFonts w:ascii="Arial" w:eastAsia="Calibri" w:hAnsi="Arial" w:cs="Arial"/>
                <w:sz w:val="16"/>
                <w:szCs w:val="20"/>
              </w:rPr>
              <w:t>mois</w:t>
            </w:r>
          </w:p>
        </w:tc>
      </w:tr>
      <w:tr w:rsidR="00767076" w14:paraId="6B4DED85" w14:textId="77777777" w:rsidTr="00A36428">
        <w:trPr>
          <w:trHeight w:val="535"/>
          <w:jc w:val="center"/>
        </w:trPr>
        <w:tc>
          <w:tcPr>
            <w:tcW w:w="9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tcPr>
          <w:p w14:paraId="714F457D" w14:textId="1D8B8742" w:rsidR="00767076" w:rsidRDefault="00767076" w:rsidP="00A36428">
            <w:pPr>
              <w:spacing w:before="240" w:line="240" w:lineRule="auto"/>
              <w:jc w:val="center"/>
              <w:rPr>
                <w:rFonts w:ascii="Arial" w:eastAsia="Calibri" w:hAnsi="Arial" w:cs="Arial"/>
                <w:sz w:val="16"/>
                <w:szCs w:val="20"/>
              </w:rPr>
            </w:pPr>
            <w:r>
              <w:rPr>
                <w:rFonts w:ascii="Arial" w:eastAsia="Calibri" w:hAnsi="Arial" w:cs="Arial"/>
                <w:sz w:val="16"/>
                <w:szCs w:val="20"/>
              </w:rPr>
              <w:t>L1.4</w:t>
            </w:r>
          </w:p>
        </w:tc>
        <w:tc>
          <w:tcPr>
            <w:tcW w:w="5953"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tcPr>
          <w:p w14:paraId="0929B251" w14:textId="0D269A47" w:rsidR="00767076" w:rsidRPr="00767076" w:rsidRDefault="00767076" w:rsidP="00A36428">
            <w:pPr>
              <w:spacing w:before="240" w:after="0" w:line="240" w:lineRule="auto"/>
              <w:jc w:val="both"/>
              <w:rPr>
                <w:rFonts w:ascii="Arial" w:eastAsia="Calibri" w:hAnsi="Arial" w:cs="Arial"/>
                <w:sz w:val="18"/>
                <w:szCs w:val="20"/>
              </w:rPr>
            </w:pPr>
            <w:r w:rsidRPr="00767076">
              <w:rPr>
                <w:rFonts w:ascii="Arial" w:eastAsia="Calibri" w:hAnsi="Arial" w:cs="Arial"/>
                <w:sz w:val="18"/>
                <w:szCs w:val="20"/>
              </w:rPr>
              <w:t>Plan d’action individuel</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tcPr>
          <w:p w14:paraId="1FAA821A" w14:textId="1C02317F" w:rsidR="00767076" w:rsidRDefault="00767076" w:rsidP="00A36428">
            <w:pPr>
              <w:spacing w:before="240" w:line="240" w:lineRule="auto"/>
              <w:jc w:val="center"/>
              <w:rPr>
                <w:rFonts w:ascii="Arial" w:eastAsia="Calibri" w:hAnsi="Arial" w:cs="Arial"/>
                <w:sz w:val="16"/>
                <w:szCs w:val="20"/>
              </w:rPr>
            </w:pPr>
            <w:r>
              <w:rPr>
                <w:rFonts w:ascii="Arial" w:eastAsia="Calibri" w:hAnsi="Arial" w:cs="Arial"/>
                <w:sz w:val="16"/>
                <w:szCs w:val="20"/>
              </w:rPr>
              <w:t xml:space="preserve">T0 + </w:t>
            </w:r>
            <w:r w:rsidR="005E5E97">
              <w:rPr>
                <w:rFonts w:ascii="Arial" w:eastAsia="Calibri" w:hAnsi="Arial" w:cs="Arial"/>
                <w:sz w:val="16"/>
                <w:szCs w:val="20"/>
              </w:rPr>
              <w:t>1</w:t>
            </w:r>
            <w:r>
              <w:rPr>
                <w:rFonts w:ascii="Arial" w:eastAsia="Calibri" w:hAnsi="Arial" w:cs="Arial"/>
                <w:sz w:val="16"/>
                <w:szCs w:val="20"/>
              </w:rPr>
              <w:t xml:space="preserve"> mois</w:t>
            </w:r>
          </w:p>
        </w:tc>
      </w:tr>
      <w:tr w:rsidR="00164364" w14:paraId="08BFCF90" w14:textId="77777777" w:rsidTr="00A36428">
        <w:trPr>
          <w:trHeight w:val="400"/>
          <w:jc w:val="center"/>
        </w:trPr>
        <w:tc>
          <w:tcPr>
            <w:tcW w:w="6931" w:type="dxa"/>
            <w:gridSpan w:val="3"/>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BE5F1"/>
            <w:vAlign w:val="center"/>
            <w:hideMark/>
          </w:tcPr>
          <w:p w14:paraId="2AE2F0F2" w14:textId="4449AB9E" w:rsidR="00164364" w:rsidRPr="00767076" w:rsidRDefault="00767076" w:rsidP="00767076">
            <w:pPr>
              <w:pStyle w:val="Paragraphedeliste"/>
              <w:numPr>
                <w:ilvl w:val="0"/>
                <w:numId w:val="15"/>
              </w:numPr>
              <w:spacing w:before="240" w:line="240" w:lineRule="auto"/>
              <w:jc w:val="both"/>
              <w:rPr>
                <w:rFonts w:ascii="Arial" w:eastAsia="Calibri" w:hAnsi="Arial" w:cs="Arial"/>
                <w:b/>
                <w:sz w:val="16"/>
                <w:szCs w:val="20"/>
              </w:rPr>
            </w:pPr>
            <w:r w:rsidRPr="00767076">
              <w:rPr>
                <w:rFonts w:ascii="Arial" w:eastAsia="Calibri" w:hAnsi="Arial" w:cs="Arial"/>
                <w:b/>
                <w:sz w:val="20"/>
                <w:szCs w:val="20"/>
              </w:rPr>
              <w:t>Revue</w:t>
            </w:r>
            <w:r>
              <w:rPr>
                <w:rFonts w:ascii="Arial" w:eastAsia="Calibri" w:hAnsi="Arial" w:cs="Arial"/>
                <w:b/>
                <w:sz w:val="20"/>
                <w:szCs w:val="20"/>
              </w:rPr>
              <w:t xml:space="preserve"> et harmonisation des outils et méthodologies internes </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BE5F1"/>
            <w:vAlign w:val="center"/>
            <w:hideMark/>
          </w:tcPr>
          <w:p w14:paraId="5F422CDC" w14:textId="6552CAB8" w:rsidR="00164364" w:rsidRDefault="00767076" w:rsidP="00A36428">
            <w:pPr>
              <w:spacing w:before="240" w:line="240" w:lineRule="auto"/>
              <w:jc w:val="center"/>
              <w:rPr>
                <w:rFonts w:ascii="Arial" w:eastAsia="Calibri" w:hAnsi="Arial" w:cs="Arial"/>
                <w:b/>
                <w:sz w:val="16"/>
                <w:szCs w:val="20"/>
              </w:rPr>
            </w:pPr>
            <w:r>
              <w:rPr>
                <w:rFonts w:ascii="Arial" w:eastAsia="Calibri" w:hAnsi="Arial" w:cs="Arial"/>
                <w:b/>
                <w:sz w:val="16"/>
                <w:szCs w:val="20"/>
              </w:rPr>
              <w:t>T0</w:t>
            </w:r>
            <w:proofErr w:type="gramStart"/>
            <w:r>
              <w:rPr>
                <w:rFonts w:ascii="Arial" w:eastAsia="Calibri" w:hAnsi="Arial" w:cs="Arial"/>
                <w:b/>
                <w:sz w:val="16"/>
                <w:szCs w:val="20"/>
              </w:rPr>
              <w:t xml:space="preserve">+ </w:t>
            </w:r>
            <w:r w:rsidR="00164364">
              <w:rPr>
                <w:rFonts w:ascii="Arial" w:eastAsia="Calibri" w:hAnsi="Arial" w:cs="Arial"/>
                <w:b/>
                <w:sz w:val="16"/>
                <w:szCs w:val="20"/>
              </w:rPr>
              <w:t xml:space="preserve"> </w:t>
            </w:r>
            <w:r w:rsidR="005E5E97">
              <w:rPr>
                <w:rFonts w:ascii="Arial" w:eastAsia="Calibri" w:hAnsi="Arial" w:cs="Arial"/>
                <w:b/>
                <w:sz w:val="16"/>
                <w:szCs w:val="20"/>
              </w:rPr>
              <w:t>2</w:t>
            </w:r>
            <w:proofErr w:type="gramEnd"/>
            <w:r w:rsidR="005E5E97">
              <w:rPr>
                <w:rFonts w:ascii="Arial" w:eastAsia="Calibri" w:hAnsi="Arial" w:cs="Arial"/>
                <w:b/>
                <w:sz w:val="16"/>
                <w:szCs w:val="20"/>
              </w:rPr>
              <w:t xml:space="preserve"> </w:t>
            </w:r>
            <w:r w:rsidR="00164364">
              <w:rPr>
                <w:rFonts w:ascii="Arial" w:eastAsia="Calibri" w:hAnsi="Arial" w:cs="Arial"/>
                <w:b/>
                <w:sz w:val="16"/>
                <w:szCs w:val="20"/>
              </w:rPr>
              <w:t>mois</w:t>
            </w:r>
          </w:p>
        </w:tc>
      </w:tr>
      <w:tr w:rsidR="00164364" w14:paraId="71A8F0C0" w14:textId="77777777" w:rsidTr="00A36428">
        <w:trPr>
          <w:trHeight w:val="400"/>
          <w:jc w:val="center"/>
        </w:trPr>
        <w:tc>
          <w:tcPr>
            <w:tcW w:w="9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418A8068" w14:textId="77777777" w:rsidR="00164364" w:rsidRDefault="00164364" w:rsidP="00A36428">
            <w:pPr>
              <w:spacing w:before="240" w:line="240" w:lineRule="auto"/>
              <w:jc w:val="center"/>
              <w:rPr>
                <w:rFonts w:ascii="Arial" w:eastAsia="Calibri" w:hAnsi="Arial" w:cs="Arial"/>
                <w:sz w:val="16"/>
                <w:szCs w:val="20"/>
              </w:rPr>
            </w:pPr>
            <w:r>
              <w:rPr>
                <w:rFonts w:ascii="Arial" w:eastAsia="Calibri" w:hAnsi="Arial" w:cs="Arial"/>
                <w:sz w:val="16"/>
                <w:szCs w:val="20"/>
              </w:rPr>
              <w:t>L2.1</w:t>
            </w:r>
          </w:p>
        </w:tc>
        <w:tc>
          <w:tcPr>
            <w:tcW w:w="5953"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796CFF5A" w14:textId="69C689E1" w:rsidR="00164364" w:rsidRDefault="00767076" w:rsidP="00A36428">
            <w:pPr>
              <w:spacing w:before="240" w:after="0" w:line="240" w:lineRule="auto"/>
              <w:jc w:val="both"/>
              <w:rPr>
                <w:rFonts w:ascii="Arial" w:eastAsia="Calibri" w:hAnsi="Arial" w:cs="Arial"/>
                <w:sz w:val="16"/>
                <w:szCs w:val="20"/>
              </w:rPr>
            </w:pPr>
            <w:r>
              <w:rPr>
                <w:rFonts w:ascii="Arial" w:eastAsia="Calibri" w:hAnsi="Arial" w:cs="Arial"/>
                <w:sz w:val="18"/>
                <w:szCs w:val="20"/>
              </w:rPr>
              <w:t xml:space="preserve">Guides méthodologiques harmonisées </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658D1D46" w14:textId="601CF1E9" w:rsidR="00164364" w:rsidRDefault="00767076" w:rsidP="00A36428">
            <w:pPr>
              <w:spacing w:before="240" w:line="240" w:lineRule="auto"/>
              <w:jc w:val="center"/>
              <w:rPr>
                <w:rFonts w:ascii="Arial" w:eastAsia="Calibri" w:hAnsi="Arial" w:cs="Arial"/>
                <w:sz w:val="16"/>
                <w:szCs w:val="20"/>
              </w:rPr>
            </w:pPr>
            <w:r>
              <w:rPr>
                <w:rFonts w:ascii="Arial" w:eastAsia="Calibri" w:hAnsi="Arial" w:cs="Arial"/>
                <w:sz w:val="16"/>
                <w:szCs w:val="20"/>
              </w:rPr>
              <w:t xml:space="preserve">T0 + </w:t>
            </w:r>
            <w:r w:rsidR="005E5E97">
              <w:rPr>
                <w:rFonts w:ascii="Arial" w:eastAsia="Calibri" w:hAnsi="Arial" w:cs="Arial"/>
                <w:sz w:val="16"/>
                <w:szCs w:val="20"/>
              </w:rPr>
              <w:t>2</w:t>
            </w:r>
            <w:r>
              <w:rPr>
                <w:rFonts w:ascii="Arial" w:eastAsia="Calibri" w:hAnsi="Arial" w:cs="Arial"/>
                <w:sz w:val="16"/>
                <w:szCs w:val="20"/>
              </w:rPr>
              <w:t xml:space="preserve"> </w:t>
            </w:r>
            <w:r w:rsidR="00164364">
              <w:rPr>
                <w:rFonts w:ascii="Arial" w:eastAsia="Calibri" w:hAnsi="Arial" w:cs="Arial"/>
                <w:sz w:val="16"/>
                <w:szCs w:val="20"/>
              </w:rPr>
              <w:t>mois</w:t>
            </w:r>
          </w:p>
        </w:tc>
      </w:tr>
      <w:tr w:rsidR="00164364" w14:paraId="0F57F2DD" w14:textId="77777777" w:rsidTr="00A36428">
        <w:trPr>
          <w:trHeight w:val="400"/>
          <w:jc w:val="center"/>
        </w:trPr>
        <w:tc>
          <w:tcPr>
            <w:tcW w:w="9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7928EC49" w14:textId="77777777" w:rsidR="00164364" w:rsidRDefault="00164364" w:rsidP="00A36428">
            <w:pPr>
              <w:spacing w:before="240" w:line="240" w:lineRule="auto"/>
              <w:jc w:val="center"/>
              <w:rPr>
                <w:rFonts w:ascii="Arial" w:eastAsia="Calibri" w:hAnsi="Arial" w:cs="Arial"/>
                <w:sz w:val="16"/>
                <w:szCs w:val="20"/>
              </w:rPr>
            </w:pPr>
            <w:r>
              <w:rPr>
                <w:rFonts w:ascii="Arial" w:eastAsia="Calibri" w:hAnsi="Arial" w:cs="Arial"/>
                <w:sz w:val="16"/>
                <w:szCs w:val="20"/>
              </w:rPr>
              <w:t>L2.2</w:t>
            </w:r>
          </w:p>
        </w:tc>
        <w:tc>
          <w:tcPr>
            <w:tcW w:w="5953"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31FD9426" w14:textId="05BCF64D" w:rsidR="00164364" w:rsidRPr="00767076" w:rsidRDefault="00767076" w:rsidP="00A36428">
            <w:pPr>
              <w:spacing w:before="240" w:after="0" w:line="240" w:lineRule="auto"/>
              <w:jc w:val="both"/>
              <w:rPr>
                <w:rFonts w:ascii="Arial" w:eastAsia="Calibri" w:hAnsi="Arial" w:cs="Arial"/>
                <w:sz w:val="18"/>
                <w:szCs w:val="20"/>
              </w:rPr>
            </w:pPr>
            <w:r w:rsidRPr="00767076">
              <w:rPr>
                <w:rFonts w:ascii="Arial" w:eastAsia="Calibri" w:hAnsi="Arial" w:cs="Arial"/>
                <w:sz w:val="18"/>
                <w:szCs w:val="20"/>
              </w:rPr>
              <w:t>Modèles de suivi et évaluation</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6829315F" w14:textId="3A14A73B" w:rsidR="00164364" w:rsidRDefault="00767076" w:rsidP="00A36428">
            <w:pPr>
              <w:spacing w:before="240" w:line="240" w:lineRule="auto"/>
              <w:jc w:val="center"/>
              <w:rPr>
                <w:rFonts w:ascii="Arial" w:eastAsia="Calibri" w:hAnsi="Arial" w:cs="Arial"/>
                <w:sz w:val="16"/>
                <w:szCs w:val="20"/>
              </w:rPr>
            </w:pPr>
            <w:r>
              <w:rPr>
                <w:rFonts w:ascii="Arial" w:eastAsia="Calibri" w:hAnsi="Arial" w:cs="Arial"/>
                <w:sz w:val="16"/>
                <w:szCs w:val="20"/>
              </w:rPr>
              <w:t xml:space="preserve">T0 + </w:t>
            </w:r>
            <w:r w:rsidR="005E5E97">
              <w:rPr>
                <w:rFonts w:ascii="Arial" w:eastAsia="Calibri" w:hAnsi="Arial" w:cs="Arial"/>
                <w:sz w:val="16"/>
                <w:szCs w:val="20"/>
              </w:rPr>
              <w:t>2</w:t>
            </w:r>
            <w:r w:rsidR="00164364">
              <w:rPr>
                <w:rFonts w:ascii="Arial" w:eastAsia="Calibri" w:hAnsi="Arial" w:cs="Arial"/>
                <w:sz w:val="16"/>
                <w:szCs w:val="20"/>
              </w:rPr>
              <w:t xml:space="preserve"> mois</w:t>
            </w:r>
          </w:p>
        </w:tc>
      </w:tr>
      <w:tr w:rsidR="00164364" w14:paraId="67DC468E" w14:textId="77777777" w:rsidTr="00A36428">
        <w:trPr>
          <w:trHeight w:val="400"/>
          <w:jc w:val="center"/>
        </w:trPr>
        <w:tc>
          <w:tcPr>
            <w:tcW w:w="9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3C0CCA99" w14:textId="77777777" w:rsidR="00164364" w:rsidRDefault="00164364" w:rsidP="00A36428">
            <w:pPr>
              <w:spacing w:before="240" w:line="240" w:lineRule="auto"/>
              <w:jc w:val="center"/>
              <w:rPr>
                <w:rFonts w:ascii="Arial" w:eastAsia="Calibri" w:hAnsi="Arial" w:cs="Arial"/>
                <w:sz w:val="16"/>
                <w:szCs w:val="20"/>
              </w:rPr>
            </w:pPr>
            <w:r>
              <w:rPr>
                <w:rFonts w:ascii="Arial" w:eastAsia="Calibri" w:hAnsi="Arial" w:cs="Arial"/>
                <w:sz w:val="16"/>
                <w:szCs w:val="20"/>
              </w:rPr>
              <w:t>L2.3</w:t>
            </w:r>
          </w:p>
        </w:tc>
        <w:tc>
          <w:tcPr>
            <w:tcW w:w="5953"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51C51FE8" w14:textId="663D5FD7" w:rsidR="00164364" w:rsidRPr="00767076" w:rsidRDefault="00767076" w:rsidP="00767076">
            <w:pPr>
              <w:spacing w:before="240" w:after="0" w:line="240" w:lineRule="auto"/>
              <w:jc w:val="both"/>
              <w:rPr>
                <w:rFonts w:ascii="Arial" w:eastAsia="Calibri" w:hAnsi="Arial" w:cs="Arial"/>
                <w:sz w:val="18"/>
                <w:szCs w:val="20"/>
              </w:rPr>
            </w:pPr>
            <w:r w:rsidRPr="00767076">
              <w:rPr>
                <w:rFonts w:ascii="Arial" w:eastAsia="Calibri" w:hAnsi="Arial" w:cs="Arial"/>
                <w:sz w:val="18"/>
                <w:szCs w:val="20"/>
              </w:rPr>
              <w:t xml:space="preserve">Note de synthèse des améliorations apportées </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1265D655" w14:textId="1CF478C7" w:rsidR="00164364" w:rsidRDefault="00767076" w:rsidP="00A36428">
            <w:pPr>
              <w:spacing w:before="240" w:line="240" w:lineRule="auto"/>
              <w:jc w:val="center"/>
              <w:rPr>
                <w:rFonts w:ascii="Arial" w:eastAsia="Calibri" w:hAnsi="Arial" w:cs="Arial"/>
                <w:sz w:val="16"/>
                <w:szCs w:val="20"/>
              </w:rPr>
            </w:pPr>
            <w:r>
              <w:rPr>
                <w:rFonts w:ascii="Arial" w:eastAsia="Calibri" w:hAnsi="Arial" w:cs="Arial"/>
                <w:sz w:val="16"/>
                <w:szCs w:val="20"/>
              </w:rPr>
              <w:t xml:space="preserve">T0 + </w:t>
            </w:r>
            <w:r w:rsidR="005E5E97">
              <w:rPr>
                <w:rFonts w:ascii="Arial" w:eastAsia="Calibri" w:hAnsi="Arial" w:cs="Arial"/>
                <w:sz w:val="16"/>
                <w:szCs w:val="20"/>
              </w:rPr>
              <w:t>2</w:t>
            </w:r>
            <w:r w:rsidR="00164364">
              <w:rPr>
                <w:rFonts w:ascii="Arial" w:eastAsia="Calibri" w:hAnsi="Arial" w:cs="Arial"/>
                <w:sz w:val="16"/>
                <w:szCs w:val="20"/>
              </w:rPr>
              <w:t xml:space="preserve"> mois</w:t>
            </w:r>
          </w:p>
        </w:tc>
      </w:tr>
      <w:tr w:rsidR="00164364" w14:paraId="49E18E3C" w14:textId="77777777" w:rsidTr="00A36428">
        <w:trPr>
          <w:trHeight w:val="400"/>
          <w:jc w:val="center"/>
        </w:trPr>
        <w:tc>
          <w:tcPr>
            <w:tcW w:w="6931" w:type="dxa"/>
            <w:gridSpan w:val="3"/>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BE5F1"/>
            <w:vAlign w:val="center"/>
            <w:hideMark/>
          </w:tcPr>
          <w:p w14:paraId="2C20FDE7" w14:textId="6F9780A8" w:rsidR="00164364" w:rsidRDefault="00767076" w:rsidP="00A36428">
            <w:pPr>
              <w:pStyle w:val="Paragraphedeliste"/>
              <w:numPr>
                <w:ilvl w:val="0"/>
                <w:numId w:val="15"/>
              </w:numPr>
              <w:spacing w:before="240" w:line="240" w:lineRule="auto"/>
              <w:rPr>
                <w:rFonts w:ascii="Arial" w:eastAsia="Calibri" w:hAnsi="Arial" w:cs="Arial"/>
                <w:b/>
                <w:sz w:val="16"/>
                <w:szCs w:val="20"/>
              </w:rPr>
            </w:pPr>
            <w:r>
              <w:rPr>
                <w:rFonts w:ascii="Arial" w:eastAsia="Calibri" w:hAnsi="Arial" w:cs="Arial"/>
                <w:b/>
                <w:sz w:val="18"/>
                <w:szCs w:val="20"/>
              </w:rPr>
              <w:t xml:space="preserve">Coaching pratique sur l’utilisation des outils internes </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BE5F1"/>
            <w:vAlign w:val="center"/>
            <w:hideMark/>
          </w:tcPr>
          <w:p w14:paraId="08B95AEB" w14:textId="0A355C9F" w:rsidR="00164364" w:rsidRDefault="00767076" w:rsidP="00A36428">
            <w:pPr>
              <w:spacing w:before="240" w:line="240" w:lineRule="auto"/>
              <w:jc w:val="center"/>
              <w:rPr>
                <w:rFonts w:ascii="Arial" w:eastAsia="Calibri" w:hAnsi="Arial" w:cs="Arial"/>
                <w:b/>
                <w:sz w:val="16"/>
                <w:szCs w:val="20"/>
              </w:rPr>
            </w:pPr>
            <w:r>
              <w:rPr>
                <w:rFonts w:ascii="Arial" w:eastAsia="Calibri" w:hAnsi="Arial" w:cs="Arial"/>
                <w:b/>
                <w:sz w:val="16"/>
                <w:szCs w:val="20"/>
              </w:rPr>
              <w:t xml:space="preserve">T0 + </w:t>
            </w:r>
            <w:r w:rsidR="005E5E97">
              <w:rPr>
                <w:rFonts w:ascii="Arial" w:eastAsia="Calibri" w:hAnsi="Arial" w:cs="Arial"/>
                <w:b/>
                <w:sz w:val="16"/>
                <w:szCs w:val="20"/>
              </w:rPr>
              <w:t>3</w:t>
            </w:r>
            <w:r w:rsidR="00164364">
              <w:rPr>
                <w:rFonts w:ascii="Arial" w:eastAsia="Calibri" w:hAnsi="Arial" w:cs="Arial"/>
                <w:b/>
                <w:sz w:val="16"/>
                <w:szCs w:val="20"/>
              </w:rPr>
              <w:t xml:space="preserve"> mois</w:t>
            </w:r>
          </w:p>
        </w:tc>
      </w:tr>
      <w:tr w:rsidR="00164364" w14:paraId="0AC25DA6" w14:textId="77777777" w:rsidTr="00A36428">
        <w:trPr>
          <w:trHeight w:val="476"/>
          <w:jc w:val="center"/>
        </w:trPr>
        <w:tc>
          <w:tcPr>
            <w:tcW w:w="9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6D1A7BB8" w14:textId="77777777" w:rsidR="00164364" w:rsidRDefault="00164364" w:rsidP="00A36428">
            <w:pPr>
              <w:spacing w:before="240" w:line="240" w:lineRule="auto"/>
              <w:jc w:val="center"/>
              <w:rPr>
                <w:rFonts w:ascii="Arial" w:eastAsia="Calibri" w:hAnsi="Arial" w:cs="Arial"/>
                <w:sz w:val="16"/>
                <w:szCs w:val="20"/>
              </w:rPr>
            </w:pPr>
            <w:r>
              <w:rPr>
                <w:rFonts w:ascii="Arial" w:eastAsia="Calibri" w:hAnsi="Arial" w:cs="Arial"/>
                <w:sz w:val="16"/>
                <w:szCs w:val="20"/>
              </w:rPr>
              <w:t>L3.1</w:t>
            </w:r>
          </w:p>
        </w:tc>
        <w:tc>
          <w:tcPr>
            <w:tcW w:w="5953"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2C093F93" w14:textId="16D45048" w:rsidR="00164364" w:rsidRPr="00767076" w:rsidRDefault="00767076" w:rsidP="00A36428">
            <w:pPr>
              <w:spacing w:before="240" w:after="0" w:line="240" w:lineRule="auto"/>
              <w:jc w:val="both"/>
              <w:rPr>
                <w:rFonts w:ascii="Arial" w:eastAsia="Calibri" w:hAnsi="Arial" w:cs="Arial"/>
                <w:sz w:val="18"/>
                <w:szCs w:val="20"/>
              </w:rPr>
            </w:pPr>
            <w:r w:rsidRPr="00767076">
              <w:rPr>
                <w:rFonts w:ascii="Arial" w:hAnsi="Arial" w:cs="Arial"/>
                <w:color w:val="000000" w:themeColor="text1"/>
                <w:spacing w:val="3"/>
                <w:sz w:val="18"/>
                <w:szCs w:val="20"/>
                <w:shd w:val="clear" w:color="auto" w:fill="FFFFFF"/>
              </w:rPr>
              <w:t xml:space="preserve">Rapports d’accompagnement </w:t>
            </w:r>
            <w:r w:rsidR="00164364" w:rsidRPr="00767076">
              <w:rPr>
                <w:rFonts w:ascii="Arial" w:hAnsi="Arial" w:cs="Arial"/>
                <w:color w:val="000000" w:themeColor="text1"/>
                <w:spacing w:val="3"/>
                <w:sz w:val="18"/>
                <w:szCs w:val="20"/>
                <w:shd w:val="clear" w:color="auto" w:fill="FFFFFF"/>
              </w:rPr>
              <w:t> </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79D8BC72" w14:textId="70197E1F" w:rsidR="00164364" w:rsidRDefault="00767076" w:rsidP="00A36428">
            <w:pPr>
              <w:widowControl w:val="0"/>
              <w:spacing w:before="240" w:line="240" w:lineRule="auto"/>
              <w:jc w:val="center"/>
              <w:rPr>
                <w:rFonts w:ascii="Arial" w:eastAsia="Calibri" w:hAnsi="Arial" w:cs="Arial"/>
                <w:bCs/>
                <w:sz w:val="16"/>
                <w:szCs w:val="20"/>
              </w:rPr>
            </w:pPr>
            <w:r>
              <w:rPr>
                <w:rFonts w:ascii="Arial" w:eastAsia="Calibri" w:hAnsi="Arial" w:cs="Arial"/>
                <w:bCs/>
                <w:sz w:val="16"/>
                <w:szCs w:val="20"/>
              </w:rPr>
              <w:t xml:space="preserve">T0 + </w:t>
            </w:r>
            <w:r w:rsidR="005E5E97">
              <w:rPr>
                <w:rFonts w:ascii="Arial" w:eastAsia="Calibri" w:hAnsi="Arial" w:cs="Arial"/>
                <w:bCs/>
                <w:sz w:val="16"/>
                <w:szCs w:val="20"/>
              </w:rPr>
              <w:t>3</w:t>
            </w:r>
            <w:r w:rsidR="00164364">
              <w:rPr>
                <w:rFonts w:ascii="Arial" w:eastAsia="Calibri" w:hAnsi="Arial" w:cs="Arial"/>
                <w:bCs/>
                <w:sz w:val="16"/>
                <w:szCs w:val="20"/>
              </w:rPr>
              <w:t xml:space="preserve"> mois</w:t>
            </w:r>
          </w:p>
        </w:tc>
      </w:tr>
      <w:tr w:rsidR="00164364" w14:paraId="18589C8B" w14:textId="77777777" w:rsidTr="00A36428">
        <w:trPr>
          <w:trHeight w:val="476"/>
          <w:jc w:val="center"/>
        </w:trPr>
        <w:tc>
          <w:tcPr>
            <w:tcW w:w="9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5D8F6313" w14:textId="77777777" w:rsidR="00164364" w:rsidRDefault="00164364" w:rsidP="00A36428">
            <w:pPr>
              <w:spacing w:before="240" w:line="240" w:lineRule="auto"/>
              <w:jc w:val="center"/>
              <w:rPr>
                <w:rFonts w:ascii="Arial" w:eastAsia="Calibri" w:hAnsi="Arial" w:cs="Arial"/>
                <w:sz w:val="16"/>
                <w:szCs w:val="20"/>
              </w:rPr>
            </w:pPr>
            <w:r>
              <w:rPr>
                <w:rFonts w:ascii="Arial" w:eastAsia="Calibri" w:hAnsi="Arial" w:cs="Arial"/>
                <w:sz w:val="16"/>
                <w:szCs w:val="20"/>
              </w:rPr>
              <w:t>L3.2</w:t>
            </w:r>
          </w:p>
        </w:tc>
        <w:tc>
          <w:tcPr>
            <w:tcW w:w="5953"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60D8AB77" w14:textId="574C63EF" w:rsidR="00164364" w:rsidRPr="00767076" w:rsidRDefault="00767076" w:rsidP="00A36428">
            <w:pPr>
              <w:spacing w:before="240" w:after="0" w:line="240" w:lineRule="auto"/>
              <w:jc w:val="both"/>
              <w:rPr>
                <w:rFonts w:ascii="Arial" w:eastAsia="Calibri" w:hAnsi="Arial" w:cs="Arial"/>
                <w:sz w:val="18"/>
                <w:szCs w:val="20"/>
              </w:rPr>
            </w:pPr>
            <w:r w:rsidRPr="00767076">
              <w:rPr>
                <w:rFonts w:ascii="Arial" w:eastAsia="Calibri" w:hAnsi="Arial" w:cs="Arial"/>
                <w:sz w:val="18"/>
                <w:szCs w:val="20"/>
              </w:rPr>
              <w:t>Check-list d’utilisation</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hideMark/>
          </w:tcPr>
          <w:p w14:paraId="7336CCB8" w14:textId="676B81D6" w:rsidR="00164364" w:rsidRDefault="00767076" w:rsidP="00A36428">
            <w:pPr>
              <w:widowControl w:val="0"/>
              <w:spacing w:before="240" w:line="240" w:lineRule="auto"/>
              <w:jc w:val="center"/>
              <w:rPr>
                <w:rFonts w:ascii="Arial" w:eastAsia="Calibri" w:hAnsi="Arial" w:cs="Arial"/>
                <w:bCs/>
                <w:sz w:val="16"/>
                <w:szCs w:val="20"/>
              </w:rPr>
            </w:pPr>
            <w:r>
              <w:rPr>
                <w:rFonts w:ascii="Arial" w:eastAsia="Calibri" w:hAnsi="Arial" w:cs="Arial"/>
                <w:bCs/>
                <w:sz w:val="16"/>
                <w:szCs w:val="20"/>
              </w:rPr>
              <w:t xml:space="preserve">T0 + </w:t>
            </w:r>
            <w:r w:rsidR="005E5E97">
              <w:rPr>
                <w:rFonts w:ascii="Arial" w:eastAsia="Calibri" w:hAnsi="Arial" w:cs="Arial"/>
                <w:bCs/>
                <w:sz w:val="16"/>
                <w:szCs w:val="20"/>
              </w:rPr>
              <w:t>3</w:t>
            </w:r>
            <w:r>
              <w:rPr>
                <w:rFonts w:ascii="Arial" w:eastAsia="Calibri" w:hAnsi="Arial" w:cs="Arial"/>
                <w:bCs/>
                <w:sz w:val="16"/>
                <w:szCs w:val="20"/>
              </w:rPr>
              <w:t xml:space="preserve"> </w:t>
            </w:r>
            <w:r w:rsidR="00164364">
              <w:rPr>
                <w:rFonts w:ascii="Arial" w:eastAsia="Calibri" w:hAnsi="Arial" w:cs="Arial"/>
                <w:bCs/>
                <w:sz w:val="16"/>
                <w:szCs w:val="20"/>
              </w:rPr>
              <w:t>mois</w:t>
            </w:r>
          </w:p>
        </w:tc>
      </w:tr>
      <w:tr w:rsidR="00767076" w14:paraId="2FAA3AFD" w14:textId="77777777" w:rsidTr="00A36428">
        <w:trPr>
          <w:trHeight w:val="476"/>
          <w:jc w:val="center"/>
        </w:trPr>
        <w:tc>
          <w:tcPr>
            <w:tcW w:w="9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tcPr>
          <w:p w14:paraId="244358A3" w14:textId="2718D7DD" w:rsidR="00767076" w:rsidRDefault="00767076" w:rsidP="00A36428">
            <w:pPr>
              <w:spacing w:before="240" w:line="240" w:lineRule="auto"/>
              <w:jc w:val="center"/>
              <w:rPr>
                <w:rFonts w:ascii="Arial" w:eastAsia="Calibri" w:hAnsi="Arial" w:cs="Arial"/>
                <w:sz w:val="16"/>
                <w:szCs w:val="20"/>
              </w:rPr>
            </w:pPr>
            <w:r>
              <w:rPr>
                <w:rFonts w:ascii="Arial" w:eastAsia="Calibri" w:hAnsi="Arial" w:cs="Arial"/>
                <w:sz w:val="16"/>
                <w:szCs w:val="20"/>
              </w:rPr>
              <w:t xml:space="preserve">L3.3 </w:t>
            </w:r>
          </w:p>
        </w:tc>
        <w:tc>
          <w:tcPr>
            <w:tcW w:w="5953"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tcPr>
          <w:p w14:paraId="46AC3ADC" w14:textId="5F2E8DE1" w:rsidR="00767076" w:rsidRPr="00767076" w:rsidRDefault="00767076" w:rsidP="00A36428">
            <w:pPr>
              <w:spacing w:before="240" w:after="0" w:line="240" w:lineRule="auto"/>
              <w:jc w:val="both"/>
              <w:rPr>
                <w:rFonts w:ascii="Arial" w:eastAsia="Calibri" w:hAnsi="Arial" w:cs="Arial"/>
                <w:sz w:val="18"/>
                <w:szCs w:val="20"/>
              </w:rPr>
            </w:pPr>
            <w:proofErr w:type="spellStart"/>
            <w:r w:rsidRPr="00767076">
              <w:rPr>
                <w:rFonts w:ascii="Arial" w:eastAsia="Calibri" w:hAnsi="Arial" w:cs="Arial"/>
                <w:sz w:val="18"/>
                <w:szCs w:val="20"/>
              </w:rPr>
              <w:t>Feed</w:t>
            </w:r>
            <w:proofErr w:type="spellEnd"/>
            <w:r w:rsidRPr="00767076">
              <w:rPr>
                <w:rFonts w:ascii="Arial" w:eastAsia="Calibri" w:hAnsi="Arial" w:cs="Arial"/>
                <w:sz w:val="18"/>
                <w:szCs w:val="20"/>
              </w:rPr>
              <w:t xml:space="preserve"> back d’application pratique</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tcPr>
          <w:p w14:paraId="585AD500" w14:textId="7A31BD4D" w:rsidR="00767076" w:rsidRDefault="00767076" w:rsidP="00A36428">
            <w:pPr>
              <w:widowControl w:val="0"/>
              <w:spacing w:before="240" w:line="240" w:lineRule="auto"/>
              <w:jc w:val="center"/>
              <w:rPr>
                <w:rFonts w:ascii="Arial" w:eastAsia="Calibri" w:hAnsi="Arial" w:cs="Arial"/>
                <w:bCs/>
                <w:sz w:val="16"/>
                <w:szCs w:val="20"/>
              </w:rPr>
            </w:pPr>
            <w:r>
              <w:rPr>
                <w:rFonts w:ascii="Arial" w:eastAsia="Calibri" w:hAnsi="Arial" w:cs="Arial"/>
                <w:bCs/>
                <w:sz w:val="16"/>
                <w:szCs w:val="20"/>
              </w:rPr>
              <w:t xml:space="preserve">T0 + </w:t>
            </w:r>
            <w:r w:rsidR="005E5E97">
              <w:rPr>
                <w:rFonts w:ascii="Arial" w:eastAsia="Calibri" w:hAnsi="Arial" w:cs="Arial"/>
                <w:bCs/>
                <w:sz w:val="16"/>
                <w:szCs w:val="20"/>
              </w:rPr>
              <w:t>3</w:t>
            </w:r>
            <w:r>
              <w:rPr>
                <w:rFonts w:ascii="Arial" w:eastAsia="Calibri" w:hAnsi="Arial" w:cs="Arial"/>
                <w:bCs/>
                <w:sz w:val="16"/>
                <w:szCs w:val="20"/>
              </w:rPr>
              <w:t xml:space="preserve"> mois</w:t>
            </w:r>
          </w:p>
        </w:tc>
      </w:tr>
    </w:tbl>
    <w:p w14:paraId="43EBFF8E" w14:textId="77777777" w:rsidR="0043112C" w:rsidRDefault="0043112C" w:rsidP="0043112C">
      <w:pPr>
        <w:spacing w:line="240" w:lineRule="auto"/>
        <w:jc w:val="both"/>
        <w:outlineLvl w:val="1"/>
        <w:rPr>
          <w:rFonts w:ascii="Arial" w:eastAsia="Times New Roman" w:hAnsi="Arial" w:cs="Arial"/>
          <w:b/>
          <w:color w:val="009CA6"/>
          <w:sz w:val="20"/>
          <w:szCs w:val="20"/>
        </w:rPr>
      </w:pPr>
    </w:p>
    <w:p w14:paraId="4FB7C16D" w14:textId="77777777" w:rsidR="0043112C" w:rsidRPr="00A25D0C" w:rsidRDefault="0043112C" w:rsidP="0043112C">
      <w:pPr>
        <w:pStyle w:val="Paragraphedeliste"/>
        <w:numPr>
          <w:ilvl w:val="0"/>
          <w:numId w:val="1"/>
        </w:numPr>
        <w:spacing w:line="240" w:lineRule="auto"/>
        <w:jc w:val="both"/>
        <w:rPr>
          <w:rFonts w:ascii="Arial" w:eastAsia="Times New Roman" w:hAnsi="Arial" w:cs="Arial"/>
          <w:b/>
          <w:color w:val="009CA6"/>
        </w:rPr>
      </w:pPr>
      <w:r w:rsidRPr="00A25D0C">
        <w:rPr>
          <w:rFonts w:ascii="Arial" w:eastAsia="Times New Roman" w:hAnsi="Arial" w:cs="Arial"/>
          <w:b/>
          <w:color w:val="009CA6"/>
        </w:rPr>
        <w:t xml:space="preserve">Durée et modalités d’exécution </w:t>
      </w:r>
    </w:p>
    <w:p w14:paraId="57846071" w14:textId="77777777" w:rsidR="0043112C" w:rsidRPr="0067016D" w:rsidRDefault="0043112C" w:rsidP="0043112C">
      <w:pPr>
        <w:pStyle w:val="Paragraphedeliste"/>
        <w:spacing w:line="240" w:lineRule="auto"/>
        <w:jc w:val="both"/>
        <w:rPr>
          <w:rFonts w:ascii="Arial" w:eastAsia="Times New Roman" w:hAnsi="Arial" w:cs="Arial"/>
          <w:b/>
          <w:sz w:val="20"/>
          <w:szCs w:val="20"/>
        </w:rPr>
      </w:pPr>
    </w:p>
    <w:p w14:paraId="0C74B3D5" w14:textId="5AC1D38C" w:rsidR="0043112C" w:rsidRPr="00355881" w:rsidRDefault="0043112C" w:rsidP="0043112C">
      <w:pPr>
        <w:pStyle w:val="Paragraphedeliste"/>
        <w:numPr>
          <w:ilvl w:val="0"/>
          <w:numId w:val="11"/>
        </w:numPr>
        <w:spacing w:line="240" w:lineRule="auto"/>
        <w:jc w:val="both"/>
        <w:rPr>
          <w:rFonts w:ascii="Arial" w:eastAsia="Times New Roman" w:hAnsi="Arial" w:cs="Arial"/>
          <w:b/>
          <w:i/>
          <w:sz w:val="20"/>
          <w:szCs w:val="20"/>
        </w:rPr>
      </w:pPr>
      <w:r w:rsidRPr="00355881">
        <w:rPr>
          <w:rFonts w:ascii="Arial" w:eastAsia="Times New Roman" w:hAnsi="Arial" w:cs="Arial"/>
          <w:b/>
          <w:color w:val="6E6E6E"/>
          <w:sz w:val="20"/>
          <w:szCs w:val="20"/>
        </w:rPr>
        <w:t xml:space="preserve">Date de démarrage (indicative) : </w:t>
      </w:r>
      <w:r w:rsidR="005E5E97">
        <w:rPr>
          <w:rFonts w:ascii="Arial" w:eastAsia="Times New Roman" w:hAnsi="Arial" w:cs="Arial"/>
          <w:b/>
          <w:color w:val="6E6E6E"/>
          <w:sz w:val="20"/>
          <w:szCs w:val="20"/>
        </w:rPr>
        <w:t>Septembre</w:t>
      </w:r>
      <w:r w:rsidRPr="004D205A">
        <w:rPr>
          <w:rFonts w:ascii="Arial" w:eastAsia="Times New Roman" w:hAnsi="Arial" w:cs="Arial"/>
          <w:b/>
          <w:color w:val="6E6E6E"/>
          <w:sz w:val="20"/>
          <w:szCs w:val="20"/>
        </w:rPr>
        <w:t xml:space="preserve"> 2026</w:t>
      </w:r>
    </w:p>
    <w:p w14:paraId="7423B19E" w14:textId="77777777" w:rsidR="0043112C" w:rsidRPr="00355881" w:rsidRDefault="0043112C" w:rsidP="0043112C">
      <w:pPr>
        <w:pStyle w:val="Paragraphedeliste"/>
        <w:numPr>
          <w:ilvl w:val="0"/>
          <w:numId w:val="11"/>
        </w:numPr>
        <w:spacing w:line="240" w:lineRule="auto"/>
        <w:jc w:val="both"/>
        <w:rPr>
          <w:rFonts w:ascii="Arial" w:eastAsia="Times New Roman" w:hAnsi="Arial" w:cs="Arial"/>
          <w:sz w:val="20"/>
          <w:szCs w:val="20"/>
        </w:rPr>
      </w:pPr>
      <w:r w:rsidRPr="00355881">
        <w:rPr>
          <w:rFonts w:ascii="Arial" w:eastAsia="Times New Roman" w:hAnsi="Arial" w:cs="Arial"/>
          <w:b/>
          <w:color w:val="6E6E6E"/>
          <w:sz w:val="20"/>
          <w:szCs w:val="20"/>
        </w:rPr>
        <w:t>Date de fin (indicative) :</w:t>
      </w:r>
      <w:r w:rsidRPr="00355881">
        <w:rPr>
          <w:rFonts w:ascii="Arial" w:eastAsia="Times New Roman" w:hAnsi="Arial" w:cs="Arial"/>
          <w:b/>
          <w:i/>
          <w:color w:val="6E6E6E"/>
          <w:sz w:val="20"/>
          <w:szCs w:val="20"/>
        </w:rPr>
        <w:t xml:space="preserve"> </w:t>
      </w:r>
      <w:r w:rsidRPr="004D205A">
        <w:rPr>
          <w:rFonts w:ascii="Arial" w:eastAsia="Times New Roman" w:hAnsi="Arial" w:cs="Arial"/>
          <w:b/>
          <w:color w:val="6E6E6E"/>
          <w:sz w:val="20"/>
          <w:szCs w:val="20"/>
        </w:rPr>
        <w:t>Novembre 2026</w:t>
      </w:r>
    </w:p>
    <w:p w14:paraId="1861DFEE" w14:textId="2EBB4CBB" w:rsidR="0043112C" w:rsidRPr="0067016D" w:rsidRDefault="0043112C" w:rsidP="0043112C">
      <w:pPr>
        <w:pStyle w:val="Paragraphedeliste"/>
        <w:numPr>
          <w:ilvl w:val="0"/>
          <w:numId w:val="11"/>
        </w:numPr>
        <w:spacing w:line="240" w:lineRule="auto"/>
        <w:jc w:val="both"/>
        <w:rPr>
          <w:rFonts w:ascii="Arial" w:eastAsia="Times New Roman" w:hAnsi="Arial" w:cs="Arial"/>
          <w:b/>
          <w:sz w:val="20"/>
          <w:szCs w:val="20"/>
        </w:rPr>
      </w:pPr>
      <w:r w:rsidRPr="00433B7A">
        <w:rPr>
          <w:rFonts w:ascii="Arial" w:eastAsia="Times New Roman" w:hAnsi="Arial" w:cs="Arial"/>
          <w:b/>
          <w:color w:val="6E6E6E"/>
          <w:sz w:val="20"/>
          <w:szCs w:val="20"/>
        </w:rPr>
        <w:t>Budget indicatif</w:t>
      </w:r>
      <w:r w:rsidRPr="00433B7A">
        <w:rPr>
          <w:rFonts w:ascii="Arial" w:eastAsia="Times New Roman" w:hAnsi="Arial" w:cs="Arial"/>
          <w:b/>
          <w:i/>
          <w:color w:val="6E6E6E"/>
          <w:sz w:val="20"/>
          <w:szCs w:val="20"/>
        </w:rPr>
        <w:t xml:space="preserve"> : </w:t>
      </w:r>
      <w:r>
        <w:rPr>
          <w:rFonts w:ascii="Arial" w:eastAsia="Times New Roman" w:hAnsi="Arial" w:cs="Arial"/>
          <w:b/>
          <w:color w:val="6E6E6E"/>
          <w:sz w:val="20"/>
          <w:szCs w:val="20"/>
        </w:rPr>
        <w:t xml:space="preserve"> 6 à 10 JH </w:t>
      </w:r>
      <w:r w:rsidRPr="006A3C12">
        <w:rPr>
          <w:rFonts w:ascii="Arial" w:eastAsia="Times New Roman" w:hAnsi="Arial" w:cs="Arial"/>
          <w:sz w:val="20"/>
          <w:szCs w:val="20"/>
        </w:rPr>
        <w:t>(incluant tous les frais liés au déploiement de la mission – frais de déplacement, hébergement éventuels)</w:t>
      </w:r>
    </w:p>
    <w:p w14:paraId="7DD865BB" w14:textId="77777777" w:rsidR="0043112C" w:rsidRPr="00764165" w:rsidRDefault="0043112C" w:rsidP="0043112C">
      <w:pPr>
        <w:pStyle w:val="Paragraphedeliste"/>
        <w:numPr>
          <w:ilvl w:val="0"/>
          <w:numId w:val="11"/>
        </w:numPr>
        <w:spacing w:line="240" w:lineRule="auto"/>
        <w:jc w:val="both"/>
        <w:outlineLvl w:val="1"/>
        <w:rPr>
          <w:rFonts w:ascii="Arial" w:eastAsia="Times New Roman" w:hAnsi="Arial" w:cs="Arial"/>
          <w:sz w:val="20"/>
          <w:szCs w:val="20"/>
        </w:rPr>
      </w:pPr>
      <w:r w:rsidRPr="00433B7A">
        <w:rPr>
          <w:rFonts w:ascii="Arial" w:eastAsia="Times New Roman" w:hAnsi="Arial" w:cs="Arial"/>
          <w:b/>
          <w:color w:val="6E6E6E"/>
          <w:sz w:val="20"/>
          <w:szCs w:val="20"/>
        </w:rPr>
        <w:t>Type de contrat :</w:t>
      </w:r>
      <w:r w:rsidRPr="00433B7A">
        <w:rPr>
          <w:rFonts w:ascii="Arial" w:eastAsia="Times New Roman" w:hAnsi="Arial" w:cs="Arial"/>
          <w:color w:val="6E6E6E"/>
          <w:sz w:val="20"/>
          <w:szCs w:val="20"/>
        </w:rPr>
        <w:t xml:space="preserve"> </w:t>
      </w:r>
      <w:r>
        <w:rPr>
          <w:rFonts w:ascii="Arial" w:eastAsia="Times New Roman" w:hAnsi="Arial" w:cs="Arial"/>
          <w:color w:val="6E6E6E"/>
          <w:sz w:val="20"/>
          <w:szCs w:val="20"/>
        </w:rPr>
        <w:t xml:space="preserve"> </w:t>
      </w:r>
      <w:r w:rsidRPr="007420EC">
        <w:rPr>
          <w:rFonts w:ascii="Arial" w:eastAsia="Times New Roman" w:hAnsi="Arial" w:cs="Arial"/>
          <w:sz w:val="20"/>
          <w:szCs w:val="20"/>
        </w:rPr>
        <w:t>Contrat d’expertise individuelle</w:t>
      </w:r>
    </w:p>
    <w:p w14:paraId="71C3A094" w14:textId="77777777" w:rsidR="0043112C" w:rsidRPr="00A25D0C" w:rsidRDefault="0043112C" w:rsidP="0043112C">
      <w:pPr>
        <w:pStyle w:val="Paragraphedeliste"/>
        <w:spacing w:line="240" w:lineRule="auto"/>
        <w:jc w:val="both"/>
        <w:outlineLvl w:val="1"/>
        <w:rPr>
          <w:rFonts w:ascii="Arial" w:eastAsia="Times New Roman" w:hAnsi="Arial" w:cs="Arial"/>
        </w:rPr>
      </w:pPr>
    </w:p>
    <w:p w14:paraId="78F45276" w14:textId="77777777" w:rsidR="0043112C" w:rsidRPr="00A25D0C" w:rsidRDefault="0043112C" w:rsidP="0043112C">
      <w:pPr>
        <w:pStyle w:val="Paragraphedeliste"/>
        <w:numPr>
          <w:ilvl w:val="0"/>
          <w:numId w:val="1"/>
        </w:numPr>
        <w:spacing w:line="240" w:lineRule="auto"/>
        <w:jc w:val="both"/>
        <w:rPr>
          <w:rFonts w:ascii="Arial" w:eastAsia="Times New Roman" w:hAnsi="Arial" w:cs="Arial"/>
          <w:b/>
          <w:color w:val="009CA6"/>
        </w:rPr>
      </w:pPr>
      <w:r w:rsidRPr="00A25D0C">
        <w:rPr>
          <w:rFonts w:ascii="Arial" w:eastAsia="Times New Roman" w:hAnsi="Arial" w:cs="Arial"/>
          <w:b/>
          <w:color w:val="009CA6"/>
        </w:rPr>
        <w:t xml:space="preserve">Expertise et profil </w:t>
      </w:r>
    </w:p>
    <w:p w14:paraId="500C6D15" w14:textId="77777777" w:rsidR="0043112C" w:rsidRPr="0067016D" w:rsidRDefault="0043112C" w:rsidP="0043112C">
      <w:pPr>
        <w:pStyle w:val="Paragraphedeliste"/>
        <w:spacing w:line="240" w:lineRule="auto"/>
        <w:jc w:val="both"/>
        <w:rPr>
          <w:rFonts w:ascii="Arial" w:eastAsia="Times New Roman" w:hAnsi="Arial" w:cs="Arial"/>
          <w:b/>
          <w:sz w:val="20"/>
          <w:szCs w:val="20"/>
        </w:rPr>
      </w:pPr>
    </w:p>
    <w:p w14:paraId="07C18DFB" w14:textId="77777777" w:rsidR="0043112C" w:rsidRPr="00433B7A" w:rsidRDefault="0043112C" w:rsidP="0043112C">
      <w:pPr>
        <w:pStyle w:val="Paragraphedeliste"/>
        <w:numPr>
          <w:ilvl w:val="0"/>
          <w:numId w:val="12"/>
        </w:numPr>
        <w:spacing w:line="240" w:lineRule="auto"/>
        <w:jc w:val="both"/>
        <w:rPr>
          <w:rFonts w:ascii="Arial" w:eastAsia="Times New Roman" w:hAnsi="Arial" w:cs="Arial"/>
          <w:b/>
          <w:color w:val="6E6E6E"/>
          <w:sz w:val="20"/>
          <w:szCs w:val="20"/>
        </w:rPr>
      </w:pPr>
      <w:r w:rsidRPr="00433B7A">
        <w:rPr>
          <w:rFonts w:ascii="Arial" w:eastAsia="Times New Roman" w:hAnsi="Arial" w:cs="Arial"/>
          <w:b/>
          <w:color w:val="6E6E6E"/>
          <w:sz w:val="20"/>
          <w:szCs w:val="20"/>
        </w:rPr>
        <w:t>Nombre de prestataire par mission </w:t>
      </w:r>
    </w:p>
    <w:p w14:paraId="2770975F" w14:textId="77777777" w:rsidR="0043112C" w:rsidRDefault="0043112C" w:rsidP="0043112C">
      <w:pPr>
        <w:spacing w:line="240" w:lineRule="auto"/>
        <w:jc w:val="both"/>
        <w:rPr>
          <w:rFonts w:ascii="Arial" w:eastAsia="Times New Roman" w:hAnsi="Arial" w:cs="Arial"/>
          <w:sz w:val="20"/>
          <w:szCs w:val="20"/>
          <w:u w:val="single"/>
        </w:rPr>
      </w:pPr>
      <w:r w:rsidRPr="0067016D">
        <w:rPr>
          <w:rFonts w:ascii="Arial" w:eastAsia="Times New Roman" w:hAnsi="Arial" w:cs="Arial"/>
          <w:sz w:val="20"/>
          <w:szCs w:val="20"/>
        </w:rPr>
        <w:t xml:space="preserve">Un </w:t>
      </w:r>
      <w:proofErr w:type="spellStart"/>
      <w:proofErr w:type="gramStart"/>
      <w:r w:rsidRPr="006630F9">
        <w:rPr>
          <w:rFonts w:ascii="Arial" w:eastAsia="Times New Roman" w:hAnsi="Arial" w:cs="Arial"/>
          <w:sz w:val="20"/>
          <w:szCs w:val="20"/>
          <w:u w:val="single"/>
        </w:rPr>
        <w:t>e</w:t>
      </w:r>
      <w:r>
        <w:rPr>
          <w:rFonts w:ascii="Arial" w:eastAsia="Times New Roman" w:hAnsi="Arial" w:cs="Arial"/>
          <w:sz w:val="20"/>
          <w:szCs w:val="20"/>
          <w:u w:val="single"/>
        </w:rPr>
        <w:t>xpert.e</w:t>
      </w:r>
      <w:proofErr w:type="spellEnd"/>
      <w:proofErr w:type="gramEnd"/>
      <w:r>
        <w:rPr>
          <w:rFonts w:ascii="Arial" w:eastAsia="Times New Roman" w:hAnsi="Arial" w:cs="Arial"/>
          <w:sz w:val="20"/>
          <w:szCs w:val="20"/>
          <w:u w:val="single"/>
        </w:rPr>
        <w:t xml:space="preserve"> </w:t>
      </w:r>
      <w:proofErr w:type="spellStart"/>
      <w:proofErr w:type="gramStart"/>
      <w:r>
        <w:rPr>
          <w:rFonts w:ascii="Arial" w:eastAsia="Times New Roman" w:hAnsi="Arial" w:cs="Arial"/>
          <w:sz w:val="20"/>
          <w:szCs w:val="20"/>
          <w:u w:val="single"/>
        </w:rPr>
        <w:t>national.e</w:t>
      </w:r>
      <w:proofErr w:type="spellEnd"/>
      <w:proofErr w:type="gramEnd"/>
      <w:r>
        <w:rPr>
          <w:rFonts w:ascii="Arial" w:eastAsia="Times New Roman" w:hAnsi="Arial" w:cs="Arial"/>
          <w:sz w:val="20"/>
          <w:szCs w:val="20"/>
          <w:u w:val="single"/>
        </w:rPr>
        <w:t xml:space="preserve"> ou </w:t>
      </w:r>
      <w:proofErr w:type="spellStart"/>
      <w:proofErr w:type="gramStart"/>
      <w:r>
        <w:rPr>
          <w:rFonts w:ascii="Arial" w:eastAsia="Times New Roman" w:hAnsi="Arial" w:cs="Arial"/>
          <w:sz w:val="20"/>
          <w:szCs w:val="20"/>
          <w:u w:val="single"/>
        </w:rPr>
        <w:t>international.e</w:t>
      </w:r>
      <w:proofErr w:type="spellEnd"/>
      <w:proofErr w:type="gramEnd"/>
      <w:r>
        <w:rPr>
          <w:rFonts w:ascii="Arial" w:eastAsia="Times New Roman" w:hAnsi="Arial" w:cs="Arial"/>
          <w:sz w:val="20"/>
          <w:szCs w:val="20"/>
          <w:u w:val="single"/>
        </w:rPr>
        <w:t xml:space="preserve"> sera </w:t>
      </w:r>
      <w:proofErr w:type="spellStart"/>
      <w:proofErr w:type="gramStart"/>
      <w:r>
        <w:rPr>
          <w:rFonts w:ascii="Arial" w:eastAsia="Times New Roman" w:hAnsi="Arial" w:cs="Arial"/>
          <w:sz w:val="20"/>
          <w:szCs w:val="20"/>
          <w:u w:val="single"/>
        </w:rPr>
        <w:t>chargé.e</w:t>
      </w:r>
      <w:proofErr w:type="spellEnd"/>
      <w:proofErr w:type="gramEnd"/>
      <w:r>
        <w:rPr>
          <w:rFonts w:ascii="Arial" w:eastAsia="Times New Roman" w:hAnsi="Arial" w:cs="Arial"/>
          <w:sz w:val="20"/>
          <w:szCs w:val="20"/>
          <w:u w:val="single"/>
        </w:rPr>
        <w:t xml:space="preserve"> de réaliser la mission.</w:t>
      </w:r>
    </w:p>
    <w:p w14:paraId="256BF267" w14:textId="77777777" w:rsidR="0043112C" w:rsidRPr="002E356B" w:rsidRDefault="0043112C" w:rsidP="0043112C">
      <w:pPr>
        <w:pStyle w:val="Paragraphedeliste"/>
        <w:numPr>
          <w:ilvl w:val="0"/>
          <w:numId w:val="12"/>
        </w:numPr>
        <w:spacing w:line="240" w:lineRule="auto"/>
        <w:jc w:val="both"/>
        <w:rPr>
          <w:rFonts w:ascii="Arial" w:eastAsia="Times New Roman" w:hAnsi="Arial" w:cs="Arial"/>
          <w:b/>
          <w:color w:val="6E6E6E"/>
          <w:sz w:val="20"/>
          <w:szCs w:val="20"/>
        </w:rPr>
      </w:pPr>
      <w:r w:rsidRPr="002E356B">
        <w:rPr>
          <w:rFonts w:ascii="Arial" w:eastAsia="Times New Roman" w:hAnsi="Arial" w:cs="Arial"/>
          <w:b/>
          <w:color w:val="6E6E6E"/>
          <w:sz w:val="20"/>
          <w:szCs w:val="20"/>
        </w:rPr>
        <w:t>Qualifications et compétences </w:t>
      </w:r>
    </w:p>
    <w:p w14:paraId="393F198F" w14:textId="77777777" w:rsidR="0043112C" w:rsidRPr="002E356B" w:rsidRDefault="0043112C" w:rsidP="0043112C">
      <w:pPr>
        <w:pStyle w:val="Paragraphedeliste"/>
        <w:numPr>
          <w:ilvl w:val="1"/>
          <w:numId w:val="12"/>
        </w:numPr>
        <w:spacing w:line="240" w:lineRule="auto"/>
        <w:jc w:val="both"/>
        <w:rPr>
          <w:rFonts w:ascii="Arial" w:eastAsia="Times New Roman" w:hAnsi="Arial" w:cs="Arial"/>
          <w:b/>
          <w:sz w:val="20"/>
          <w:szCs w:val="20"/>
        </w:rPr>
      </w:pPr>
      <w:r w:rsidRPr="002E356B">
        <w:rPr>
          <w:rFonts w:ascii="Arial" w:hAnsi="Arial" w:cs="Arial"/>
          <w:color w:val="1F1F1F"/>
          <w:spacing w:val="3"/>
          <w:sz w:val="20"/>
          <w:szCs w:val="20"/>
          <w:shd w:val="clear" w:color="auto" w:fill="FFFFFF"/>
        </w:rPr>
        <w:t>Compétences avérées en économie verte, transition écologique et innovation environnementale</w:t>
      </w:r>
      <w:r>
        <w:rPr>
          <w:rFonts w:ascii="Arial" w:hAnsi="Arial" w:cs="Arial"/>
          <w:color w:val="1F1F1F"/>
          <w:spacing w:val="3"/>
          <w:sz w:val="20"/>
          <w:szCs w:val="20"/>
          <w:shd w:val="clear" w:color="auto" w:fill="FFFFFF"/>
        </w:rPr>
        <w:t> ;</w:t>
      </w:r>
      <w:r w:rsidRPr="002E356B">
        <w:rPr>
          <w:rFonts w:ascii="Arial" w:hAnsi="Arial" w:cs="Arial"/>
          <w:color w:val="1F1F1F"/>
          <w:spacing w:val="3"/>
          <w:sz w:val="20"/>
          <w:szCs w:val="20"/>
          <w:shd w:val="clear" w:color="auto" w:fill="FFFFFF"/>
        </w:rPr>
        <w:t xml:space="preserve"> </w:t>
      </w:r>
    </w:p>
    <w:p w14:paraId="44C44902" w14:textId="77777777" w:rsidR="0043112C" w:rsidRPr="002E356B" w:rsidRDefault="0043112C" w:rsidP="0043112C">
      <w:pPr>
        <w:pStyle w:val="Paragraphedeliste"/>
        <w:numPr>
          <w:ilvl w:val="1"/>
          <w:numId w:val="12"/>
        </w:numPr>
        <w:spacing w:line="240" w:lineRule="auto"/>
        <w:jc w:val="both"/>
        <w:rPr>
          <w:rFonts w:ascii="Arial" w:eastAsia="Times New Roman" w:hAnsi="Arial" w:cs="Arial"/>
          <w:b/>
          <w:sz w:val="20"/>
          <w:szCs w:val="20"/>
        </w:rPr>
      </w:pPr>
      <w:r w:rsidRPr="002E356B">
        <w:rPr>
          <w:rFonts w:ascii="Arial" w:hAnsi="Arial" w:cs="Arial"/>
          <w:color w:val="1F1F1F"/>
          <w:spacing w:val="3"/>
          <w:sz w:val="20"/>
          <w:szCs w:val="20"/>
          <w:shd w:val="clear" w:color="auto" w:fill="FFFFFF"/>
        </w:rPr>
        <w:t>Expérience</w:t>
      </w:r>
      <w:r>
        <w:rPr>
          <w:rFonts w:ascii="Arial" w:hAnsi="Arial" w:cs="Arial"/>
          <w:color w:val="1F1F1F"/>
          <w:spacing w:val="3"/>
          <w:sz w:val="20"/>
          <w:szCs w:val="20"/>
          <w:shd w:val="clear" w:color="auto" w:fill="FFFFFF"/>
        </w:rPr>
        <w:t xml:space="preserve"> avérée</w:t>
      </w:r>
      <w:r w:rsidRPr="002E356B">
        <w:rPr>
          <w:rFonts w:ascii="Arial" w:hAnsi="Arial" w:cs="Arial"/>
          <w:color w:val="1F1F1F"/>
          <w:spacing w:val="3"/>
          <w:sz w:val="20"/>
          <w:szCs w:val="20"/>
          <w:shd w:val="clear" w:color="auto" w:fill="FFFFFF"/>
        </w:rPr>
        <w:t xml:space="preserve"> en conception pédagogique et structuration de programmes d’accompagnement verts</w:t>
      </w:r>
      <w:r>
        <w:rPr>
          <w:rFonts w:ascii="Arial" w:hAnsi="Arial" w:cs="Arial"/>
          <w:color w:val="1F1F1F"/>
          <w:spacing w:val="3"/>
          <w:sz w:val="20"/>
          <w:szCs w:val="20"/>
          <w:shd w:val="clear" w:color="auto" w:fill="FFFFFF"/>
        </w:rPr>
        <w:t> ;</w:t>
      </w:r>
      <w:r w:rsidRPr="002E356B">
        <w:rPr>
          <w:rFonts w:ascii="Arial" w:hAnsi="Arial" w:cs="Arial"/>
          <w:color w:val="1F1F1F"/>
          <w:spacing w:val="3"/>
          <w:sz w:val="20"/>
          <w:szCs w:val="20"/>
          <w:shd w:val="clear" w:color="auto" w:fill="FFFFFF"/>
        </w:rPr>
        <w:t xml:space="preserve"> </w:t>
      </w:r>
    </w:p>
    <w:p w14:paraId="3931A533" w14:textId="77777777" w:rsidR="0043112C" w:rsidRPr="002E356B" w:rsidRDefault="0043112C" w:rsidP="0043112C">
      <w:pPr>
        <w:pStyle w:val="Paragraphedeliste"/>
        <w:numPr>
          <w:ilvl w:val="1"/>
          <w:numId w:val="12"/>
        </w:numPr>
        <w:spacing w:line="240" w:lineRule="auto"/>
        <w:jc w:val="both"/>
        <w:rPr>
          <w:rFonts w:ascii="Arial" w:eastAsia="Times New Roman" w:hAnsi="Arial" w:cs="Arial"/>
          <w:b/>
          <w:sz w:val="20"/>
          <w:szCs w:val="20"/>
        </w:rPr>
      </w:pPr>
      <w:r w:rsidRPr="002E356B">
        <w:rPr>
          <w:rFonts w:ascii="Arial" w:hAnsi="Arial" w:cs="Arial"/>
          <w:color w:val="1F1F1F"/>
          <w:spacing w:val="3"/>
          <w:sz w:val="20"/>
          <w:szCs w:val="20"/>
          <w:shd w:val="clear" w:color="auto" w:fill="FFFFFF"/>
        </w:rPr>
        <w:lastRenderedPageBreak/>
        <w:t>Excellente maîtrise des concepts d’économie circulaire, éco-innovation, gestion durable des ressources, financements verts</w:t>
      </w:r>
      <w:r>
        <w:rPr>
          <w:rFonts w:ascii="Arial" w:hAnsi="Arial" w:cs="Arial"/>
          <w:color w:val="1F1F1F"/>
          <w:spacing w:val="3"/>
          <w:sz w:val="20"/>
          <w:szCs w:val="20"/>
          <w:shd w:val="clear" w:color="auto" w:fill="FFFFFF"/>
        </w:rPr>
        <w:t> ;</w:t>
      </w:r>
    </w:p>
    <w:p w14:paraId="409B5657" w14:textId="77777777" w:rsidR="0043112C" w:rsidRPr="002E356B" w:rsidRDefault="0043112C" w:rsidP="0043112C">
      <w:pPr>
        <w:pStyle w:val="Paragraphedeliste"/>
        <w:numPr>
          <w:ilvl w:val="1"/>
          <w:numId w:val="12"/>
        </w:numPr>
        <w:spacing w:line="240" w:lineRule="auto"/>
        <w:jc w:val="both"/>
        <w:rPr>
          <w:rFonts w:ascii="Arial" w:eastAsia="Times New Roman" w:hAnsi="Arial" w:cs="Arial"/>
          <w:b/>
          <w:sz w:val="20"/>
          <w:szCs w:val="20"/>
        </w:rPr>
      </w:pPr>
      <w:r w:rsidRPr="002E356B">
        <w:rPr>
          <w:rFonts w:ascii="Arial" w:hAnsi="Arial" w:cs="Arial"/>
          <w:color w:val="1F1F1F"/>
          <w:spacing w:val="3"/>
          <w:sz w:val="20"/>
          <w:szCs w:val="20"/>
          <w:shd w:val="clear" w:color="auto" w:fill="FFFFFF"/>
        </w:rPr>
        <w:t>Capacité à intégrer l’approche de genre et environnement dans les programmes</w:t>
      </w:r>
      <w:r>
        <w:rPr>
          <w:rFonts w:ascii="Arial" w:hAnsi="Arial" w:cs="Arial"/>
          <w:color w:val="1F1F1F"/>
          <w:spacing w:val="3"/>
          <w:sz w:val="20"/>
          <w:szCs w:val="20"/>
          <w:shd w:val="clear" w:color="auto" w:fill="FFFFFF"/>
        </w:rPr>
        <w:t xml:space="preserve"> d’accompagnement ; </w:t>
      </w:r>
    </w:p>
    <w:p w14:paraId="224C2604" w14:textId="77777777" w:rsidR="0043112C" w:rsidRPr="002E356B" w:rsidRDefault="0043112C" w:rsidP="0043112C">
      <w:pPr>
        <w:pStyle w:val="Paragraphedeliste"/>
        <w:numPr>
          <w:ilvl w:val="1"/>
          <w:numId w:val="12"/>
        </w:numPr>
        <w:spacing w:line="240" w:lineRule="auto"/>
        <w:jc w:val="both"/>
        <w:rPr>
          <w:rFonts w:ascii="Arial" w:eastAsia="Times New Roman" w:hAnsi="Arial" w:cs="Arial"/>
          <w:b/>
          <w:sz w:val="20"/>
          <w:szCs w:val="20"/>
        </w:rPr>
      </w:pPr>
      <w:r w:rsidRPr="002E356B">
        <w:rPr>
          <w:rFonts w:ascii="Arial" w:hAnsi="Arial" w:cs="Arial"/>
          <w:color w:val="1F1F1F"/>
          <w:spacing w:val="3"/>
          <w:sz w:val="20"/>
          <w:szCs w:val="20"/>
          <w:shd w:val="clear" w:color="auto" w:fill="FFFFFF"/>
        </w:rPr>
        <w:t>Expériences dans des contextes territoriaux tunisiens ou similaires</w:t>
      </w:r>
      <w:r>
        <w:rPr>
          <w:rFonts w:ascii="Arial" w:hAnsi="Arial" w:cs="Arial"/>
          <w:color w:val="1F1F1F"/>
          <w:spacing w:val="3"/>
          <w:sz w:val="20"/>
          <w:szCs w:val="20"/>
          <w:shd w:val="clear" w:color="auto" w:fill="FFFFFF"/>
        </w:rPr>
        <w:t> ;</w:t>
      </w:r>
      <w:r w:rsidRPr="002E356B">
        <w:rPr>
          <w:rFonts w:ascii="Arial" w:hAnsi="Arial" w:cs="Arial"/>
          <w:color w:val="1F1F1F"/>
          <w:spacing w:val="3"/>
          <w:sz w:val="20"/>
          <w:szCs w:val="20"/>
          <w:shd w:val="clear" w:color="auto" w:fill="FFFFFF"/>
        </w:rPr>
        <w:t xml:space="preserve"> </w:t>
      </w:r>
    </w:p>
    <w:p w14:paraId="5E5B3C32" w14:textId="77777777" w:rsidR="0043112C" w:rsidRPr="007420EC" w:rsidRDefault="0043112C" w:rsidP="0043112C">
      <w:pPr>
        <w:pStyle w:val="Paragraphedeliste"/>
        <w:numPr>
          <w:ilvl w:val="1"/>
          <w:numId w:val="12"/>
        </w:numPr>
        <w:spacing w:line="240" w:lineRule="auto"/>
        <w:jc w:val="both"/>
        <w:rPr>
          <w:rFonts w:ascii="Arial" w:eastAsia="Times New Roman" w:hAnsi="Arial" w:cs="Arial"/>
          <w:b/>
          <w:sz w:val="20"/>
          <w:szCs w:val="20"/>
        </w:rPr>
      </w:pPr>
      <w:r w:rsidRPr="002E356B">
        <w:rPr>
          <w:rFonts w:ascii="Arial" w:hAnsi="Arial" w:cs="Arial"/>
          <w:color w:val="1F1F1F"/>
          <w:spacing w:val="3"/>
          <w:sz w:val="20"/>
          <w:szCs w:val="20"/>
          <w:shd w:val="clear" w:color="auto" w:fill="FFFFFF"/>
        </w:rPr>
        <w:t>Compétences en facilitation, méthodologie participative et harmonisation interrégionale.</w:t>
      </w:r>
    </w:p>
    <w:p w14:paraId="6D2134B6" w14:textId="77777777" w:rsidR="0043112C" w:rsidRPr="002E356B" w:rsidRDefault="0043112C" w:rsidP="0043112C">
      <w:pPr>
        <w:pStyle w:val="Paragraphedeliste"/>
        <w:spacing w:line="240" w:lineRule="auto"/>
        <w:ind w:left="1440"/>
        <w:jc w:val="both"/>
        <w:rPr>
          <w:rFonts w:ascii="Arial" w:eastAsia="Times New Roman" w:hAnsi="Arial" w:cs="Arial"/>
          <w:b/>
          <w:sz w:val="20"/>
          <w:szCs w:val="20"/>
        </w:rPr>
      </w:pPr>
    </w:p>
    <w:p w14:paraId="2DF00F32" w14:textId="77777777" w:rsidR="0043112C" w:rsidRPr="002E356B" w:rsidRDefault="0043112C" w:rsidP="0043112C">
      <w:pPr>
        <w:pStyle w:val="Paragraphedeliste"/>
        <w:numPr>
          <w:ilvl w:val="0"/>
          <w:numId w:val="12"/>
        </w:numPr>
        <w:spacing w:line="240" w:lineRule="auto"/>
        <w:jc w:val="both"/>
        <w:rPr>
          <w:rFonts w:ascii="Arial" w:eastAsia="Times New Roman" w:hAnsi="Arial" w:cs="Arial"/>
          <w:bCs/>
          <w:sz w:val="20"/>
          <w:szCs w:val="20"/>
        </w:rPr>
      </w:pPr>
      <w:r w:rsidRPr="002E356B">
        <w:rPr>
          <w:rFonts w:ascii="Arial" w:eastAsia="Times New Roman" w:hAnsi="Arial" w:cs="Arial"/>
          <w:b/>
          <w:color w:val="6E6E6E"/>
          <w:sz w:val="20"/>
          <w:szCs w:val="20"/>
        </w:rPr>
        <w:t xml:space="preserve">Expérience professionnelle </w:t>
      </w:r>
    </w:p>
    <w:p w14:paraId="6D83CC59" w14:textId="77777777" w:rsidR="0043112C" w:rsidRPr="002E356B" w:rsidRDefault="0043112C" w:rsidP="0043112C">
      <w:pPr>
        <w:pStyle w:val="Paragraphedeliste"/>
        <w:numPr>
          <w:ilvl w:val="1"/>
          <w:numId w:val="12"/>
        </w:numPr>
        <w:spacing w:line="240" w:lineRule="auto"/>
        <w:jc w:val="both"/>
        <w:rPr>
          <w:rFonts w:ascii="Arial" w:eastAsia="Times New Roman" w:hAnsi="Arial" w:cs="Arial"/>
          <w:bCs/>
          <w:sz w:val="20"/>
          <w:szCs w:val="20"/>
        </w:rPr>
      </w:pPr>
      <w:r w:rsidRPr="002E356B">
        <w:rPr>
          <w:rFonts w:ascii="Arial" w:eastAsia="Times New Roman" w:hAnsi="Arial" w:cs="Arial"/>
          <w:bCs/>
          <w:sz w:val="20"/>
          <w:szCs w:val="20"/>
        </w:rPr>
        <w:t>Expérience d’au moins 5 ans dans des projets liés au développement durable, l’entrepreneuriat vert et appui à l’écosystème</w:t>
      </w:r>
      <w:r>
        <w:rPr>
          <w:rFonts w:ascii="Arial" w:eastAsia="Times New Roman" w:hAnsi="Arial" w:cs="Arial"/>
          <w:bCs/>
          <w:sz w:val="20"/>
          <w:szCs w:val="20"/>
        </w:rPr>
        <w:t xml:space="preserve"> des startups ;</w:t>
      </w:r>
    </w:p>
    <w:p w14:paraId="744374B4" w14:textId="7D1A4CC7" w:rsidR="0043112C" w:rsidRPr="00E070DE" w:rsidRDefault="0043112C" w:rsidP="00E070DE">
      <w:pPr>
        <w:pStyle w:val="Paragraphedeliste"/>
        <w:numPr>
          <w:ilvl w:val="1"/>
          <w:numId w:val="12"/>
        </w:numPr>
        <w:spacing w:line="240" w:lineRule="auto"/>
        <w:jc w:val="both"/>
        <w:rPr>
          <w:rFonts w:ascii="Arial" w:eastAsia="Times New Roman" w:hAnsi="Arial" w:cs="Arial"/>
          <w:bCs/>
          <w:sz w:val="20"/>
          <w:szCs w:val="20"/>
        </w:rPr>
      </w:pPr>
      <w:r w:rsidRPr="002E356B">
        <w:rPr>
          <w:rFonts w:ascii="Arial" w:eastAsia="Times New Roman" w:hAnsi="Arial" w:cs="Arial"/>
          <w:bCs/>
          <w:sz w:val="20"/>
          <w:szCs w:val="20"/>
        </w:rPr>
        <w:t>Expérience professionnelle dans le domaine de la formation et l’accompagnement à destination d’entreprises et/ou de structures d’accompagnement sur les questions d</w:t>
      </w:r>
      <w:r>
        <w:rPr>
          <w:rFonts w:ascii="Arial" w:eastAsia="Times New Roman" w:hAnsi="Arial" w:cs="Arial"/>
          <w:bCs/>
          <w:sz w:val="20"/>
          <w:szCs w:val="20"/>
        </w:rPr>
        <w:t>’économie verte, transition écologique et innovation environnementale</w:t>
      </w:r>
      <w:r w:rsidR="00E070DE" w:rsidRPr="00E070DE">
        <w:rPr>
          <w:rFonts w:ascii="Arial" w:eastAsia="Times New Roman" w:hAnsi="Arial" w:cs="Arial"/>
          <w:bCs/>
          <w:sz w:val="20"/>
          <w:szCs w:val="20"/>
        </w:rPr>
        <w:t>.</w:t>
      </w:r>
    </w:p>
    <w:p w14:paraId="5AE11FB1" w14:textId="77777777" w:rsidR="0043112C" w:rsidRPr="00583F47" w:rsidRDefault="0043112C" w:rsidP="0043112C">
      <w:pPr>
        <w:pStyle w:val="Paragraphedeliste"/>
        <w:spacing w:line="240" w:lineRule="auto"/>
        <w:ind w:left="1080"/>
        <w:jc w:val="both"/>
        <w:outlineLvl w:val="1"/>
        <w:rPr>
          <w:rFonts w:ascii="Arial" w:eastAsia="Times New Roman" w:hAnsi="Arial" w:cs="Arial"/>
          <w:sz w:val="20"/>
          <w:szCs w:val="20"/>
          <w:highlight w:val="yellow"/>
        </w:rPr>
      </w:pPr>
    </w:p>
    <w:p w14:paraId="09899E59" w14:textId="77777777" w:rsidR="0043112C" w:rsidRPr="002E356B" w:rsidRDefault="0043112C" w:rsidP="0043112C">
      <w:pPr>
        <w:pStyle w:val="Paragraphedeliste"/>
        <w:numPr>
          <w:ilvl w:val="0"/>
          <w:numId w:val="1"/>
        </w:numPr>
        <w:spacing w:line="240" w:lineRule="auto"/>
        <w:jc w:val="both"/>
        <w:rPr>
          <w:rFonts w:ascii="Arial" w:eastAsia="Times New Roman" w:hAnsi="Arial" w:cs="Arial"/>
          <w:b/>
          <w:color w:val="009CA6"/>
        </w:rPr>
      </w:pPr>
      <w:r w:rsidRPr="002E356B">
        <w:rPr>
          <w:rFonts w:ascii="Arial" w:eastAsia="Times New Roman" w:hAnsi="Arial" w:cs="Arial"/>
          <w:b/>
          <w:color w:val="009CA6"/>
        </w:rPr>
        <w:t xml:space="preserve">Modalités de sélection </w:t>
      </w:r>
    </w:p>
    <w:p w14:paraId="7F8C7606" w14:textId="77777777" w:rsidR="0043112C" w:rsidRPr="00433B7A" w:rsidRDefault="0043112C" w:rsidP="0043112C">
      <w:pPr>
        <w:pStyle w:val="Paragraphedeliste"/>
        <w:spacing w:line="240" w:lineRule="auto"/>
        <w:jc w:val="both"/>
        <w:rPr>
          <w:rFonts w:ascii="Arial" w:eastAsia="Times New Roman" w:hAnsi="Arial" w:cs="Arial"/>
          <w:b/>
          <w:color w:val="6E6E6E"/>
          <w:sz w:val="20"/>
          <w:szCs w:val="20"/>
        </w:rPr>
      </w:pPr>
    </w:p>
    <w:p w14:paraId="4A98BF23" w14:textId="77777777" w:rsidR="0043112C" w:rsidRPr="00433B7A" w:rsidRDefault="0043112C" w:rsidP="0043112C">
      <w:pPr>
        <w:pStyle w:val="Paragraphedeliste"/>
        <w:numPr>
          <w:ilvl w:val="0"/>
          <w:numId w:val="9"/>
        </w:numPr>
        <w:spacing w:line="240" w:lineRule="auto"/>
        <w:jc w:val="both"/>
        <w:rPr>
          <w:rFonts w:ascii="Arial" w:eastAsia="Times New Roman" w:hAnsi="Arial" w:cs="Arial"/>
          <w:b/>
          <w:color w:val="6E6E6E"/>
          <w:sz w:val="20"/>
          <w:szCs w:val="20"/>
        </w:rPr>
      </w:pPr>
      <w:r w:rsidRPr="00433B7A">
        <w:rPr>
          <w:rFonts w:ascii="Arial" w:eastAsia="Times New Roman" w:hAnsi="Arial" w:cs="Arial"/>
          <w:b/>
          <w:color w:val="6E6E6E"/>
          <w:sz w:val="20"/>
          <w:szCs w:val="20"/>
        </w:rPr>
        <w:t>Les candidatures doivent inclure les éléments suivants </w:t>
      </w:r>
    </w:p>
    <w:p w14:paraId="60E97E66" w14:textId="77777777" w:rsidR="0043112C" w:rsidRPr="0067016D" w:rsidRDefault="0043112C" w:rsidP="0043112C">
      <w:pPr>
        <w:pStyle w:val="Paragraphedeliste"/>
        <w:spacing w:line="240" w:lineRule="auto"/>
        <w:jc w:val="both"/>
        <w:rPr>
          <w:rFonts w:ascii="Arial" w:eastAsia="Times New Roman" w:hAnsi="Arial" w:cs="Arial"/>
          <w:b/>
          <w:sz w:val="20"/>
          <w:szCs w:val="20"/>
        </w:rPr>
      </w:pPr>
    </w:p>
    <w:p w14:paraId="78A30357" w14:textId="77777777" w:rsidR="0043112C" w:rsidRPr="0067016D" w:rsidRDefault="0043112C" w:rsidP="0043112C">
      <w:pPr>
        <w:pStyle w:val="Paragraphedeliste"/>
        <w:numPr>
          <w:ilvl w:val="0"/>
          <w:numId w:val="10"/>
        </w:numPr>
        <w:spacing w:line="240" w:lineRule="auto"/>
        <w:jc w:val="both"/>
        <w:rPr>
          <w:rFonts w:ascii="Arial" w:eastAsia="Times New Roman" w:hAnsi="Arial" w:cs="Arial"/>
          <w:sz w:val="20"/>
          <w:szCs w:val="20"/>
        </w:rPr>
      </w:pPr>
      <w:r>
        <w:rPr>
          <w:rFonts w:ascii="Arial" w:eastAsia="Times New Roman" w:hAnsi="Arial" w:cs="Arial"/>
          <w:sz w:val="20"/>
          <w:szCs w:val="20"/>
        </w:rPr>
        <w:t>Le</w:t>
      </w:r>
      <w:r w:rsidRPr="0067016D">
        <w:rPr>
          <w:rFonts w:ascii="Arial" w:eastAsia="Times New Roman" w:hAnsi="Arial" w:cs="Arial"/>
          <w:sz w:val="20"/>
          <w:szCs w:val="20"/>
        </w:rPr>
        <w:t xml:space="preserve"> </w:t>
      </w:r>
      <w:r w:rsidRPr="00604F9A">
        <w:rPr>
          <w:rFonts w:ascii="Arial" w:eastAsia="Times New Roman" w:hAnsi="Arial" w:cs="Arial"/>
          <w:b/>
          <w:sz w:val="20"/>
          <w:szCs w:val="20"/>
        </w:rPr>
        <w:t xml:space="preserve">CV </w:t>
      </w:r>
      <w:r>
        <w:rPr>
          <w:rFonts w:ascii="Arial" w:eastAsia="Times New Roman" w:hAnsi="Arial" w:cs="Arial"/>
          <w:b/>
          <w:sz w:val="20"/>
          <w:szCs w:val="20"/>
        </w:rPr>
        <w:t>détaillé</w:t>
      </w:r>
      <w:r w:rsidRPr="0067016D">
        <w:rPr>
          <w:rFonts w:ascii="Arial" w:eastAsia="Times New Roman" w:hAnsi="Arial" w:cs="Arial"/>
          <w:sz w:val="20"/>
          <w:szCs w:val="20"/>
        </w:rPr>
        <w:t xml:space="preserve"> de</w:t>
      </w:r>
      <w:r>
        <w:rPr>
          <w:rFonts w:ascii="Arial" w:eastAsia="Times New Roman" w:hAnsi="Arial" w:cs="Arial"/>
          <w:sz w:val="20"/>
          <w:szCs w:val="20"/>
        </w:rPr>
        <w:t xml:space="preserve"> </w:t>
      </w:r>
      <w:proofErr w:type="gramStart"/>
      <w:r>
        <w:rPr>
          <w:rFonts w:ascii="Arial" w:eastAsia="Times New Roman" w:hAnsi="Arial" w:cs="Arial"/>
          <w:sz w:val="20"/>
          <w:szCs w:val="20"/>
        </w:rPr>
        <w:t>l’</w:t>
      </w:r>
      <w:proofErr w:type="spellStart"/>
      <w:r>
        <w:rPr>
          <w:rFonts w:ascii="Arial" w:eastAsia="Times New Roman" w:hAnsi="Arial" w:cs="Arial"/>
          <w:sz w:val="20"/>
          <w:szCs w:val="20"/>
        </w:rPr>
        <w:t>expert.e</w:t>
      </w:r>
      <w:proofErr w:type="spellEnd"/>
      <w:proofErr w:type="gramEnd"/>
      <w:r w:rsidRPr="0067016D">
        <w:rPr>
          <w:rFonts w:ascii="Arial" w:eastAsia="Times New Roman" w:hAnsi="Arial" w:cs="Arial"/>
          <w:sz w:val="20"/>
          <w:szCs w:val="20"/>
        </w:rPr>
        <w:t xml:space="preserve">, avec une </w:t>
      </w:r>
      <w:r w:rsidRPr="0067016D">
        <w:rPr>
          <w:rFonts w:ascii="Arial" w:eastAsia="Times New Roman" w:hAnsi="Arial" w:cs="Arial"/>
          <w:sz w:val="20"/>
          <w:szCs w:val="20"/>
          <w:u w:val="single"/>
        </w:rPr>
        <w:t>mise en avant claire</w:t>
      </w:r>
      <w:r>
        <w:rPr>
          <w:rFonts w:ascii="Arial" w:eastAsia="Times New Roman" w:hAnsi="Arial" w:cs="Arial"/>
          <w:sz w:val="20"/>
          <w:szCs w:val="20"/>
          <w:u w:val="single"/>
        </w:rPr>
        <w:t xml:space="preserve"> </w:t>
      </w:r>
      <w:r w:rsidRPr="0067016D">
        <w:rPr>
          <w:rFonts w:ascii="Arial" w:eastAsia="Times New Roman" w:hAnsi="Arial" w:cs="Arial"/>
          <w:sz w:val="20"/>
          <w:szCs w:val="20"/>
          <w:u w:val="single"/>
        </w:rPr>
        <w:t xml:space="preserve">des références professionnelles pour des </w:t>
      </w:r>
      <w:r>
        <w:rPr>
          <w:rFonts w:ascii="Arial" w:eastAsia="Times New Roman" w:hAnsi="Arial" w:cs="Arial"/>
          <w:sz w:val="20"/>
          <w:szCs w:val="20"/>
          <w:u w:val="single"/>
        </w:rPr>
        <w:t>expériences</w:t>
      </w:r>
      <w:r w:rsidRPr="0067016D">
        <w:rPr>
          <w:rFonts w:ascii="Arial" w:eastAsia="Times New Roman" w:hAnsi="Arial" w:cs="Arial"/>
          <w:sz w:val="20"/>
          <w:szCs w:val="20"/>
          <w:u w:val="single"/>
        </w:rPr>
        <w:t xml:space="preserve"> similaires</w:t>
      </w:r>
      <w:r w:rsidRPr="0067016D">
        <w:rPr>
          <w:rFonts w:ascii="Arial" w:eastAsia="Times New Roman" w:hAnsi="Arial" w:cs="Arial"/>
          <w:sz w:val="20"/>
          <w:szCs w:val="20"/>
        </w:rPr>
        <w:t> ;</w:t>
      </w:r>
    </w:p>
    <w:p w14:paraId="20C41D37" w14:textId="77777777" w:rsidR="0043112C" w:rsidRDefault="0043112C" w:rsidP="0043112C">
      <w:pPr>
        <w:pStyle w:val="Paragraphedeliste"/>
        <w:numPr>
          <w:ilvl w:val="0"/>
          <w:numId w:val="10"/>
        </w:numPr>
        <w:spacing w:line="240" w:lineRule="auto"/>
        <w:jc w:val="both"/>
        <w:rPr>
          <w:rFonts w:ascii="Arial" w:eastAsia="Times New Roman" w:hAnsi="Arial" w:cs="Arial"/>
          <w:sz w:val="20"/>
          <w:szCs w:val="20"/>
        </w:rPr>
      </w:pPr>
      <w:r w:rsidRPr="0067016D">
        <w:rPr>
          <w:rFonts w:ascii="Arial" w:eastAsia="Times New Roman" w:hAnsi="Arial" w:cs="Arial"/>
          <w:sz w:val="20"/>
          <w:szCs w:val="20"/>
        </w:rPr>
        <w:t xml:space="preserve">Une </w:t>
      </w:r>
      <w:r w:rsidRPr="00604F9A">
        <w:rPr>
          <w:rFonts w:ascii="Arial" w:eastAsia="Times New Roman" w:hAnsi="Arial" w:cs="Arial"/>
          <w:b/>
          <w:sz w:val="20"/>
          <w:szCs w:val="20"/>
        </w:rPr>
        <w:t>offre technique</w:t>
      </w:r>
      <w:r w:rsidRPr="0067016D">
        <w:rPr>
          <w:rFonts w:ascii="Arial" w:eastAsia="Times New Roman" w:hAnsi="Arial" w:cs="Arial"/>
          <w:sz w:val="20"/>
          <w:szCs w:val="20"/>
        </w:rPr>
        <w:t xml:space="preserve">, incluant (i) </w:t>
      </w:r>
      <w:r>
        <w:rPr>
          <w:rFonts w:ascii="Arial" w:eastAsia="Times New Roman" w:hAnsi="Arial" w:cs="Arial"/>
          <w:sz w:val="20"/>
          <w:szCs w:val="20"/>
        </w:rPr>
        <w:t xml:space="preserve">une analyse </w:t>
      </w:r>
      <w:r w:rsidRPr="0067016D">
        <w:rPr>
          <w:rFonts w:ascii="Arial" w:eastAsia="Times New Roman" w:hAnsi="Arial" w:cs="Arial"/>
          <w:sz w:val="20"/>
          <w:szCs w:val="20"/>
        </w:rPr>
        <w:t>du contexte et des enjeux de la mission, (ii) une</w:t>
      </w:r>
      <w:r>
        <w:rPr>
          <w:rFonts w:ascii="Arial" w:eastAsia="Times New Roman" w:hAnsi="Arial" w:cs="Arial"/>
          <w:sz w:val="20"/>
          <w:szCs w:val="20"/>
        </w:rPr>
        <w:t xml:space="preserve"> proposition de méthodologie claire et détaillée, (iii) </w:t>
      </w:r>
      <w:r w:rsidRPr="0067016D">
        <w:rPr>
          <w:rFonts w:ascii="Arial" w:eastAsia="Times New Roman" w:hAnsi="Arial" w:cs="Arial"/>
          <w:sz w:val="20"/>
          <w:szCs w:val="20"/>
        </w:rPr>
        <w:t xml:space="preserve">ainsi qu’un calendrier prévisionnel (15 pages maximum) ; </w:t>
      </w:r>
    </w:p>
    <w:p w14:paraId="1EA17D28" w14:textId="12E53DA7" w:rsidR="0043112C" w:rsidRPr="00273346" w:rsidRDefault="0043112C" w:rsidP="0043112C">
      <w:pPr>
        <w:pStyle w:val="Paragraphedeliste"/>
        <w:numPr>
          <w:ilvl w:val="0"/>
          <w:numId w:val="10"/>
        </w:numPr>
        <w:spacing w:line="240" w:lineRule="auto"/>
        <w:jc w:val="both"/>
        <w:rPr>
          <w:rFonts w:ascii="Arial" w:eastAsia="Times New Roman" w:hAnsi="Arial" w:cs="Arial"/>
          <w:sz w:val="20"/>
          <w:szCs w:val="20"/>
        </w:rPr>
      </w:pPr>
      <w:r w:rsidRPr="000A573A">
        <w:rPr>
          <w:rFonts w:ascii="Arial" w:eastAsia="Times New Roman" w:hAnsi="Arial" w:cs="Arial"/>
          <w:sz w:val="20"/>
          <w:szCs w:val="20"/>
        </w:rPr>
        <w:t xml:space="preserve">Une </w:t>
      </w:r>
      <w:r w:rsidRPr="00604F9A">
        <w:rPr>
          <w:rFonts w:ascii="Arial" w:eastAsia="Times New Roman" w:hAnsi="Arial" w:cs="Arial"/>
          <w:b/>
          <w:sz w:val="20"/>
          <w:szCs w:val="20"/>
        </w:rPr>
        <w:t>offre financière</w:t>
      </w:r>
      <w:r w:rsidRPr="00F711CC">
        <w:rPr>
          <w:rFonts w:ascii="Arial" w:eastAsia="Times New Roman" w:hAnsi="Arial" w:cs="Arial"/>
          <w:sz w:val="16"/>
          <w:szCs w:val="20"/>
        </w:rPr>
        <w:t xml:space="preserve"> </w:t>
      </w:r>
      <w:r w:rsidRPr="007420EC">
        <w:rPr>
          <w:rFonts w:ascii="Arial" w:eastAsia="Times New Roman" w:hAnsi="Arial" w:cs="Arial"/>
          <w:sz w:val="20"/>
          <w:szCs w:val="20"/>
        </w:rPr>
        <w:t>incluant également tous les frais liés au déploiement de la mission – frais de déplacement, hébergement éventuels</w:t>
      </w:r>
      <w:r>
        <w:rPr>
          <w:rFonts w:ascii="Arial" w:eastAsia="Times New Roman" w:hAnsi="Arial" w:cs="Arial"/>
          <w:sz w:val="20"/>
          <w:szCs w:val="20"/>
        </w:rPr>
        <w:t xml:space="preserve"> </w:t>
      </w:r>
    </w:p>
    <w:p w14:paraId="344B2785" w14:textId="77777777" w:rsidR="0043112C" w:rsidRDefault="0043112C" w:rsidP="0043112C">
      <w:pPr>
        <w:jc w:val="both"/>
      </w:pPr>
    </w:p>
    <w:p w14:paraId="4237F7CD" w14:textId="77777777" w:rsidR="0043112C" w:rsidRDefault="0043112C" w:rsidP="0043112C"/>
    <w:p w14:paraId="782A4F2F" w14:textId="77777777" w:rsidR="00525075" w:rsidRDefault="00525075"/>
    <w:sectPr w:rsidR="00525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4E0B"/>
    <w:multiLevelType w:val="hybridMultilevel"/>
    <w:tmpl w:val="B204EAD2"/>
    <w:lvl w:ilvl="0" w:tplc="1AC8E310">
      <w:start w:val="1"/>
      <w:numFmt w:val="decimal"/>
      <w:lvlText w:val="%1."/>
      <w:lvlJc w:val="left"/>
      <w:pPr>
        <w:ind w:left="644" w:hanging="36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3E314C"/>
    <w:multiLevelType w:val="hybridMultilevel"/>
    <w:tmpl w:val="E7D210EE"/>
    <w:lvl w:ilvl="0" w:tplc="24F2CCCA">
      <w:start w:val="4"/>
      <w:numFmt w:val="bullet"/>
      <w:lvlText w:val="-"/>
      <w:lvlJc w:val="left"/>
      <w:pPr>
        <w:ind w:left="720" w:hanging="360"/>
      </w:pPr>
      <w:rPr>
        <w:rFonts w:ascii="Arial" w:eastAsiaTheme="minorHAnsi" w:hAnsi="Arial" w:cs="Arial" w:hint="default"/>
        <w:b w:val="0"/>
        <w:color w:val="1F1F1F"/>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A3EA8"/>
    <w:multiLevelType w:val="hybridMultilevel"/>
    <w:tmpl w:val="EF9CB2E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543109"/>
    <w:multiLevelType w:val="hybridMultilevel"/>
    <w:tmpl w:val="B12C9172"/>
    <w:lvl w:ilvl="0" w:tplc="5D9453A8">
      <w:start w:val="100"/>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5E1FDF"/>
    <w:multiLevelType w:val="hybridMultilevel"/>
    <w:tmpl w:val="B7608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F2198B"/>
    <w:multiLevelType w:val="hybridMultilevel"/>
    <w:tmpl w:val="23D4EA16"/>
    <w:lvl w:ilvl="0" w:tplc="F1F4B13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65C6E0B"/>
    <w:multiLevelType w:val="hybridMultilevel"/>
    <w:tmpl w:val="31F275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BA623A"/>
    <w:multiLevelType w:val="hybridMultilevel"/>
    <w:tmpl w:val="30B29348"/>
    <w:lvl w:ilvl="0" w:tplc="D2F460F8">
      <w:start w:val="1"/>
      <w:numFmt w:val="bullet"/>
      <w:lvlText w:val=""/>
      <w:lvlJc w:val="left"/>
      <w:pPr>
        <w:ind w:left="720" w:hanging="360"/>
      </w:pPr>
      <w:rPr>
        <w:rFonts w:ascii="Symbol" w:hAnsi="Symbol" w:hint="default"/>
        <w:color w:val="6E6E6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AC9558E"/>
    <w:multiLevelType w:val="hybridMultilevel"/>
    <w:tmpl w:val="D6842CBC"/>
    <w:lvl w:ilvl="0" w:tplc="E17CD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D24740"/>
    <w:multiLevelType w:val="hybridMultilevel"/>
    <w:tmpl w:val="16E82D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5B08795C"/>
    <w:multiLevelType w:val="hybridMultilevel"/>
    <w:tmpl w:val="238E4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AD57C3"/>
    <w:multiLevelType w:val="hybridMultilevel"/>
    <w:tmpl w:val="C14ABE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94109A"/>
    <w:multiLevelType w:val="hybridMultilevel"/>
    <w:tmpl w:val="5F68B690"/>
    <w:lvl w:ilvl="0" w:tplc="2F509954">
      <w:start w:val="1"/>
      <w:numFmt w:val="decimal"/>
      <w:lvlText w:val="%1."/>
      <w:lvlJc w:val="left"/>
      <w:pPr>
        <w:ind w:left="720" w:hanging="360"/>
      </w:pPr>
      <w:rPr>
        <w:rFonts w:hint="default"/>
        <w:color w:val="009CA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6767C5A"/>
    <w:multiLevelType w:val="hybridMultilevel"/>
    <w:tmpl w:val="A3CAEE14"/>
    <w:lvl w:ilvl="0" w:tplc="AAD4387E">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D78356D"/>
    <w:multiLevelType w:val="hybridMultilevel"/>
    <w:tmpl w:val="FBA46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1413094">
    <w:abstractNumId w:val="2"/>
  </w:num>
  <w:num w:numId="2" w16cid:durableId="1473866719">
    <w:abstractNumId w:val="1"/>
  </w:num>
  <w:num w:numId="3" w16cid:durableId="353456334">
    <w:abstractNumId w:val="0"/>
  </w:num>
  <w:num w:numId="4" w16cid:durableId="1215770765">
    <w:abstractNumId w:val="12"/>
  </w:num>
  <w:num w:numId="5" w16cid:durableId="830483214">
    <w:abstractNumId w:val="13"/>
  </w:num>
  <w:num w:numId="6" w16cid:durableId="2021202507">
    <w:abstractNumId w:val="4"/>
  </w:num>
  <w:num w:numId="7" w16cid:durableId="664747748">
    <w:abstractNumId w:val="11"/>
  </w:num>
  <w:num w:numId="8" w16cid:durableId="734935602">
    <w:abstractNumId w:val="3"/>
  </w:num>
  <w:num w:numId="9" w16cid:durableId="1338771670">
    <w:abstractNumId w:val="14"/>
  </w:num>
  <w:num w:numId="10" w16cid:durableId="897546446">
    <w:abstractNumId w:val="8"/>
  </w:num>
  <w:num w:numId="11" w16cid:durableId="1390573881">
    <w:abstractNumId w:val="7"/>
  </w:num>
  <w:num w:numId="12" w16cid:durableId="96369183">
    <w:abstractNumId w:val="6"/>
  </w:num>
  <w:num w:numId="13" w16cid:durableId="1704791958">
    <w:abstractNumId w:val="10"/>
  </w:num>
  <w:num w:numId="14" w16cid:durableId="1635060105">
    <w:abstractNumId w:val="5"/>
  </w:num>
  <w:num w:numId="15" w16cid:durableId="598178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12C"/>
    <w:rsid w:val="00081BA8"/>
    <w:rsid w:val="00130E85"/>
    <w:rsid w:val="00164364"/>
    <w:rsid w:val="001D786E"/>
    <w:rsid w:val="0043112C"/>
    <w:rsid w:val="00451BE4"/>
    <w:rsid w:val="00460CD1"/>
    <w:rsid w:val="00474650"/>
    <w:rsid w:val="004C77C8"/>
    <w:rsid w:val="004D205A"/>
    <w:rsid w:val="00525075"/>
    <w:rsid w:val="005E13CB"/>
    <w:rsid w:val="005E5E97"/>
    <w:rsid w:val="00605411"/>
    <w:rsid w:val="006B3AD6"/>
    <w:rsid w:val="00767076"/>
    <w:rsid w:val="008107C3"/>
    <w:rsid w:val="00883CD4"/>
    <w:rsid w:val="0088697E"/>
    <w:rsid w:val="009B6495"/>
    <w:rsid w:val="00A60B49"/>
    <w:rsid w:val="00A724AD"/>
    <w:rsid w:val="00B23139"/>
    <w:rsid w:val="00C045E7"/>
    <w:rsid w:val="00C365C0"/>
    <w:rsid w:val="00D16282"/>
    <w:rsid w:val="00E070DE"/>
    <w:rsid w:val="00F94E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8A44"/>
  <w15:chartTrackingRefBased/>
  <w15:docId w15:val="{04312AF4-BE5A-4EF4-9620-79B33D68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12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numbered,Yellow Bullet,Normal bullet 2,Paragraph,List Paragraph (numbered (a)),Bullets,Medium Grid 1 - Accent 22,Dot pt,F5 List Paragraph,List Paragraph Char Char Char,Indicator Text,Numbered Para 1,List Paragraph1,EC,Listes,del"/>
    <w:basedOn w:val="Normal"/>
    <w:link w:val="ParagraphedelisteCar"/>
    <w:uiPriority w:val="34"/>
    <w:qFormat/>
    <w:rsid w:val="0043112C"/>
    <w:pPr>
      <w:ind w:left="720"/>
      <w:contextualSpacing/>
    </w:pPr>
  </w:style>
  <w:style w:type="character" w:customStyle="1" w:styleId="ParagraphedelisteCar">
    <w:name w:val="Paragraphe de liste Car"/>
    <w:aliases w:val="List numbered Car,Yellow Bullet Car,Normal bullet 2 Car,Paragraph Car,List Paragraph (numbered (a)) Car,Bullets Car,Medium Grid 1 - Accent 22 Car,Dot pt Car,F5 List Paragraph Car,List Paragraph Char Char Char Car,EC Car,del Car"/>
    <w:basedOn w:val="Policepardfaut"/>
    <w:link w:val="Paragraphedeliste"/>
    <w:uiPriority w:val="34"/>
    <w:qFormat/>
    <w:locked/>
    <w:rsid w:val="0043112C"/>
  </w:style>
  <w:style w:type="paragraph" w:styleId="NormalWeb">
    <w:name w:val="Normal (Web)"/>
    <w:basedOn w:val="Normal"/>
    <w:uiPriority w:val="99"/>
    <w:unhideWhenUsed/>
    <w:rsid w:val="0043112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431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3112C"/>
    <w:rPr>
      <w:color w:val="0563C1" w:themeColor="hyperlink"/>
      <w:u w:val="single"/>
    </w:rPr>
  </w:style>
  <w:style w:type="character" w:styleId="Marquedecommentaire">
    <w:name w:val="annotation reference"/>
    <w:basedOn w:val="Policepardfaut"/>
    <w:uiPriority w:val="99"/>
    <w:semiHidden/>
    <w:unhideWhenUsed/>
    <w:rsid w:val="0043112C"/>
    <w:rPr>
      <w:sz w:val="16"/>
      <w:szCs w:val="16"/>
    </w:rPr>
  </w:style>
  <w:style w:type="paragraph" w:styleId="Commentaire">
    <w:name w:val="annotation text"/>
    <w:basedOn w:val="Normal"/>
    <w:link w:val="CommentaireCar"/>
    <w:uiPriority w:val="99"/>
    <w:semiHidden/>
    <w:unhideWhenUsed/>
    <w:rsid w:val="0043112C"/>
    <w:pPr>
      <w:spacing w:line="240" w:lineRule="auto"/>
    </w:pPr>
    <w:rPr>
      <w:sz w:val="20"/>
      <w:szCs w:val="20"/>
    </w:rPr>
  </w:style>
  <w:style w:type="character" w:customStyle="1" w:styleId="CommentaireCar">
    <w:name w:val="Commentaire Car"/>
    <w:basedOn w:val="Policepardfaut"/>
    <w:link w:val="Commentaire"/>
    <w:uiPriority w:val="99"/>
    <w:semiHidden/>
    <w:rsid w:val="0043112C"/>
    <w:rPr>
      <w:sz w:val="20"/>
      <w:szCs w:val="20"/>
    </w:rPr>
  </w:style>
  <w:style w:type="paragraph" w:styleId="Textedebulles">
    <w:name w:val="Balloon Text"/>
    <w:basedOn w:val="Normal"/>
    <w:link w:val="TextedebullesCar"/>
    <w:uiPriority w:val="99"/>
    <w:semiHidden/>
    <w:unhideWhenUsed/>
    <w:rsid w:val="004311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112C"/>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43112C"/>
    <w:rPr>
      <w:b/>
      <w:bCs/>
    </w:rPr>
  </w:style>
  <w:style w:type="character" w:customStyle="1" w:styleId="ObjetducommentaireCar">
    <w:name w:val="Objet du commentaire Car"/>
    <w:basedOn w:val="CommentaireCar"/>
    <w:link w:val="Objetducommentaire"/>
    <w:uiPriority w:val="99"/>
    <w:semiHidden/>
    <w:rsid w:val="0043112C"/>
    <w:rPr>
      <w:b/>
      <w:bCs/>
      <w:sz w:val="20"/>
      <w:szCs w:val="20"/>
    </w:rPr>
  </w:style>
  <w:style w:type="character" w:styleId="lev">
    <w:name w:val="Strong"/>
    <w:basedOn w:val="Policepardfaut"/>
    <w:uiPriority w:val="22"/>
    <w:qFormat/>
    <w:rsid w:val="00081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1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ovi.tn/wp-content/uploads/2025/01/Greenovi-Plan-dAction-Genre-Synthese-122024.pdf" TargetMode="External"/><Relationship Id="rId3" Type="http://schemas.openxmlformats.org/officeDocument/2006/relationships/styles" Target="styles.xml"/><Relationship Id="rId7" Type="http://schemas.openxmlformats.org/officeDocument/2006/relationships/hyperlink" Target="https://greenovi.tn/wp-content/uploads/2024/07/glossair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eenovi.tn/wp-content/uploads/2024/06/Charte-verte-Greenovi-VF.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66B2-D268-423A-8623-03CD5C46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2596</Words>
  <Characters>14281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Aissaoui</dc:creator>
  <cp:keywords/>
  <dc:description/>
  <cp:lastModifiedBy>Faten Chaouali</cp:lastModifiedBy>
  <cp:revision>3</cp:revision>
  <dcterms:created xsi:type="dcterms:W3CDTF">2026-02-24T12:12:00Z</dcterms:created>
  <dcterms:modified xsi:type="dcterms:W3CDTF">2026-03-02T15:36:00Z</dcterms:modified>
</cp:coreProperties>
</file>