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C5C8D" w14:textId="77777777" w:rsidR="00D062C9" w:rsidRDefault="00D062C9" w:rsidP="002C2B00">
      <w:pPr>
        <w:pBdr>
          <w:bottom w:val="single" w:sz="4" w:space="1" w:color="auto"/>
        </w:pBdr>
        <w:spacing w:before="100" w:beforeAutospacing="1" w:after="100" w:afterAutospacing="1"/>
        <w:jc w:val="center"/>
        <w:rPr>
          <w:rFonts w:ascii="Arial" w:hAnsi="Arial" w:cs="Arial"/>
          <w:b/>
          <w:szCs w:val="24"/>
        </w:rPr>
      </w:pPr>
    </w:p>
    <w:p w14:paraId="68835C44" w14:textId="77777777" w:rsidR="00352304" w:rsidRPr="000E730E" w:rsidRDefault="00352304" w:rsidP="002C2B00">
      <w:pPr>
        <w:pBdr>
          <w:bottom w:val="single" w:sz="4" w:space="1" w:color="auto"/>
        </w:pBdr>
        <w:spacing w:before="100" w:beforeAutospacing="1" w:after="100" w:afterAutospacing="1"/>
        <w:jc w:val="center"/>
        <w:rPr>
          <w:rFonts w:ascii="Arial" w:hAnsi="Arial" w:cs="Arial"/>
          <w:b/>
          <w:szCs w:val="24"/>
        </w:rPr>
      </w:pPr>
    </w:p>
    <w:p w14:paraId="58075AEC" w14:textId="696D61CB" w:rsidR="00473532" w:rsidRDefault="00473532" w:rsidP="002C2B00">
      <w:pPr>
        <w:pBdr>
          <w:bottom w:val="single" w:sz="4" w:space="1" w:color="auto"/>
        </w:pBdr>
        <w:spacing w:before="100" w:beforeAutospacing="1" w:after="100" w:afterAutospacing="1"/>
        <w:jc w:val="center"/>
        <w:rPr>
          <w:rFonts w:ascii="Arial" w:hAnsi="Arial" w:cs="Arial"/>
          <w:b/>
          <w:szCs w:val="24"/>
        </w:rPr>
      </w:pPr>
      <w:bookmarkStart w:id="0" w:name="_Hlk187230335"/>
      <w:r w:rsidRPr="000E730E">
        <w:rPr>
          <w:rFonts w:ascii="Arial" w:hAnsi="Arial" w:cs="Arial"/>
          <w:b/>
          <w:szCs w:val="24"/>
        </w:rPr>
        <w:t>TERMES DE REFERENCE</w:t>
      </w:r>
      <w:bookmarkStart w:id="1" w:name="_Hlt475440270"/>
      <w:bookmarkEnd w:id="1"/>
      <w:r w:rsidR="00E442A6">
        <w:rPr>
          <w:rFonts w:ascii="Arial" w:hAnsi="Arial" w:cs="Arial"/>
          <w:b/>
          <w:szCs w:val="24"/>
        </w:rPr>
        <w:t xml:space="preserve"> </w:t>
      </w:r>
    </w:p>
    <w:bookmarkEnd w:id="0"/>
    <w:p w14:paraId="310E98FC" w14:textId="19ECBE7B" w:rsidR="000A0A34" w:rsidRPr="002C2B00" w:rsidRDefault="00D36DEC" w:rsidP="002C2B00">
      <w:pPr>
        <w:spacing w:before="100" w:beforeAutospacing="1" w:after="100" w:afterAutospacing="1"/>
        <w:jc w:val="center"/>
        <w:rPr>
          <w:rStyle w:val="normaltextrun"/>
          <w:rFonts w:ascii="Arial" w:hAnsi="Arial" w:cs="Arial"/>
          <w:sz w:val="22"/>
          <w:szCs w:val="22"/>
        </w:rPr>
      </w:pPr>
      <w:r>
        <w:rPr>
          <w:rStyle w:val="normaltextrun"/>
          <w:rFonts w:ascii="Nunito" w:hAnsi="Nunito" w:cs="Segoe UI"/>
          <w:b/>
          <w:bCs/>
          <w:sz w:val="28"/>
          <w:szCs w:val="28"/>
        </w:rPr>
        <w:t>Projet DEFIS</w:t>
      </w:r>
    </w:p>
    <w:p w14:paraId="66BAFA70" w14:textId="3C75285D" w:rsidR="000A0A34" w:rsidRPr="002C2B00" w:rsidRDefault="000A0A34" w:rsidP="002C2B00">
      <w:pPr>
        <w:spacing w:before="100" w:beforeAutospacing="1" w:after="100" w:afterAutospacing="1"/>
        <w:jc w:val="center"/>
        <w:rPr>
          <w:rFonts w:ascii="Nunito" w:hAnsi="Nunito" w:cs="Segoe UI"/>
          <w:b/>
          <w:bCs/>
          <w:szCs w:val="24"/>
        </w:rPr>
      </w:pPr>
      <w:r w:rsidRPr="004E4B07">
        <w:rPr>
          <w:rStyle w:val="normaltextrun"/>
          <w:rFonts w:ascii="Nunito" w:hAnsi="Nunito" w:cs="Segoe UI"/>
          <w:b/>
          <w:bCs/>
          <w:szCs w:val="24"/>
        </w:rPr>
        <w:t xml:space="preserve">Appel à Consultant – d’audit technique de la sécurité de l’application web de gestion des cartes de handicap du ministère des affaires sociales </w:t>
      </w:r>
    </w:p>
    <w:p w14:paraId="19E8B050" w14:textId="13C49E03" w:rsidR="000A0A34" w:rsidRPr="002C2B00" w:rsidRDefault="000A0A34" w:rsidP="002C2B00">
      <w:pPr>
        <w:numPr>
          <w:ilvl w:val="0"/>
          <w:numId w:val="1"/>
        </w:numPr>
        <w:spacing w:before="100" w:beforeAutospacing="1" w:after="100" w:afterAutospacing="1"/>
        <w:jc w:val="both"/>
        <w:rPr>
          <w:rStyle w:val="normaltextrun"/>
          <w:rFonts w:ascii="Nunito" w:hAnsi="Nunito" w:cs="Segoe UI"/>
          <w:b/>
          <w:szCs w:val="24"/>
        </w:rPr>
      </w:pPr>
      <w:r>
        <w:rPr>
          <w:rStyle w:val="normaltextrun"/>
          <w:rFonts w:ascii="Nunito" w:hAnsi="Nunito" w:cs="Segoe UI"/>
          <w:b/>
          <w:szCs w:val="24"/>
        </w:rPr>
        <w:t xml:space="preserve">CONTEXTE DE LA MISSION : </w:t>
      </w:r>
    </w:p>
    <w:p w14:paraId="11AFFF38" w14:textId="3FEBB3C6" w:rsidR="000A0A34" w:rsidRPr="002C2B00" w:rsidRDefault="000A0A34" w:rsidP="002C2B00">
      <w:pPr>
        <w:numPr>
          <w:ilvl w:val="1"/>
          <w:numId w:val="9"/>
        </w:numPr>
        <w:spacing w:before="100" w:beforeAutospacing="1" w:after="100" w:afterAutospacing="1"/>
        <w:jc w:val="both"/>
        <w:rPr>
          <w:rFonts w:ascii="Nunito" w:hAnsi="Nunito" w:cs="Segoe UI"/>
          <w:b/>
          <w:bCs/>
          <w:szCs w:val="24"/>
        </w:rPr>
      </w:pPr>
      <w:r w:rsidRPr="00922354">
        <w:rPr>
          <w:rFonts w:ascii="Nunito" w:hAnsi="Nunito"/>
          <w:b/>
          <w:bCs/>
          <w:color w:val="333333"/>
          <w:szCs w:val="24"/>
        </w:rPr>
        <w:t>Contexte du projet DEFIS : Dialogue, Expérimentations, Formations pour l’Inclusion Sociale </w:t>
      </w:r>
    </w:p>
    <w:p w14:paraId="27DEB7AD" w14:textId="77777777" w:rsidR="000A0A34" w:rsidRPr="00922354" w:rsidRDefault="000A0A34" w:rsidP="002C2B00">
      <w:pPr>
        <w:pStyle w:val="NormalWeb"/>
        <w:shd w:val="clear" w:color="auto" w:fill="FFFFFF"/>
        <w:jc w:val="both"/>
        <w:rPr>
          <w:rStyle w:val="normaltextrun"/>
          <w:rFonts w:ascii="Nunito" w:hAnsi="Nunito" w:cs="Segoe UI"/>
        </w:rPr>
      </w:pPr>
      <w:r w:rsidRPr="00922354">
        <w:rPr>
          <w:rStyle w:val="normaltextrun"/>
          <w:rFonts w:ascii="Nunito" w:hAnsi="Nunito" w:cs="Segoe UI"/>
        </w:rPr>
        <w:t>Le système de protection sociale en Tunisie, souvent loué pour sa générosité, est principalement composé de subventions sur les produits énergétiques et produits de première nécessité (appelées aussi compensations), et de transferts monétaires sociaux</w:t>
      </w:r>
      <w:r w:rsidRPr="00922354">
        <w:rPr>
          <w:rStyle w:val="normaltextrun"/>
          <w:rFonts w:ascii="Nunito" w:hAnsi="Nunito" w:cs="Segoe UI"/>
        </w:rPr>
        <w:footnoteReference w:id="1"/>
      </w:r>
      <w:r w:rsidRPr="00922354">
        <w:rPr>
          <w:rStyle w:val="normaltextrun"/>
          <w:rFonts w:ascii="Nunito" w:hAnsi="Nunito" w:cs="Segoe UI"/>
        </w:rPr>
        <w:t>. Si les deux mécanismes se complètent, tout en présentant des limites importantes, les montants mobilisés pourraient avoir un effet redistributif beaucoup plus important.  </w:t>
      </w:r>
    </w:p>
    <w:p w14:paraId="26392165" w14:textId="22C2D7A8" w:rsidR="000A0A34" w:rsidRPr="00922354" w:rsidRDefault="000A0A34" w:rsidP="002C2B00">
      <w:pPr>
        <w:pStyle w:val="NormalWeb"/>
        <w:shd w:val="clear" w:color="auto" w:fill="FFFFFF"/>
        <w:jc w:val="both"/>
        <w:rPr>
          <w:rStyle w:val="normaltextrun"/>
          <w:rFonts w:ascii="Nunito" w:hAnsi="Nunito" w:cs="Segoe UI"/>
        </w:rPr>
      </w:pPr>
      <w:r w:rsidRPr="00922354">
        <w:rPr>
          <w:rStyle w:val="normaltextrun"/>
          <w:rFonts w:ascii="Nunito" w:hAnsi="Nunito" w:cs="Segoe UI"/>
        </w:rPr>
        <w:t>En effet, les subventions (compensations), depuis longtemps privilégiées comme instrument de redistribution, sont coûteuses pour l’Etat (principalement parce qu’elles dépendent du prix des produits pétroliers) et régressives car elles profitent davantage aux ménages les plus aisés, qu’aux familles les plus fragiles (familles monoparentales, sans soutien familial, peu instruites ou comptant des personnes handicapées, âgées etc.), aux femmes et aux filles vulnérables. Par ailleurs</w:t>
      </w:r>
      <w:r w:rsidR="00F0212E">
        <w:rPr>
          <w:rStyle w:val="normaltextrun"/>
          <w:rFonts w:ascii="Nunito" w:hAnsi="Nunito" w:cs="Segoe UI"/>
        </w:rPr>
        <w:t>,</w:t>
      </w:r>
      <w:r w:rsidRPr="00922354">
        <w:rPr>
          <w:rStyle w:val="normaltextrun"/>
          <w:rFonts w:ascii="Nunito" w:hAnsi="Nunito" w:cs="Segoe UI"/>
        </w:rPr>
        <w:t xml:space="preserve"> les programmes destinés aux familles nécessiteuses et vulnérables, comme le Programme National d’Aide aux Familles Nécessiteuses (PNAFN) remplacé par le programme de Transfert Monétaire Permanent (TMP) et Amen Social, posent des problèmes de ciblage et de mesure de la pauvreté. Des erreurs d’exclusion (de personnes vulnérables) et d’inclusion (de personnes non-nécessiteuses) existent et sont graduellement circonscrites grâce à un nouvel outil de ciblage.  </w:t>
      </w:r>
    </w:p>
    <w:p w14:paraId="78C2E658" w14:textId="06CF47DE" w:rsidR="000A0A34" w:rsidRPr="00922354" w:rsidRDefault="000A0A34" w:rsidP="002C2B00">
      <w:pPr>
        <w:pStyle w:val="NormalWeb"/>
        <w:shd w:val="clear" w:color="auto" w:fill="FFFFFF"/>
        <w:jc w:val="both"/>
        <w:rPr>
          <w:rStyle w:val="normaltextrun"/>
          <w:rFonts w:ascii="Nunito" w:hAnsi="Nunito" w:cs="Segoe UI"/>
        </w:rPr>
      </w:pPr>
      <w:r w:rsidRPr="00922354">
        <w:rPr>
          <w:rStyle w:val="normaltextrun"/>
          <w:rFonts w:ascii="Nunito" w:hAnsi="Nunito" w:cs="Segoe UI"/>
        </w:rPr>
        <w:t>Face à ces défis, la Tunisie réforme son système pour plus d’inclusion sociale en orientant davantage d’aides vers les plus démunis. Le programme AMEN Social</w:t>
      </w:r>
      <w:r w:rsidRPr="00922354">
        <w:rPr>
          <w:rStyle w:val="normaltextrun"/>
          <w:rFonts w:ascii="Nunito" w:hAnsi="Nunito" w:cs="Segoe UI"/>
        </w:rPr>
        <w:footnoteReference w:id="2"/>
      </w:r>
      <w:r w:rsidRPr="00922354">
        <w:rPr>
          <w:rStyle w:val="normaltextrun"/>
          <w:rFonts w:ascii="Nunito" w:hAnsi="Nunito" w:cs="Segoe UI"/>
        </w:rPr>
        <w:t xml:space="preserve"> a été mis en place après l’adoption de la Loi AMEN Social 2019-10 réformant le </w:t>
      </w:r>
      <w:r w:rsidRPr="00922354">
        <w:rPr>
          <w:rStyle w:val="normaltextrun"/>
          <w:rFonts w:ascii="Nunito" w:hAnsi="Nunito" w:cs="Segoe UI"/>
        </w:rPr>
        <w:lastRenderedPageBreak/>
        <w:t>système d’assistance sociale, prenant en compte la pauvreté multidimensionnelle et fixant de nouvelles bases en vue d’élargir l’accès à la protection sociale en Tunisie</w:t>
      </w:r>
      <w:r w:rsidR="00E62A1A">
        <w:rPr>
          <w:rStyle w:val="normaltextrun"/>
          <w:rFonts w:ascii="Nunito" w:hAnsi="Nunito" w:cs="Segoe UI"/>
        </w:rPr>
        <w:t>.</w:t>
      </w:r>
      <w:r w:rsidRPr="00922354">
        <w:rPr>
          <w:rStyle w:val="normaltextrun"/>
          <w:rFonts w:ascii="Nunito" w:hAnsi="Nunito" w:cs="Segoe UI"/>
        </w:rPr>
        <w:t xml:space="preserve"> </w:t>
      </w:r>
      <w:r w:rsidR="00E62A1A">
        <w:rPr>
          <w:rStyle w:val="normaltextrun"/>
          <w:rFonts w:ascii="Nunito" w:hAnsi="Nunito" w:cs="Segoe UI"/>
        </w:rPr>
        <w:t>C</w:t>
      </w:r>
      <w:r w:rsidRPr="00922354">
        <w:rPr>
          <w:rStyle w:val="normaltextrun"/>
          <w:rFonts w:ascii="Nunito" w:hAnsi="Nunito" w:cs="Segoe UI"/>
        </w:rPr>
        <w:t xml:space="preserve">e programme </w:t>
      </w:r>
      <w:r w:rsidR="00523A24">
        <w:rPr>
          <w:rStyle w:val="normaltextrun"/>
          <w:rFonts w:ascii="Nunito" w:hAnsi="Nunito" w:cs="Segoe UI"/>
        </w:rPr>
        <w:t>vise à</w:t>
      </w:r>
      <w:r w:rsidRPr="00922354">
        <w:rPr>
          <w:rStyle w:val="normaltextrun"/>
          <w:rFonts w:ascii="Nunito" w:hAnsi="Nunito" w:cs="Segoe UI"/>
        </w:rPr>
        <w:t xml:space="preserve"> améliorer la distribution des aides, mieux cibler leurs bénéficiaires, promouvoir un accompagnement personnalisé et coordonner </w:t>
      </w:r>
      <w:r w:rsidR="00E726A1">
        <w:rPr>
          <w:rStyle w:val="normaltextrun"/>
          <w:rFonts w:ascii="Nunito" w:hAnsi="Nunito" w:cs="Segoe UI"/>
        </w:rPr>
        <w:t>la</w:t>
      </w:r>
      <w:r w:rsidRPr="00922354">
        <w:rPr>
          <w:rStyle w:val="normaltextrun"/>
          <w:rFonts w:ascii="Nunito" w:hAnsi="Nunito" w:cs="Segoe UI"/>
        </w:rPr>
        <w:t xml:space="preserve"> mise en œuvre</w:t>
      </w:r>
      <w:r w:rsidR="00E726A1">
        <w:rPr>
          <w:rStyle w:val="normaltextrun"/>
          <w:rFonts w:ascii="Nunito" w:hAnsi="Nunito" w:cs="Segoe UI"/>
        </w:rPr>
        <w:t xml:space="preserve"> des appuis aux publics vulnérables</w:t>
      </w:r>
      <w:r w:rsidRPr="00922354">
        <w:rPr>
          <w:rStyle w:val="normaltextrun"/>
          <w:rFonts w:ascii="Nunito" w:hAnsi="Nunito" w:cs="Segoe UI"/>
        </w:rPr>
        <w:t>. Ces efforts doivent donc être poursuivis et les méthodes d’accompagnement des publics nécessiteux consolidées pour mieux tenir compte des différentes vulnérabilités et de leur impact sur la lutte contre la pauvreté.  </w:t>
      </w:r>
    </w:p>
    <w:p w14:paraId="680BC92F" w14:textId="77777777" w:rsidR="000A0A34" w:rsidRPr="00922354" w:rsidRDefault="000A0A34" w:rsidP="002C2B00">
      <w:pPr>
        <w:pStyle w:val="NormalWeb"/>
        <w:shd w:val="clear" w:color="auto" w:fill="FFFFFF"/>
        <w:jc w:val="both"/>
        <w:rPr>
          <w:rStyle w:val="normaltextrun"/>
          <w:rFonts w:ascii="Nunito" w:hAnsi="Nunito" w:cs="Segoe UI"/>
        </w:rPr>
      </w:pPr>
      <w:r w:rsidRPr="00922354">
        <w:rPr>
          <w:rStyle w:val="normaltextrun"/>
          <w:rFonts w:ascii="Nunito" w:hAnsi="Nunito" w:cs="Segoe UI"/>
        </w:rPr>
        <w:t xml:space="preserve">Les interventions financées par l’Union Européenne s’inscrivent au niveau mondial dans les Objectifs de Développement Durable. La protection sociale est au cœur de sa politique de coopération et de développement. Celle-ci s’appuie sur 5 piliers : les Personnes, la Planète, la Prospérité, la Paix et le Partenariat. L’Union européenne s’engage par ailleurs pour l’égalité entre les femmes et les hommes et l’émancipation des femmes à l’horizon 2030 au travers de la mise en œuvre d’un troisième plan d’actions (GAP III). </w:t>
      </w:r>
    </w:p>
    <w:p w14:paraId="2731FCCC" w14:textId="77777777" w:rsidR="000A0A34" w:rsidRPr="00922354" w:rsidRDefault="000A0A34" w:rsidP="002C2B00">
      <w:pPr>
        <w:pStyle w:val="NormalWeb"/>
        <w:shd w:val="clear" w:color="auto" w:fill="FFFFFF"/>
        <w:jc w:val="both"/>
        <w:rPr>
          <w:rStyle w:val="normaltextrun"/>
          <w:rFonts w:ascii="Nunito" w:hAnsi="Nunito" w:cs="Segoe UI"/>
        </w:rPr>
      </w:pPr>
      <w:r w:rsidRPr="00922354">
        <w:rPr>
          <w:rStyle w:val="normaltextrun"/>
          <w:rFonts w:ascii="Nunito" w:hAnsi="Nunito" w:cs="Segoe UI"/>
        </w:rPr>
        <w:t>Dans le cadre de sa coopération avec la Tunisie, ces engagements se traduisent par différents appuis en faveur du capital humain, comme notamment la mise en œuvre du Programme d’Appui à l’Inclusion Sociale (PAIS) qui a pour objectif global de « lutter contre la pauvreté et pour l’inclusion sociale, afin de réduire les inégalités économiques, sociales et celles fondées sur le genre », programme auquel contribue le projet DEFIS.  </w:t>
      </w:r>
    </w:p>
    <w:p w14:paraId="43BBE717" w14:textId="77777777" w:rsidR="000A0A34" w:rsidRPr="00922354" w:rsidRDefault="000A0A34" w:rsidP="002C2B00">
      <w:pPr>
        <w:pStyle w:val="NormalWeb"/>
        <w:shd w:val="clear" w:color="auto" w:fill="FFFFFF"/>
        <w:jc w:val="both"/>
        <w:rPr>
          <w:rFonts w:ascii="Nunito" w:hAnsi="Nunito" w:cs="Segoe UI"/>
        </w:rPr>
      </w:pPr>
      <w:r w:rsidRPr="00922354">
        <w:rPr>
          <w:rStyle w:val="normaltextrun"/>
          <w:rFonts w:ascii="Nunito" w:hAnsi="Nunito" w:cs="Segoe UI"/>
        </w:rPr>
        <w:t>1</w:t>
      </w:r>
      <w:r w:rsidRPr="00922354">
        <w:rPr>
          <w:rFonts w:ascii="Nunito" w:hAnsi="Nunito"/>
          <w:b/>
          <w:bCs/>
          <w:color w:val="333333"/>
        </w:rPr>
        <w:t>.2 Présentation du projet DEFIS  </w:t>
      </w:r>
    </w:p>
    <w:p w14:paraId="1A9D340D" w14:textId="77777777" w:rsidR="000A0A34" w:rsidRPr="00922354" w:rsidRDefault="000A0A34" w:rsidP="002C2B00">
      <w:pPr>
        <w:pStyle w:val="NormalWeb"/>
        <w:shd w:val="clear" w:color="auto" w:fill="FFFFFF"/>
        <w:rPr>
          <w:rFonts w:ascii="Nunito" w:hAnsi="Nunito" w:cs="Arial"/>
          <w:b/>
          <w:bCs/>
          <w:color w:val="333333"/>
        </w:rPr>
      </w:pPr>
      <w:r w:rsidRPr="00922354">
        <w:rPr>
          <w:rFonts w:ascii="Nunito" w:hAnsi="Nunito" w:cs="Arial"/>
          <w:b/>
          <w:bCs/>
          <w:color w:val="333333"/>
        </w:rPr>
        <w:t>1.2.1 Un consortium pour des expertises conjuguées  </w:t>
      </w:r>
    </w:p>
    <w:p w14:paraId="1BE29045" w14:textId="77777777" w:rsidR="000A0A34" w:rsidRPr="00922354" w:rsidRDefault="000A0A34" w:rsidP="002C2B00">
      <w:pPr>
        <w:pStyle w:val="NormalWeb"/>
        <w:shd w:val="clear" w:color="auto" w:fill="FFFFFF"/>
        <w:jc w:val="both"/>
        <w:rPr>
          <w:rStyle w:val="normaltextrun"/>
          <w:rFonts w:ascii="Nunito" w:hAnsi="Nunito" w:cs="Segoe UI"/>
        </w:rPr>
      </w:pPr>
      <w:r w:rsidRPr="00922354">
        <w:rPr>
          <w:rStyle w:val="normaltextrun"/>
          <w:rFonts w:ascii="Nunito" w:hAnsi="Nunito" w:cs="Segoe UI"/>
        </w:rPr>
        <w:t>Le projet DEFIS est mis en œuvre par un consortium composé de Handicap International en tant que lead et la Fondation Agir Contre l’Exclusion – Tunisie (FACE), agissant en partenariat avec le Ministère des Affaires Sociales, au travers du Comité Général de la Promotion Sociale (CGPS) et du Centre de Recherche sur les Etudes Sociales (CRES). </w:t>
      </w:r>
    </w:p>
    <w:p w14:paraId="5DC56DB9" w14:textId="77777777" w:rsidR="000A0A34" w:rsidRPr="00922354" w:rsidRDefault="000A0A34" w:rsidP="002C2B00">
      <w:pPr>
        <w:pStyle w:val="NormalWeb"/>
        <w:shd w:val="clear" w:color="auto" w:fill="FFFFFF"/>
        <w:jc w:val="both"/>
        <w:rPr>
          <w:rFonts w:ascii="Nunito" w:hAnsi="Nunito" w:cs="Arial"/>
          <w:color w:val="333333"/>
        </w:rPr>
      </w:pPr>
      <w:r w:rsidRPr="00922354">
        <w:rPr>
          <w:rFonts w:ascii="Nunito" w:hAnsi="Nunito" w:cs="Arial"/>
          <w:b/>
          <w:bCs/>
          <w:color w:val="333333"/>
        </w:rPr>
        <w:t xml:space="preserve">Fondation Agir Contre l’Exclusion (FACE) </w:t>
      </w:r>
      <w:r w:rsidRPr="00922354">
        <w:rPr>
          <w:rFonts w:ascii="Nunito" w:hAnsi="Nunito" w:cs="Arial"/>
          <w:color w:val="333333"/>
        </w:rPr>
        <w:t>: FACE a été créée en 2012 avec pour mission de favoriser l’engagement social et sociétal des entreprises afin de prévenir et de lutter contre toutes les formes d’exclusion, de discrimination et de pauvreté en mobilisant son réseau d’entreprises, les acteurs publics et la société civile.  </w:t>
      </w:r>
    </w:p>
    <w:p w14:paraId="7A0F370F" w14:textId="77777777" w:rsidR="000A0A34" w:rsidRPr="00922354" w:rsidRDefault="000A0A34" w:rsidP="002C2B00">
      <w:pPr>
        <w:pStyle w:val="NormalWeb"/>
        <w:shd w:val="clear" w:color="auto" w:fill="FFFFFF"/>
        <w:jc w:val="both"/>
        <w:rPr>
          <w:rFonts w:ascii="Nunito" w:hAnsi="Nunito" w:cs="Arial"/>
          <w:color w:val="333333"/>
        </w:rPr>
      </w:pPr>
      <w:r w:rsidRPr="00922354">
        <w:rPr>
          <w:rFonts w:ascii="Nunito" w:hAnsi="Nunito" w:cs="Arial"/>
          <w:b/>
          <w:bCs/>
          <w:color w:val="333333"/>
        </w:rPr>
        <w:t>Handicap International (HI)</w:t>
      </w:r>
      <w:r w:rsidRPr="00922354">
        <w:rPr>
          <w:rFonts w:ascii="Nunito" w:hAnsi="Nunito" w:cs="Arial"/>
          <w:color w:val="333333"/>
        </w:rPr>
        <w:t xml:space="preserve"> : présent en Tunisie depuis 1992, HI est une association de solidarité internationale indépendante et impartiale, qui intervient dans les situations de pauvreté et d’exclusion, de conflits et de catastrophes. Œuvrant aux </w:t>
      </w:r>
      <w:r w:rsidRPr="00922354">
        <w:rPr>
          <w:rFonts w:ascii="Nunito" w:hAnsi="Nunito" w:cs="Arial"/>
          <w:color w:val="333333"/>
        </w:rPr>
        <w:lastRenderedPageBreak/>
        <w:t>côtés des personnes handicapées et vulnérabilisées, elle agit et témoigne pour répondre à leurs besoins essentiels et améliorer leurs conditions de vie.  </w:t>
      </w:r>
    </w:p>
    <w:p w14:paraId="34C02705" w14:textId="77777777" w:rsidR="000A0A34" w:rsidRPr="00922354" w:rsidRDefault="000A0A34" w:rsidP="002C2B00">
      <w:pPr>
        <w:pStyle w:val="NormalWeb"/>
        <w:shd w:val="clear" w:color="auto" w:fill="FFFFFF"/>
        <w:rPr>
          <w:rFonts w:ascii="Nunito" w:hAnsi="Nunito" w:cs="Arial"/>
          <w:b/>
          <w:bCs/>
          <w:color w:val="333333"/>
        </w:rPr>
      </w:pPr>
      <w:r w:rsidRPr="00922354">
        <w:rPr>
          <w:rFonts w:ascii="Nunito" w:hAnsi="Nunito" w:cs="Arial"/>
          <w:b/>
          <w:bCs/>
          <w:color w:val="333333"/>
        </w:rPr>
        <w:t>1.2.1 Objectifs du projet et principes d’intervention  </w:t>
      </w:r>
    </w:p>
    <w:p w14:paraId="4AA5CC4C" w14:textId="77777777" w:rsidR="000A0A34" w:rsidRPr="00922354" w:rsidRDefault="000A0A34" w:rsidP="002C2B00">
      <w:pPr>
        <w:pStyle w:val="NormalWeb"/>
        <w:shd w:val="clear" w:color="auto" w:fill="FFFFFF"/>
        <w:jc w:val="both"/>
        <w:rPr>
          <w:rFonts w:ascii="Nunito" w:hAnsi="Nunito" w:cs="Arial"/>
          <w:color w:val="333333"/>
        </w:rPr>
      </w:pPr>
      <w:r w:rsidRPr="00922354">
        <w:rPr>
          <w:rFonts w:ascii="Nunito" w:hAnsi="Nunito" w:cs="Arial"/>
          <w:color w:val="333333"/>
        </w:rPr>
        <w:t>Le projet DEFIS s’articule autour de deux objectifs :  </w:t>
      </w:r>
    </w:p>
    <w:p w14:paraId="559B6583" w14:textId="77777777" w:rsidR="000A0A34" w:rsidRPr="00922354" w:rsidRDefault="000A0A34" w:rsidP="002C2B00">
      <w:pPr>
        <w:pStyle w:val="NormalWeb"/>
        <w:shd w:val="clear" w:color="auto" w:fill="FFFFFF"/>
        <w:jc w:val="both"/>
        <w:rPr>
          <w:rStyle w:val="normaltextrun"/>
          <w:rFonts w:ascii="Nunito" w:hAnsi="Nunito" w:cs="Segoe UI"/>
        </w:rPr>
      </w:pPr>
      <w:r w:rsidRPr="00922354">
        <w:rPr>
          <w:rFonts w:ascii="Nunito" w:hAnsi="Nunito" w:cs="Arial"/>
          <w:b/>
          <w:bCs/>
          <w:color w:val="333333"/>
        </w:rPr>
        <w:t>Effet 1.</w:t>
      </w:r>
      <w:r w:rsidRPr="00922354">
        <w:rPr>
          <w:rFonts w:ascii="Nunito" w:hAnsi="Nunito" w:cs="Arial"/>
          <w:color w:val="333333"/>
        </w:rPr>
        <w:t xml:space="preserve"> </w:t>
      </w:r>
      <w:r w:rsidRPr="00922354">
        <w:rPr>
          <w:rStyle w:val="normaltextrun"/>
          <w:rFonts w:ascii="Nunito" w:hAnsi="Nunito" w:cs="Segoe UI"/>
        </w:rPr>
        <w:t>Améliorer l’accompagnement des personnes et des familles en situations de vulnérabilité, par une meilleure coordination des programmes d’aide et un plan d’aide personnalisé.  </w:t>
      </w:r>
    </w:p>
    <w:p w14:paraId="13ED4791" w14:textId="3E8E7C99" w:rsidR="000A0A34" w:rsidRPr="00DA4973" w:rsidRDefault="000A0A34" w:rsidP="002C2B00">
      <w:pPr>
        <w:shd w:val="clear" w:color="auto" w:fill="FFFFFF"/>
        <w:spacing w:before="100" w:beforeAutospacing="1" w:after="100" w:afterAutospacing="1"/>
        <w:jc w:val="both"/>
        <w:rPr>
          <w:rFonts w:cs="Segoe UI"/>
          <w:szCs w:val="24"/>
        </w:rPr>
      </w:pPr>
      <w:r w:rsidRPr="00811EC7">
        <w:rPr>
          <w:rFonts w:ascii="Nunito" w:hAnsi="Nunito" w:cs="Arial"/>
          <w:b/>
          <w:bCs/>
          <w:color w:val="333333"/>
          <w:szCs w:val="24"/>
        </w:rPr>
        <w:t>Effet 2.</w:t>
      </w:r>
      <w:r w:rsidRPr="00811EC7">
        <w:rPr>
          <w:rFonts w:ascii="Nunito" w:hAnsi="Nunito" w:cs="Arial"/>
          <w:color w:val="333333"/>
          <w:szCs w:val="24"/>
        </w:rPr>
        <w:t xml:space="preserve"> </w:t>
      </w:r>
      <w:r w:rsidRPr="00922354">
        <w:rPr>
          <w:rStyle w:val="normaltextrun"/>
          <w:rFonts w:ascii="Nunito" w:hAnsi="Nunito" w:cs="Segoe UI"/>
          <w:szCs w:val="24"/>
        </w:rPr>
        <w:t>Porter au niveau stratégique les résultats des nouvelles approches du travail social et des expérimentations sur le terrain, lors du Dialogue de politique sectorielle.</w:t>
      </w:r>
      <w:r w:rsidRPr="00922354">
        <w:rPr>
          <w:rStyle w:val="normaltextrun"/>
          <w:rFonts w:cs="Segoe UI"/>
          <w:szCs w:val="24"/>
        </w:rPr>
        <w:t> </w:t>
      </w:r>
    </w:p>
    <w:p w14:paraId="5BFBE3D8" w14:textId="505C8DD1" w:rsidR="00DA4973" w:rsidRPr="002C2B00" w:rsidRDefault="00DA4973" w:rsidP="002C2B00">
      <w:pPr>
        <w:spacing w:before="100" w:beforeAutospacing="1" w:after="100" w:afterAutospacing="1"/>
        <w:jc w:val="both"/>
        <w:rPr>
          <w:rFonts w:ascii="Nunito" w:hAnsi="Nunito" w:cs="Segoe UI"/>
          <w:szCs w:val="24"/>
        </w:rPr>
      </w:pPr>
      <w:r w:rsidRPr="00273138">
        <w:rPr>
          <w:rStyle w:val="normaltextrun"/>
          <w:rFonts w:ascii="Nunito" w:hAnsi="Nunito" w:cs="Segoe UI"/>
          <w:szCs w:val="24"/>
        </w:rPr>
        <w:t>Cette mission s’inscrit dans le cadre de l’effet 1 du projet</w:t>
      </w:r>
      <w:r w:rsidR="00BD64CB" w:rsidRPr="00273138">
        <w:rPr>
          <w:rStyle w:val="normaltextrun"/>
          <w:rFonts w:ascii="Nunito" w:hAnsi="Nunito" w:cs="Segoe UI"/>
          <w:szCs w:val="24"/>
        </w:rPr>
        <w:t xml:space="preserve"> </w:t>
      </w:r>
      <w:r w:rsidR="00BD64CB">
        <w:rPr>
          <w:rStyle w:val="normaltextrun"/>
          <w:rFonts w:ascii="Nunito" w:hAnsi="Nunito" w:cs="Segoe UI"/>
          <w:szCs w:val="24"/>
        </w:rPr>
        <w:t xml:space="preserve">et de l’activité de mise en place d’une plateforme digitale de gestion des cartes handicap </w:t>
      </w:r>
      <w:r w:rsidR="002B1B39" w:rsidRPr="00C90F83">
        <w:rPr>
          <w:rStyle w:val="normaltextrun"/>
          <w:rFonts w:ascii="Nunito" w:hAnsi="Nunito" w:cs="Segoe UI"/>
          <w:szCs w:val="24"/>
        </w:rPr>
        <w:t>destinée aux administrateurs et aux citoyens</w:t>
      </w:r>
      <w:r w:rsidR="002B1B39">
        <w:rPr>
          <w:rStyle w:val="normaltextrun"/>
          <w:rFonts w:ascii="Nunito" w:hAnsi="Nunito" w:cs="Segoe UI"/>
          <w:szCs w:val="24"/>
        </w:rPr>
        <w:t>.</w:t>
      </w:r>
    </w:p>
    <w:p w14:paraId="3B584C68" w14:textId="34DE8046" w:rsidR="00E442A6" w:rsidRPr="002C2B00" w:rsidRDefault="00473532" w:rsidP="002C2B00">
      <w:pPr>
        <w:numPr>
          <w:ilvl w:val="0"/>
          <w:numId w:val="1"/>
        </w:numPr>
        <w:spacing w:before="100" w:beforeAutospacing="1" w:after="100" w:afterAutospacing="1"/>
        <w:jc w:val="both"/>
        <w:rPr>
          <w:rFonts w:ascii="Nunito" w:hAnsi="Nunito" w:cs="Segoe UI"/>
          <w:b/>
          <w:szCs w:val="24"/>
        </w:rPr>
      </w:pPr>
      <w:r w:rsidRPr="000A0A34">
        <w:rPr>
          <w:rStyle w:val="normaltextrun"/>
          <w:rFonts w:ascii="Nunito" w:hAnsi="Nunito" w:cs="Segoe UI"/>
          <w:b/>
          <w:szCs w:val="24"/>
        </w:rPr>
        <w:t xml:space="preserve">DESCRIPTION DE LA </w:t>
      </w:r>
      <w:r w:rsidR="00922354">
        <w:rPr>
          <w:rStyle w:val="normaltextrun"/>
          <w:rFonts w:ascii="Nunito" w:hAnsi="Nunito" w:cs="Segoe UI"/>
          <w:b/>
          <w:szCs w:val="24"/>
        </w:rPr>
        <w:t>MISSION</w:t>
      </w:r>
      <w:r w:rsidR="004C7562" w:rsidRPr="000A0A34">
        <w:rPr>
          <w:rStyle w:val="normaltextrun"/>
          <w:rFonts w:ascii="Nunito" w:hAnsi="Nunito" w:cs="Segoe UI"/>
          <w:b/>
          <w:szCs w:val="24"/>
        </w:rPr>
        <w:t xml:space="preserve"> ATTENDUE</w:t>
      </w:r>
    </w:p>
    <w:p w14:paraId="0E8A7862" w14:textId="22B6038F" w:rsidR="00F27D3C" w:rsidRPr="009C38F5" w:rsidRDefault="00F27D3C" w:rsidP="002C2B00">
      <w:pPr>
        <w:shd w:val="clear" w:color="auto" w:fill="FFFFFF"/>
        <w:spacing w:before="100" w:beforeAutospacing="1" w:after="100" w:afterAutospacing="1" w:line="429" w:lineRule="atLeast"/>
        <w:rPr>
          <w:rFonts w:ascii="Nunito" w:hAnsi="Nunito"/>
        </w:rPr>
      </w:pPr>
      <w:r w:rsidRPr="002C2B00">
        <w:rPr>
          <w:rFonts w:ascii="Segoe UI" w:hAnsi="Segoe UI" w:cs="Segoe UI"/>
          <w:color w:val="0F1115"/>
          <w:szCs w:val="24"/>
        </w:rPr>
        <w:t xml:space="preserve"> </w:t>
      </w:r>
      <w:r w:rsidRPr="009C38F5">
        <w:rPr>
          <w:rFonts w:ascii="Nunito" w:hAnsi="Nunito"/>
        </w:rPr>
        <w:t>La présente mission constitue la </w:t>
      </w:r>
      <w:r w:rsidRPr="009C38F5">
        <w:rPr>
          <w:rFonts w:ascii="Nunito" w:hAnsi="Nunito"/>
          <w:b/>
          <w:bCs/>
        </w:rPr>
        <w:t>deuxième campagne d'audit</w:t>
      </w:r>
      <w:r w:rsidRPr="009C38F5">
        <w:rPr>
          <w:rFonts w:ascii="Nunito" w:hAnsi="Nunito"/>
        </w:rPr>
        <w:t> technique de la sécurité de l'application web de gestion des cartes de handicap du ministère des affaires sociales (MAS) (Annexe 1 : description technique de la plateforme à auditer). Cette nouvelle intervention fait suite aux </w:t>
      </w:r>
      <w:r w:rsidRPr="009C38F5">
        <w:rPr>
          <w:rFonts w:ascii="Nunito" w:hAnsi="Nunito"/>
          <w:b/>
          <w:bCs/>
        </w:rPr>
        <w:t>ajustements et développements complémentaires</w:t>
      </w:r>
      <w:r w:rsidRPr="009C38F5">
        <w:rPr>
          <w:rFonts w:ascii="Nunito" w:hAnsi="Nunito"/>
        </w:rPr>
        <w:t> apportés à la plateforme depuis le premier audit, et vise à évaluer leur conformité au minimum des dispositions énoncées dans le décret N°2023-17 du 11 mars 2023 et à l'arrêté de l'applicatif du ministre des technologies de la communication du 12 Septembre 2023. Cet audit prend comme référentiel de base la norme ISO/IEC 27002 et suit une approche méthodologique aussi proche que possible de ce référentiel.</w:t>
      </w:r>
    </w:p>
    <w:p w14:paraId="71390C62" w14:textId="77777777" w:rsidR="00F27D3C" w:rsidRPr="00F27D3C" w:rsidRDefault="00F27D3C" w:rsidP="002C2B00">
      <w:pPr>
        <w:shd w:val="clear" w:color="auto" w:fill="FFFFFF"/>
        <w:spacing w:before="100" w:beforeAutospacing="1" w:after="100" w:afterAutospacing="1" w:line="429" w:lineRule="atLeast"/>
        <w:rPr>
          <w:rFonts w:ascii="Nunito" w:hAnsi="Nunito"/>
        </w:rPr>
      </w:pPr>
      <w:r w:rsidRPr="00F27D3C">
        <w:rPr>
          <w:rFonts w:ascii="Nunito" w:hAnsi="Nunito"/>
          <w:b/>
          <w:bCs/>
        </w:rPr>
        <w:t>2.1 Objectif de l'audit :</w:t>
      </w:r>
    </w:p>
    <w:p w14:paraId="349D0210" w14:textId="77777777" w:rsidR="00F27D3C" w:rsidRPr="002C2B00" w:rsidRDefault="00F27D3C" w:rsidP="002C2B00">
      <w:pPr>
        <w:pStyle w:val="Paragraphedeliste"/>
        <w:numPr>
          <w:ilvl w:val="0"/>
          <w:numId w:val="15"/>
        </w:numPr>
        <w:shd w:val="clear" w:color="auto" w:fill="FFFFFF"/>
        <w:tabs>
          <w:tab w:val="num" w:pos="720"/>
        </w:tabs>
        <w:spacing w:before="100" w:beforeAutospacing="1" w:after="100" w:afterAutospacing="1" w:line="429" w:lineRule="atLeast"/>
        <w:rPr>
          <w:rFonts w:ascii="Nunito" w:hAnsi="Nunito"/>
        </w:rPr>
      </w:pPr>
      <w:r w:rsidRPr="002C2B00">
        <w:rPr>
          <w:rFonts w:ascii="Nunito" w:hAnsi="Nunito"/>
        </w:rPr>
        <w:t>Identifier les vulnérabilités techniques résiduelles (sécurité, performance, code) après les correctifs apportés.</w:t>
      </w:r>
    </w:p>
    <w:p w14:paraId="06650066" w14:textId="77777777" w:rsidR="00F27D3C" w:rsidRPr="002C2B00" w:rsidRDefault="00F27D3C" w:rsidP="002C2B00">
      <w:pPr>
        <w:pStyle w:val="Paragraphedeliste"/>
        <w:numPr>
          <w:ilvl w:val="0"/>
          <w:numId w:val="15"/>
        </w:numPr>
        <w:shd w:val="clear" w:color="auto" w:fill="FFFFFF"/>
        <w:tabs>
          <w:tab w:val="num" w:pos="720"/>
        </w:tabs>
        <w:spacing w:before="100" w:beforeAutospacing="1" w:after="100" w:afterAutospacing="1" w:line="429" w:lineRule="atLeast"/>
        <w:rPr>
          <w:rFonts w:ascii="Nunito" w:hAnsi="Nunito"/>
        </w:rPr>
      </w:pPr>
      <w:r w:rsidRPr="002C2B00">
        <w:rPr>
          <w:rFonts w:ascii="Nunito" w:hAnsi="Nunito"/>
        </w:rPr>
        <w:t>Vérifier l'efficacité des ajustements développés depuis le précédent audit.</w:t>
      </w:r>
    </w:p>
    <w:p w14:paraId="6BCD01B3" w14:textId="77777777" w:rsidR="00F27D3C" w:rsidRPr="002C2B00" w:rsidRDefault="00F27D3C" w:rsidP="002C2B00">
      <w:pPr>
        <w:pStyle w:val="Paragraphedeliste"/>
        <w:numPr>
          <w:ilvl w:val="0"/>
          <w:numId w:val="15"/>
        </w:numPr>
        <w:shd w:val="clear" w:color="auto" w:fill="FFFFFF"/>
        <w:tabs>
          <w:tab w:val="num" w:pos="720"/>
        </w:tabs>
        <w:spacing w:before="100" w:beforeAutospacing="1" w:after="100" w:afterAutospacing="1" w:line="429" w:lineRule="atLeast"/>
        <w:rPr>
          <w:rFonts w:ascii="Nunito" w:hAnsi="Nunito"/>
        </w:rPr>
      </w:pPr>
      <w:r w:rsidRPr="002C2B00">
        <w:rPr>
          <w:rFonts w:ascii="Nunito" w:hAnsi="Nunito"/>
        </w:rPr>
        <w:t>Garantir la conformité aux normes RGPD et OWASP.</w:t>
      </w:r>
    </w:p>
    <w:p w14:paraId="32070044" w14:textId="71D7A6DF" w:rsidR="002C2B00" w:rsidRPr="002C2B00" w:rsidRDefault="00CE2713" w:rsidP="002C2B00">
      <w:pPr>
        <w:pStyle w:val="Paragraphedeliste"/>
        <w:numPr>
          <w:ilvl w:val="0"/>
          <w:numId w:val="15"/>
        </w:numPr>
        <w:shd w:val="clear" w:color="auto" w:fill="FFFFFF"/>
        <w:tabs>
          <w:tab w:val="num" w:pos="720"/>
        </w:tabs>
        <w:spacing w:before="100" w:beforeAutospacing="1" w:after="100" w:afterAutospacing="1" w:line="429" w:lineRule="atLeast"/>
        <w:rPr>
          <w:rFonts w:ascii="Nunito" w:hAnsi="Nunito"/>
        </w:rPr>
      </w:pPr>
      <w:r w:rsidRPr="002C2B00">
        <w:rPr>
          <w:rFonts w:ascii="Nunito" w:hAnsi="Nunito"/>
        </w:rPr>
        <w:lastRenderedPageBreak/>
        <w:t>Vérifier que les vulnérabilités identifiées ont été bien traitées et corrigées par le prestataire responsable du développement de la plateforme carte handicap.</w:t>
      </w:r>
    </w:p>
    <w:p w14:paraId="1C497E0E" w14:textId="0189BA3C" w:rsidR="008037F9" w:rsidRPr="00273138" w:rsidRDefault="00AB7A9E" w:rsidP="002C2B00">
      <w:pPr>
        <w:numPr>
          <w:ilvl w:val="1"/>
          <w:numId w:val="11"/>
        </w:numPr>
        <w:shd w:val="clear" w:color="auto" w:fill="FFFFFF"/>
        <w:spacing w:before="100" w:beforeAutospacing="1" w:after="100" w:afterAutospacing="1" w:line="429" w:lineRule="atLeast"/>
        <w:ind w:left="0" w:firstLine="0"/>
        <w:rPr>
          <w:rStyle w:val="normaltextrun"/>
          <w:rFonts w:ascii="Nunito" w:hAnsi="Nunito"/>
        </w:rPr>
      </w:pPr>
      <w:r w:rsidRPr="00811EC7">
        <w:rPr>
          <w:rStyle w:val="normaltextrun"/>
          <w:rFonts w:ascii="Nunito" w:hAnsi="Nunito"/>
          <w:b/>
          <w:bCs/>
        </w:rPr>
        <w:t xml:space="preserve"> </w:t>
      </w:r>
      <w:r w:rsidR="008037F9" w:rsidRPr="00273138">
        <w:rPr>
          <w:rStyle w:val="normaltextrun"/>
          <w:rFonts w:ascii="Nunito" w:hAnsi="Nunito"/>
          <w:b/>
          <w:bCs/>
        </w:rPr>
        <w:t xml:space="preserve">Périmètre </w:t>
      </w:r>
      <w:r w:rsidR="00F5135E" w:rsidRPr="00273138">
        <w:rPr>
          <w:rStyle w:val="normaltextrun"/>
          <w:rFonts w:ascii="Nunito" w:hAnsi="Nunito"/>
          <w:b/>
          <w:bCs/>
        </w:rPr>
        <w:t xml:space="preserve">et modalités </w:t>
      </w:r>
      <w:r w:rsidR="008037F9" w:rsidRPr="00273138">
        <w:rPr>
          <w:rStyle w:val="normaltextrun"/>
          <w:rFonts w:ascii="Nunito" w:hAnsi="Nunito"/>
          <w:b/>
          <w:bCs/>
        </w:rPr>
        <w:t xml:space="preserve">de </w:t>
      </w:r>
      <w:r w:rsidR="001C1EB2" w:rsidRPr="00273138">
        <w:rPr>
          <w:rStyle w:val="normaltextrun"/>
          <w:rFonts w:ascii="Nunito" w:hAnsi="Nunito"/>
          <w:b/>
          <w:bCs/>
        </w:rPr>
        <w:t>l’Audit</w:t>
      </w:r>
      <w:r w:rsidR="001C1EB2" w:rsidRPr="00273138">
        <w:rPr>
          <w:rStyle w:val="normaltextrun"/>
          <w:rFonts w:ascii="Nunito" w:hAnsi="Nunito"/>
        </w:rPr>
        <w:t xml:space="preserve"> :</w:t>
      </w:r>
      <w:r w:rsidR="008037F9" w:rsidRPr="00273138">
        <w:rPr>
          <w:rStyle w:val="normaltextrun"/>
          <w:rFonts w:ascii="Nunito" w:hAnsi="Nunito"/>
        </w:rPr>
        <w:t xml:space="preserve">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42"/>
        <w:gridCol w:w="7420"/>
      </w:tblGrid>
      <w:tr w:rsidR="008037F9" w:rsidRPr="009D460D" w14:paraId="63F7E0C5" w14:textId="77777777" w:rsidTr="009C1AB6">
        <w:tc>
          <w:tcPr>
            <w:tcW w:w="0" w:type="auto"/>
            <w:hideMark/>
          </w:tcPr>
          <w:p w14:paraId="4A759E53" w14:textId="77777777" w:rsidR="008037F9" w:rsidRPr="009C1AB6" w:rsidRDefault="008037F9" w:rsidP="002C2B00">
            <w:pPr>
              <w:spacing w:before="100" w:beforeAutospacing="1" w:after="100" w:afterAutospacing="1"/>
              <w:rPr>
                <w:rStyle w:val="normaltextrun"/>
                <w:rFonts w:ascii="Nunito" w:hAnsi="Nunito" w:cs="Segoe UI"/>
                <w:b/>
                <w:bCs/>
                <w:szCs w:val="24"/>
                <w:lang w:val="en-US"/>
              </w:rPr>
            </w:pPr>
            <w:r w:rsidRPr="009C1AB6">
              <w:rPr>
                <w:rStyle w:val="normaltextrun"/>
                <w:rFonts w:ascii="Nunito" w:hAnsi="Nunito" w:cs="Segoe UI"/>
                <w:b/>
                <w:bCs/>
                <w:szCs w:val="24"/>
                <w:lang w:val="en-US"/>
              </w:rPr>
              <w:t>Domaine</w:t>
            </w:r>
          </w:p>
        </w:tc>
        <w:tc>
          <w:tcPr>
            <w:tcW w:w="0" w:type="auto"/>
            <w:hideMark/>
          </w:tcPr>
          <w:p w14:paraId="1D47BBAF" w14:textId="2942FDF9" w:rsidR="008037F9" w:rsidRPr="009C1AB6" w:rsidRDefault="00B5179A" w:rsidP="002C2B00">
            <w:pPr>
              <w:spacing w:before="100" w:beforeAutospacing="1" w:after="100" w:afterAutospacing="1"/>
              <w:rPr>
                <w:rStyle w:val="normaltextrun"/>
                <w:rFonts w:ascii="Nunito" w:hAnsi="Nunito" w:cs="Segoe UI"/>
                <w:b/>
                <w:bCs/>
                <w:szCs w:val="24"/>
                <w:lang w:val="en-US"/>
              </w:rPr>
            </w:pPr>
            <w:r w:rsidRPr="009C1AB6">
              <w:rPr>
                <w:rStyle w:val="normaltextrun"/>
                <w:rFonts w:ascii="Nunito" w:hAnsi="Nunito" w:cs="Segoe UI"/>
                <w:b/>
                <w:bCs/>
                <w:szCs w:val="24"/>
                <w:lang w:val="en-US"/>
              </w:rPr>
              <w:t>Details</w:t>
            </w:r>
          </w:p>
        </w:tc>
      </w:tr>
      <w:tr w:rsidR="008037F9" w:rsidRPr="009C38F5" w14:paraId="386D6CA1" w14:textId="77777777" w:rsidTr="009C1AB6">
        <w:tc>
          <w:tcPr>
            <w:tcW w:w="0" w:type="auto"/>
            <w:shd w:val="clear" w:color="auto" w:fill="F2F2F2"/>
            <w:hideMark/>
          </w:tcPr>
          <w:p w14:paraId="3776C83F" w14:textId="77777777" w:rsidR="008037F9" w:rsidRPr="009C1AB6" w:rsidRDefault="008037F9" w:rsidP="002C2B00">
            <w:pPr>
              <w:spacing w:before="100" w:beforeAutospacing="1" w:after="100" w:afterAutospacing="1"/>
              <w:rPr>
                <w:rStyle w:val="normaltextrun"/>
                <w:rFonts w:ascii="Nunito" w:hAnsi="Nunito" w:cs="Segoe UI"/>
                <w:b/>
                <w:bCs/>
                <w:szCs w:val="24"/>
                <w:lang w:val="en-US"/>
              </w:rPr>
            </w:pPr>
            <w:r w:rsidRPr="009C1AB6">
              <w:rPr>
                <w:rStyle w:val="normaltextrun"/>
                <w:rFonts w:ascii="Nunito" w:hAnsi="Nunito" w:cs="Segoe UI"/>
                <w:b/>
                <w:bCs/>
                <w:szCs w:val="24"/>
                <w:lang w:val="en-US"/>
              </w:rPr>
              <w:t>Sécurité</w:t>
            </w:r>
          </w:p>
        </w:tc>
        <w:tc>
          <w:tcPr>
            <w:tcW w:w="0" w:type="auto"/>
            <w:shd w:val="clear" w:color="auto" w:fill="F2F2F2"/>
            <w:hideMark/>
          </w:tcPr>
          <w:p w14:paraId="62ECFB31" w14:textId="77777777" w:rsidR="008037F9" w:rsidRPr="00811EC7" w:rsidRDefault="008037F9" w:rsidP="002C2B00">
            <w:pPr>
              <w:spacing w:before="100" w:beforeAutospacing="1" w:after="100" w:afterAutospacing="1"/>
              <w:rPr>
                <w:rStyle w:val="normaltextrun"/>
                <w:rFonts w:ascii="Nunito" w:hAnsi="Nunito" w:cs="Segoe UI"/>
                <w:szCs w:val="24"/>
              </w:rPr>
            </w:pPr>
            <w:r w:rsidRPr="00811EC7">
              <w:rPr>
                <w:rStyle w:val="normaltextrun"/>
                <w:rFonts w:ascii="Nunito" w:hAnsi="Nunito" w:cs="Segoe UI"/>
                <w:szCs w:val="24"/>
              </w:rPr>
              <w:t>Tests d’intrusion (pentest), gestion des accès, chiffrement des données.</w:t>
            </w:r>
          </w:p>
        </w:tc>
      </w:tr>
      <w:tr w:rsidR="008037F9" w:rsidRPr="009C38F5" w14:paraId="4AAE5F3F" w14:textId="77777777" w:rsidTr="009C1AB6">
        <w:tc>
          <w:tcPr>
            <w:tcW w:w="0" w:type="auto"/>
            <w:hideMark/>
          </w:tcPr>
          <w:p w14:paraId="58ED308E" w14:textId="77777777" w:rsidR="008037F9" w:rsidRPr="009C1AB6" w:rsidRDefault="008037F9" w:rsidP="002C2B00">
            <w:pPr>
              <w:spacing w:before="100" w:beforeAutospacing="1" w:after="100" w:afterAutospacing="1"/>
              <w:rPr>
                <w:rStyle w:val="normaltextrun"/>
                <w:rFonts w:ascii="Nunito" w:hAnsi="Nunito" w:cs="Segoe UI"/>
                <w:b/>
                <w:bCs/>
                <w:szCs w:val="24"/>
                <w:lang w:val="en-US"/>
              </w:rPr>
            </w:pPr>
            <w:r w:rsidRPr="009C1AB6">
              <w:rPr>
                <w:rStyle w:val="normaltextrun"/>
                <w:rFonts w:ascii="Nunito" w:hAnsi="Nunito" w:cs="Segoe UI"/>
                <w:b/>
                <w:bCs/>
                <w:szCs w:val="24"/>
                <w:lang w:val="en-US"/>
              </w:rPr>
              <w:t>Performance</w:t>
            </w:r>
          </w:p>
        </w:tc>
        <w:tc>
          <w:tcPr>
            <w:tcW w:w="0" w:type="auto"/>
            <w:hideMark/>
          </w:tcPr>
          <w:p w14:paraId="1E6CB026" w14:textId="77777777" w:rsidR="008037F9" w:rsidRPr="00811EC7" w:rsidRDefault="008037F9" w:rsidP="002C2B00">
            <w:pPr>
              <w:spacing w:before="100" w:beforeAutospacing="1" w:after="100" w:afterAutospacing="1"/>
              <w:rPr>
                <w:rStyle w:val="normaltextrun"/>
                <w:rFonts w:ascii="Nunito" w:hAnsi="Nunito" w:cs="Segoe UI"/>
                <w:szCs w:val="24"/>
              </w:rPr>
            </w:pPr>
            <w:r w:rsidRPr="00811EC7">
              <w:rPr>
                <w:rStyle w:val="normaltextrun"/>
                <w:rFonts w:ascii="Nunito" w:hAnsi="Nunito" w:cs="Segoe UI"/>
                <w:szCs w:val="24"/>
              </w:rPr>
              <w:t xml:space="preserve">Tests de charge (simulation de </w:t>
            </w:r>
            <w:r w:rsidR="000C7CFC" w:rsidRPr="00811EC7">
              <w:rPr>
                <w:rStyle w:val="normaltextrun"/>
                <w:rFonts w:ascii="Nunito" w:hAnsi="Nunito" w:cs="Segoe UI"/>
                <w:szCs w:val="24"/>
              </w:rPr>
              <w:t>quelques milliers d'</w:t>
            </w:r>
            <w:r w:rsidRPr="00811EC7">
              <w:rPr>
                <w:rStyle w:val="normaltextrun"/>
                <w:rFonts w:ascii="Nunito" w:hAnsi="Nunito" w:cs="Segoe UI"/>
                <w:szCs w:val="24"/>
              </w:rPr>
              <w:t>utilisateurs</w:t>
            </w:r>
            <w:r w:rsidR="000C7CFC" w:rsidRPr="00811EC7">
              <w:rPr>
                <w:rStyle w:val="normaltextrun"/>
                <w:rFonts w:ascii="Nunito" w:hAnsi="Nunito" w:cs="Segoe UI"/>
                <w:szCs w:val="24"/>
              </w:rPr>
              <w:t xml:space="preserve"> simultanés</w:t>
            </w:r>
            <w:r w:rsidRPr="00811EC7">
              <w:rPr>
                <w:rStyle w:val="normaltextrun"/>
                <w:rFonts w:ascii="Nunito" w:hAnsi="Nunito" w:cs="Segoe UI"/>
                <w:szCs w:val="24"/>
              </w:rPr>
              <w:t>),</w:t>
            </w:r>
          </w:p>
        </w:tc>
      </w:tr>
      <w:tr w:rsidR="008037F9" w:rsidRPr="009C38F5" w14:paraId="5F32D0F9" w14:textId="77777777" w:rsidTr="009C1AB6">
        <w:tc>
          <w:tcPr>
            <w:tcW w:w="0" w:type="auto"/>
            <w:shd w:val="clear" w:color="auto" w:fill="F2F2F2"/>
            <w:hideMark/>
          </w:tcPr>
          <w:p w14:paraId="1E88CBA1" w14:textId="77777777" w:rsidR="008037F9" w:rsidRPr="009C1AB6" w:rsidRDefault="008037F9" w:rsidP="002C2B00">
            <w:pPr>
              <w:spacing w:before="100" w:beforeAutospacing="1" w:after="100" w:afterAutospacing="1"/>
              <w:rPr>
                <w:rStyle w:val="normaltextrun"/>
                <w:rFonts w:ascii="Nunito" w:hAnsi="Nunito" w:cs="Segoe UI"/>
                <w:b/>
                <w:bCs/>
                <w:szCs w:val="24"/>
                <w:lang w:val="en-US"/>
              </w:rPr>
            </w:pPr>
            <w:r w:rsidRPr="009C1AB6">
              <w:rPr>
                <w:rStyle w:val="normaltextrun"/>
                <w:rFonts w:ascii="Nunito" w:hAnsi="Nunito" w:cs="Segoe UI"/>
                <w:b/>
                <w:bCs/>
                <w:szCs w:val="24"/>
                <w:lang w:val="en-US"/>
              </w:rPr>
              <w:t>Code Source</w:t>
            </w:r>
          </w:p>
        </w:tc>
        <w:tc>
          <w:tcPr>
            <w:tcW w:w="0" w:type="auto"/>
            <w:shd w:val="clear" w:color="auto" w:fill="F2F2F2"/>
            <w:hideMark/>
          </w:tcPr>
          <w:p w14:paraId="00F8ADDE" w14:textId="77777777" w:rsidR="008037F9" w:rsidRPr="00811EC7" w:rsidRDefault="008037F9" w:rsidP="002C2B00">
            <w:pPr>
              <w:spacing w:before="100" w:beforeAutospacing="1" w:after="100" w:afterAutospacing="1"/>
              <w:rPr>
                <w:rStyle w:val="normaltextrun"/>
                <w:rFonts w:ascii="Nunito" w:hAnsi="Nunito" w:cs="Segoe UI"/>
                <w:szCs w:val="24"/>
              </w:rPr>
            </w:pPr>
            <w:r w:rsidRPr="00811EC7">
              <w:rPr>
                <w:rStyle w:val="normaltextrun"/>
                <w:rFonts w:ascii="Nunito" w:hAnsi="Nunito" w:cs="Segoe UI"/>
                <w:szCs w:val="24"/>
              </w:rPr>
              <w:t>Analyse du code Joget, requêtes SQL, intégration d’API.</w:t>
            </w:r>
          </w:p>
        </w:tc>
      </w:tr>
      <w:tr w:rsidR="008037F9" w:rsidRPr="009D460D" w14:paraId="3E0B7D08" w14:textId="77777777" w:rsidTr="009C1AB6">
        <w:tc>
          <w:tcPr>
            <w:tcW w:w="0" w:type="auto"/>
            <w:hideMark/>
          </w:tcPr>
          <w:p w14:paraId="3B87CA8F" w14:textId="77777777" w:rsidR="008037F9" w:rsidRPr="00B5179A" w:rsidRDefault="008037F9" w:rsidP="002C2B00">
            <w:pPr>
              <w:spacing w:before="100" w:beforeAutospacing="1" w:after="100" w:afterAutospacing="1"/>
              <w:rPr>
                <w:rStyle w:val="normaltextrun"/>
                <w:rFonts w:ascii="Nunito" w:hAnsi="Nunito" w:cs="Segoe UI"/>
                <w:b/>
                <w:bCs/>
                <w:szCs w:val="24"/>
              </w:rPr>
            </w:pPr>
            <w:r w:rsidRPr="00B5179A">
              <w:rPr>
                <w:rStyle w:val="normaltextrun"/>
                <w:rFonts w:ascii="Nunito" w:hAnsi="Nunito" w:cs="Segoe UI"/>
                <w:b/>
                <w:bCs/>
                <w:szCs w:val="24"/>
              </w:rPr>
              <w:t>Conformité</w:t>
            </w:r>
          </w:p>
        </w:tc>
        <w:tc>
          <w:tcPr>
            <w:tcW w:w="0" w:type="auto"/>
            <w:hideMark/>
          </w:tcPr>
          <w:p w14:paraId="637296AE" w14:textId="77777777" w:rsidR="008037F9" w:rsidRPr="009C1AB6" w:rsidRDefault="008037F9" w:rsidP="002C2B00">
            <w:pPr>
              <w:spacing w:before="100" w:beforeAutospacing="1" w:after="100" w:afterAutospacing="1"/>
              <w:rPr>
                <w:rStyle w:val="normaltextrun"/>
                <w:rFonts w:ascii="Nunito" w:hAnsi="Nunito" w:cs="Segoe UI"/>
                <w:szCs w:val="24"/>
                <w:lang w:val="en-US"/>
              </w:rPr>
            </w:pPr>
            <w:r w:rsidRPr="009C1AB6">
              <w:rPr>
                <w:rStyle w:val="normaltextrun"/>
                <w:rFonts w:ascii="Nunito" w:hAnsi="Nunito" w:cs="Segoe UI"/>
                <w:szCs w:val="24"/>
                <w:lang w:val="en-US"/>
              </w:rPr>
              <w:t>Respect du RGPD (consentement, anonymisation), normes OWASP Top 10.</w:t>
            </w:r>
          </w:p>
        </w:tc>
      </w:tr>
    </w:tbl>
    <w:p w14:paraId="6BBDB3BB" w14:textId="28EC825A" w:rsidR="00F06112" w:rsidRDefault="00F06112" w:rsidP="002C2B00">
      <w:pPr>
        <w:shd w:val="clear" w:color="auto" w:fill="FFFFFF"/>
        <w:tabs>
          <w:tab w:val="left" w:pos="567"/>
        </w:tabs>
        <w:spacing w:before="100" w:beforeAutospacing="1" w:after="100" w:afterAutospacing="1" w:line="429" w:lineRule="atLeast"/>
        <w:ind w:left="284"/>
        <w:rPr>
          <w:rFonts w:ascii="Nunito" w:hAnsi="Nunito"/>
        </w:rPr>
      </w:pPr>
      <w:r>
        <w:rPr>
          <w:rFonts w:ascii="Nunito" w:hAnsi="Nunito"/>
        </w:rPr>
        <w:t xml:space="preserve">L’audit devra être achevé </w:t>
      </w:r>
      <w:r w:rsidRPr="00F06112">
        <w:rPr>
          <w:rFonts w:ascii="Nunito" w:hAnsi="Nunito"/>
        </w:rPr>
        <w:t xml:space="preserve">dans un délai de 4 semaines maximum </w:t>
      </w:r>
      <w:r>
        <w:rPr>
          <w:rFonts w:ascii="Nunito" w:hAnsi="Nunito"/>
        </w:rPr>
        <w:t>suivant son démarrage. Le consultant est responsable de veiller à la confidentialité et à la sécurité des données auxquelles il aura accès dans le cadre de l’audit.</w:t>
      </w:r>
    </w:p>
    <w:p w14:paraId="17997AAF" w14:textId="4CF4F090" w:rsidR="00ED6CD1" w:rsidRDefault="00ED6CD1" w:rsidP="002C2B00">
      <w:pPr>
        <w:shd w:val="clear" w:color="auto" w:fill="FFFFFF"/>
        <w:tabs>
          <w:tab w:val="left" w:pos="567"/>
        </w:tabs>
        <w:spacing w:before="100" w:beforeAutospacing="1" w:after="100" w:afterAutospacing="1" w:line="429" w:lineRule="atLeast"/>
        <w:ind w:left="284"/>
        <w:rPr>
          <w:rFonts w:ascii="Nunito" w:hAnsi="Nunito"/>
        </w:rPr>
      </w:pPr>
      <w:r>
        <w:rPr>
          <w:rFonts w:ascii="Nunito" w:hAnsi="Nunito"/>
        </w:rPr>
        <w:t>Le MAS mettra à disposition du consultant les documents suivants nécessaires à la réalisation de l’audit :</w:t>
      </w:r>
    </w:p>
    <w:p w14:paraId="2186FDFD" w14:textId="77777777" w:rsidR="002C2B00" w:rsidRDefault="00D24F46" w:rsidP="002C2B00">
      <w:pPr>
        <w:shd w:val="clear" w:color="auto" w:fill="FFFFFF"/>
        <w:spacing w:before="100" w:beforeAutospacing="1" w:after="100" w:afterAutospacing="1" w:line="429" w:lineRule="atLeast"/>
        <w:ind w:left="426"/>
        <w:rPr>
          <w:rFonts w:ascii="Nunito" w:hAnsi="Nunito"/>
        </w:rPr>
      </w:pPr>
      <w:r w:rsidRPr="00D24F46">
        <w:rPr>
          <w:rFonts w:ascii="Nunito" w:hAnsi="Nunito"/>
        </w:rPr>
        <w:t>- Accès au code source (front + back) </w:t>
      </w:r>
      <w:r w:rsidRPr="00D24F46">
        <w:rPr>
          <w:rFonts w:ascii="Nunito" w:hAnsi="Nunito"/>
        </w:rPr>
        <w:br/>
        <w:t>- Documentation technique existante </w:t>
      </w:r>
      <w:r w:rsidRPr="00D24F46">
        <w:rPr>
          <w:rFonts w:ascii="Nunito" w:hAnsi="Nunito"/>
        </w:rPr>
        <w:br/>
        <w:t xml:space="preserve">- Accès à </w:t>
      </w:r>
      <w:r w:rsidR="000C7CFC">
        <w:rPr>
          <w:rFonts w:ascii="Nunito" w:hAnsi="Nunito"/>
        </w:rPr>
        <w:t>l'</w:t>
      </w:r>
      <w:r w:rsidRPr="00D24F46">
        <w:rPr>
          <w:rFonts w:ascii="Nunito" w:hAnsi="Nunito"/>
        </w:rPr>
        <w:t xml:space="preserve">environnement </w:t>
      </w:r>
      <w:r w:rsidRPr="00D24F46">
        <w:rPr>
          <w:rFonts w:ascii="Nunito" w:hAnsi="Nunito"/>
        </w:rPr>
        <w:br/>
        <w:t xml:space="preserve">- Diagrammes d’architecture </w:t>
      </w:r>
      <w:r w:rsidRPr="00D24F46">
        <w:rPr>
          <w:rFonts w:ascii="Nunito" w:hAnsi="Nunito"/>
        </w:rPr>
        <w:br/>
        <w:t xml:space="preserve">- Accès aux outils de CI/CD et de surveillance </w:t>
      </w:r>
    </w:p>
    <w:p w14:paraId="36A2D7DF" w14:textId="50D54A0F" w:rsidR="000A0A34" w:rsidRPr="002C2B00" w:rsidRDefault="00ED6CD1" w:rsidP="002C2B00">
      <w:pPr>
        <w:shd w:val="clear" w:color="auto" w:fill="FFFFFF"/>
        <w:spacing w:before="100" w:beforeAutospacing="1" w:after="100" w:afterAutospacing="1" w:line="429" w:lineRule="atLeast"/>
        <w:ind w:left="426"/>
        <w:rPr>
          <w:rFonts w:ascii="Nunito" w:hAnsi="Nunito"/>
          <w:b/>
          <w:bCs/>
          <w:u w:val="single"/>
        </w:rPr>
      </w:pPr>
      <w:r w:rsidRPr="002C2B00">
        <w:rPr>
          <w:rFonts w:ascii="Nunito" w:hAnsi="Nunito"/>
          <w:b/>
          <w:bCs/>
          <w:u w:val="single"/>
        </w:rPr>
        <w:t>Le consultant devra</w:t>
      </w:r>
      <w:r w:rsidR="00F06112" w:rsidRPr="002C2B00">
        <w:rPr>
          <w:rFonts w:ascii="Nunito" w:hAnsi="Nunito"/>
          <w:b/>
          <w:bCs/>
          <w:u w:val="single"/>
        </w:rPr>
        <w:t xml:space="preserve"> réaliser les opérations suivantes :</w:t>
      </w:r>
    </w:p>
    <w:p w14:paraId="27A00433" w14:textId="1EB66FBA" w:rsidR="00FD69D5" w:rsidRPr="002C2B00" w:rsidRDefault="00D24F46" w:rsidP="002C2B00">
      <w:pPr>
        <w:shd w:val="clear" w:color="auto" w:fill="FFFFFF"/>
        <w:tabs>
          <w:tab w:val="left" w:pos="284"/>
        </w:tabs>
        <w:spacing w:before="100" w:beforeAutospacing="1" w:after="100" w:afterAutospacing="1" w:line="429" w:lineRule="atLeast"/>
        <w:ind w:left="567"/>
        <w:rPr>
          <w:rStyle w:val="normaltextrun"/>
          <w:rFonts w:ascii="Nunito" w:hAnsi="Nunito"/>
        </w:rPr>
      </w:pPr>
      <w:r w:rsidRPr="00D24F46">
        <w:rPr>
          <w:rFonts w:ascii="Nunito" w:hAnsi="Nunito"/>
        </w:rPr>
        <w:t>- Analyse statique du code </w:t>
      </w:r>
      <w:r w:rsidRPr="00D24F46">
        <w:rPr>
          <w:rFonts w:ascii="Nunito" w:hAnsi="Nunito"/>
        </w:rPr>
        <w:br/>
        <w:t xml:space="preserve">- Tests de charge et de montée en charge </w:t>
      </w:r>
      <w:r w:rsidRPr="00D24F46">
        <w:rPr>
          <w:rFonts w:ascii="Nunito" w:hAnsi="Nunito"/>
        </w:rPr>
        <w:br/>
        <w:t>- Scan de vulnérabilités (automatique + manuel) </w:t>
      </w:r>
      <w:r w:rsidRPr="00D24F46">
        <w:rPr>
          <w:rFonts w:ascii="Nunito" w:hAnsi="Nunito"/>
        </w:rPr>
        <w:br/>
        <w:t>- Revue des logs et systèmes de monitoring </w:t>
      </w:r>
      <w:r w:rsidRPr="00D24F46">
        <w:rPr>
          <w:rFonts w:ascii="Nunito" w:hAnsi="Nunito"/>
        </w:rPr>
        <w:br/>
        <w:t>- Revue manuelle de l’architecture logicielle </w:t>
      </w:r>
      <w:r w:rsidRPr="00D24F46">
        <w:rPr>
          <w:rFonts w:ascii="Nunito" w:hAnsi="Nunito"/>
        </w:rPr>
        <w:br/>
        <w:t>- Vérification des pratiques DevOps </w:t>
      </w:r>
    </w:p>
    <w:p w14:paraId="346B1944" w14:textId="7721E49A" w:rsidR="00FD69D5" w:rsidRPr="002C2B00" w:rsidRDefault="009214C2" w:rsidP="002C2B00">
      <w:pPr>
        <w:shd w:val="clear" w:color="auto" w:fill="FFFFFF"/>
        <w:tabs>
          <w:tab w:val="left" w:pos="426"/>
          <w:tab w:val="left" w:pos="993"/>
        </w:tabs>
        <w:spacing w:before="100" w:beforeAutospacing="1" w:after="100" w:afterAutospacing="1" w:line="429" w:lineRule="atLeast"/>
        <w:rPr>
          <w:rStyle w:val="normaltextrun"/>
          <w:rFonts w:ascii="Nunito" w:hAnsi="Nunito"/>
          <w:b/>
          <w:bCs/>
        </w:rPr>
      </w:pPr>
      <w:r w:rsidRPr="0077720C">
        <w:rPr>
          <w:rFonts w:ascii="Nunito" w:hAnsi="Nunito"/>
          <w:b/>
          <w:bCs/>
        </w:rPr>
        <w:lastRenderedPageBreak/>
        <w:t>2.</w:t>
      </w:r>
      <w:r w:rsidR="00F5135E">
        <w:rPr>
          <w:rFonts w:ascii="Nunito" w:hAnsi="Nunito"/>
          <w:b/>
          <w:bCs/>
        </w:rPr>
        <w:t>3</w:t>
      </w:r>
      <w:r w:rsidR="00FD69D5" w:rsidRPr="0077720C">
        <w:t xml:space="preserve"> </w:t>
      </w:r>
      <w:r w:rsidR="00FD69D5" w:rsidRPr="00922354">
        <w:rPr>
          <w:rFonts w:ascii="Nunito" w:hAnsi="Nunito"/>
          <w:b/>
          <w:bCs/>
        </w:rPr>
        <w:t>Livrable Attendus de l’Audit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8"/>
        <w:gridCol w:w="36"/>
        <w:gridCol w:w="4943"/>
        <w:gridCol w:w="1515"/>
      </w:tblGrid>
      <w:tr w:rsidR="00FD69D5" w:rsidRPr="009D460D" w14:paraId="03F92452" w14:textId="77777777" w:rsidTr="00AB7A9E">
        <w:trPr>
          <w:tblHeader/>
        </w:trPr>
        <w:tc>
          <w:tcPr>
            <w:tcW w:w="0" w:type="auto"/>
            <w:tcMar>
              <w:top w:w="150" w:type="dxa"/>
              <w:left w:w="0" w:type="dxa"/>
              <w:bottom w:w="150" w:type="dxa"/>
              <w:right w:w="150" w:type="dxa"/>
            </w:tcMar>
            <w:vAlign w:val="center"/>
            <w:hideMark/>
          </w:tcPr>
          <w:p w14:paraId="0BB51608" w14:textId="77777777" w:rsidR="00FD69D5" w:rsidRPr="004F0D94" w:rsidRDefault="00FD69D5" w:rsidP="002C2B00">
            <w:pPr>
              <w:spacing w:before="100" w:beforeAutospacing="1" w:after="100" w:afterAutospacing="1"/>
              <w:rPr>
                <w:rFonts w:ascii="Nunito" w:hAnsi="Nunito"/>
                <w:b/>
                <w:bCs/>
                <w:color w:val="404040"/>
                <w:sz w:val="23"/>
                <w:szCs w:val="23"/>
              </w:rPr>
            </w:pPr>
            <w:r w:rsidRPr="004F0D94">
              <w:rPr>
                <w:rFonts w:ascii="Nunito" w:hAnsi="Nunito"/>
                <w:b/>
                <w:bCs/>
                <w:color w:val="404040"/>
                <w:sz w:val="23"/>
                <w:szCs w:val="23"/>
              </w:rPr>
              <w:t>Document</w:t>
            </w:r>
          </w:p>
        </w:tc>
        <w:tc>
          <w:tcPr>
            <w:tcW w:w="0" w:type="auto"/>
          </w:tcPr>
          <w:p w14:paraId="3D1AD998" w14:textId="77777777" w:rsidR="00FD69D5" w:rsidRPr="004F0D94" w:rsidRDefault="00FD69D5" w:rsidP="002C2B00">
            <w:pPr>
              <w:spacing w:before="100" w:beforeAutospacing="1" w:after="100" w:afterAutospacing="1"/>
              <w:rPr>
                <w:rFonts w:ascii="Nunito" w:hAnsi="Nunito"/>
                <w:b/>
                <w:bCs/>
                <w:color w:val="404040"/>
                <w:sz w:val="23"/>
                <w:szCs w:val="23"/>
              </w:rPr>
            </w:pPr>
          </w:p>
        </w:tc>
        <w:tc>
          <w:tcPr>
            <w:tcW w:w="0" w:type="auto"/>
            <w:tcMar>
              <w:top w:w="150" w:type="dxa"/>
              <w:left w:w="150" w:type="dxa"/>
              <w:bottom w:w="150" w:type="dxa"/>
              <w:right w:w="150" w:type="dxa"/>
            </w:tcMar>
            <w:vAlign w:val="center"/>
            <w:hideMark/>
          </w:tcPr>
          <w:p w14:paraId="4A1A67E5" w14:textId="77777777" w:rsidR="00FD69D5" w:rsidRPr="004F0D94" w:rsidRDefault="00FD69D5" w:rsidP="002C2B00">
            <w:pPr>
              <w:spacing w:before="100" w:beforeAutospacing="1" w:after="100" w:afterAutospacing="1"/>
              <w:rPr>
                <w:rFonts w:ascii="Nunito" w:hAnsi="Nunito"/>
                <w:b/>
                <w:bCs/>
                <w:color w:val="404040"/>
                <w:sz w:val="23"/>
                <w:szCs w:val="23"/>
              </w:rPr>
            </w:pPr>
            <w:r w:rsidRPr="004F0D94">
              <w:rPr>
                <w:rFonts w:ascii="Nunito" w:hAnsi="Nunito"/>
                <w:b/>
                <w:bCs/>
                <w:color w:val="404040"/>
                <w:sz w:val="23"/>
                <w:szCs w:val="23"/>
              </w:rPr>
              <w:t>Description</w:t>
            </w:r>
          </w:p>
        </w:tc>
        <w:tc>
          <w:tcPr>
            <w:tcW w:w="0" w:type="auto"/>
            <w:tcMar>
              <w:top w:w="150" w:type="dxa"/>
              <w:left w:w="150" w:type="dxa"/>
              <w:bottom w:w="150" w:type="dxa"/>
              <w:right w:w="150" w:type="dxa"/>
            </w:tcMar>
            <w:vAlign w:val="center"/>
            <w:hideMark/>
          </w:tcPr>
          <w:p w14:paraId="7210A790" w14:textId="77777777" w:rsidR="00FD69D5" w:rsidRPr="004F0D94" w:rsidRDefault="00FD69D5" w:rsidP="002C2B00">
            <w:pPr>
              <w:spacing w:before="100" w:beforeAutospacing="1" w:after="100" w:afterAutospacing="1"/>
              <w:rPr>
                <w:rFonts w:ascii="Nunito" w:hAnsi="Nunito"/>
                <w:b/>
                <w:bCs/>
                <w:color w:val="404040"/>
                <w:sz w:val="23"/>
                <w:szCs w:val="23"/>
              </w:rPr>
            </w:pPr>
            <w:r w:rsidRPr="004F0D94">
              <w:rPr>
                <w:rFonts w:ascii="Nunito" w:hAnsi="Nunito"/>
                <w:b/>
                <w:bCs/>
                <w:color w:val="404040"/>
                <w:sz w:val="23"/>
                <w:szCs w:val="23"/>
              </w:rPr>
              <w:t>Format</w:t>
            </w:r>
          </w:p>
        </w:tc>
      </w:tr>
      <w:tr w:rsidR="00FD69D5" w:rsidRPr="009D460D" w14:paraId="1C77D32C" w14:textId="77777777" w:rsidTr="00AB7A9E">
        <w:tc>
          <w:tcPr>
            <w:tcW w:w="0" w:type="auto"/>
            <w:tcMar>
              <w:top w:w="150" w:type="dxa"/>
              <w:left w:w="0" w:type="dxa"/>
              <w:bottom w:w="150" w:type="dxa"/>
              <w:right w:w="150" w:type="dxa"/>
            </w:tcMar>
            <w:vAlign w:val="center"/>
            <w:hideMark/>
          </w:tcPr>
          <w:p w14:paraId="07F30B93" w14:textId="77777777" w:rsidR="00FD69D5" w:rsidRPr="004F0D94" w:rsidRDefault="00FD69D5" w:rsidP="002C2B00">
            <w:pPr>
              <w:spacing w:before="100" w:beforeAutospacing="1" w:after="100" w:afterAutospacing="1"/>
              <w:rPr>
                <w:rFonts w:ascii="Nunito" w:hAnsi="Nunito"/>
                <w:sz w:val="23"/>
                <w:szCs w:val="23"/>
              </w:rPr>
            </w:pPr>
            <w:r w:rsidRPr="004F0D94">
              <w:rPr>
                <w:rFonts w:ascii="Nunito" w:hAnsi="Nunito"/>
                <w:sz w:val="23"/>
                <w:szCs w:val="23"/>
              </w:rPr>
              <w:t>Rapport d’audit détaillé</w:t>
            </w:r>
          </w:p>
        </w:tc>
        <w:tc>
          <w:tcPr>
            <w:tcW w:w="0" w:type="auto"/>
          </w:tcPr>
          <w:p w14:paraId="120FB935" w14:textId="77777777" w:rsidR="00FD69D5" w:rsidRPr="004F0D94" w:rsidRDefault="00FD69D5" w:rsidP="002C2B00">
            <w:pPr>
              <w:spacing w:before="100" w:beforeAutospacing="1" w:after="100" w:afterAutospacing="1"/>
              <w:rPr>
                <w:rFonts w:ascii="Nunito" w:hAnsi="Nunito"/>
                <w:sz w:val="23"/>
                <w:szCs w:val="23"/>
              </w:rPr>
            </w:pPr>
          </w:p>
        </w:tc>
        <w:tc>
          <w:tcPr>
            <w:tcW w:w="0" w:type="auto"/>
            <w:tcMar>
              <w:top w:w="150" w:type="dxa"/>
              <w:left w:w="150" w:type="dxa"/>
              <w:bottom w:w="150" w:type="dxa"/>
              <w:right w:w="150" w:type="dxa"/>
            </w:tcMar>
            <w:vAlign w:val="center"/>
            <w:hideMark/>
          </w:tcPr>
          <w:p w14:paraId="0040DF94" w14:textId="77777777" w:rsidR="00FD69D5" w:rsidRPr="004F0D94" w:rsidRDefault="00FD69D5" w:rsidP="002C2B00">
            <w:pPr>
              <w:spacing w:before="100" w:beforeAutospacing="1" w:after="100" w:afterAutospacing="1"/>
              <w:rPr>
                <w:rFonts w:ascii="Nunito" w:hAnsi="Nunito"/>
                <w:sz w:val="23"/>
                <w:szCs w:val="23"/>
              </w:rPr>
            </w:pPr>
            <w:r w:rsidRPr="004F0D94">
              <w:rPr>
                <w:rFonts w:ascii="Nunito" w:hAnsi="Nunito"/>
                <w:sz w:val="23"/>
                <w:szCs w:val="23"/>
              </w:rPr>
              <w:t>Vulnérabilités classées, preuves techniques.</w:t>
            </w:r>
          </w:p>
        </w:tc>
        <w:tc>
          <w:tcPr>
            <w:tcW w:w="0" w:type="auto"/>
            <w:tcMar>
              <w:top w:w="150" w:type="dxa"/>
              <w:left w:w="150" w:type="dxa"/>
              <w:bottom w:w="150" w:type="dxa"/>
              <w:right w:w="150" w:type="dxa"/>
            </w:tcMar>
            <w:vAlign w:val="center"/>
            <w:hideMark/>
          </w:tcPr>
          <w:p w14:paraId="53CDE284" w14:textId="77777777" w:rsidR="00FD69D5" w:rsidRPr="004F0D94" w:rsidRDefault="00FD69D5" w:rsidP="002C2B00">
            <w:pPr>
              <w:spacing w:before="100" w:beforeAutospacing="1" w:after="100" w:afterAutospacing="1"/>
              <w:rPr>
                <w:rFonts w:ascii="Nunito" w:hAnsi="Nunito"/>
                <w:sz w:val="23"/>
                <w:szCs w:val="23"/>
              </w:rPr>
            </w:pPr>
            <w:r w:rsidRPr="004F0D94">
              <w:rPr>
                <w:rFonts w:ascii="Nunito" w:hAnsi="Nunito"/>
                <w:sz w:val="23"/>
                <w:szCs w:val="23"/>
              </w:rPr>
              <w:t>PDF/Word</w:t>
            </w:r>
          </w:p>
        </w:tc>
      </w:tr>
      <w:tr w:rsidR="00FD69D5" w:rsidRPr="004F0D94" w14:paraId="0A5AF5AC" w14:textId="77777777" w:rsidTr="00AB7A9E">
        <w:tc>
          <w:tcPr>
            <w:tcW w:w="0" w:type="auto"/>
            <w:tcMar>
              <w:top w:w="150" w:type="dxa"/>
              <w:left w:w="0" w:type="dxa"/>
              <w:bottom w:w="150" w:type="dxa"/>
              <w:right w:w="150" w:type="dxa"/>
            </w:tcMar>
            <w:vAlign w:val="center"/>
            <w:hideMark/>
          </w:tcPr>
          <w:p w14:paraId="3BED1274" w14:textId="77777777" w:rsidR="00FD69D5" w:rsidRPr="004F0D94" w:rsidRDefault="00FD69D5" w:rsidP="002C2B00">
            <w:pPr>
              <w:spacing w:before="100" w:beforeAutospacing="1" w:after="100" w:afterAutospacing="1"/>
              <w:rPr>
                <w:rFonts w:ascii="Nunito" w:hAnsi="Nunito"/>
                <w:sz w:val="23"/>
                <w:szCs w:val="23"/>
              </w:rPr>
            </w:pPr>
            <w:r w:rsidRPr="004F0D94">
              <w:rPr>
                <w:rFonts w:ascii="Nunito" w:hAnsi="Nunito"/>
                <w:sz w:val="23"/>
                <w:szCs w:val="23"/>
              </w:rPr>
              <w:t>Synthèse exécutive</w:t>
            </w:r>
          </w:p>
        </w:tc>
        <w:tc>
          <w:tcPr>
            <w:tcW w:w="0" w:type="auto"/>
          </w:tcPr>
          <w:p w14:paraId="10E9D352" w14:textId="77777777" w:rsidR="00FD69D5" w:rsidRPr="004F0D94" w:rsidRDefault="00FD69D5" w:rsidP="002C2B00">
            <w:pPr>
              <w:spacing w:before="100" w:beforeAutospacing="1" w:after="100" w:afterAutospacing="1"/>
              <w:rPr>
                <w:rFonts w:ascii="Nunito" w:hAnsi="Nunito"/>
                <w:sz w:val="23"/>
                <w:szCs w:val="23"/>
              </w:rPr>
            </w:pPr>
          </w:p>
        </w:tc>
        <w:tc>
          <w:tcPr>
            <w:tcW w:w="0" w:type="auto"/>
            <w:tcMar>
              <w:top w:w="150" w:type="dxa"/>
              <w:left w:w="150" w:type="dxa"/>
              <w:bottom w:w="150" w:type="dxa"/>
              <w:right w:w="150" w:type="dxa"/>
            </w:tcMar>
            <w:vAlign w:val="center"/>
            <w:hideMark/>
          </w:tcPr>
          <w:p w14:paraId="755CA8D5" w14:textId="77777777" w:rsidR="00FD69D5" w:rsidRPr="004F0D94" w:rsidRDefault="00FD69D5" w:rsidP="002C2B00">
            <w:pPr>
              <w:spacing w:before="100" w:beforeAutospacing="1" w:after="100" w:afterAutospacing="1"/>
              <w:rPr>
                <w:rFonts w:ascii="Nunito" w:hAnsi="Nunito"/>
                <w:sz w:val="23"/>
                <w:szCs w:val="23"/>
              </w:rPr>
            </w:pPr>
            <w:r w:rsidRPr="004F0D94">
              <w:rPr>
                <w:rFonts w:ascii="Nunito" w:hAnsi="Nunito"/>
                <w:sz w:val="23"/>
                <w:szCs w:val="23"/>
              </w:rPr>
              <w:t xml:space="preserve">Résumé des risques prioritaires </w:t>
            </w:r>
          </w:p>
        </w:tc>
        <w:tc>
          <w:tcPr>
            <w:tcW w:w="0" w:type="auto"/>
            <w:tcMar>
              <w:top w:w="150" w:type="dxa"/>
              <w:left w:w="150" w:type="dxa"/>
              <w:bottom w:w="150" w:type="dxa"/>
              <w:right w:w="150" w:type="dxa"/>
            </w:tcMar>
            <w:vAlign w:val="center"/>
            <w:hideMark/>
          </w:tcPr>
          <w:p w14:paraId="7EC5EE7C" w14:textId="77777777" w:rsidR="00FD69D5" w:rsidRPr="004F0D94" w:rsidRDefault="00FD69D5" w:rsidP="002C2B00">
            <w:pPr>
              <w:spacing w:before="100" w:beforeAutospacing="1" w:after="100" w:afterAutospacing="1"/>
              <w:rPr>
                <w:rFonts w:ascii="Nunito" w:hAnsi="Nunito"/>
                <w:sz w:val="23"/>
                <w:szCs w:val="23"/>
              </w:rPr>
            </w:pPr>
            <w:r w:rsidRPr="004F0D94">
              <w:rPr>
                <w:rFonts w:ascii="Nunito" w:hAnsi="Nunito"/>
                <w:sz w:val="23"/>
                <w:szCs w:val="23"/>
              </w:rPr>
              <w:t>PDF</w:t>
            </w:r>
            <w:r w:rsidR="004F0D94">
              <w:rPr>
                <w:rFonts w:ascii="Nunito" w:hAnsi="Nunito"/>
                <w:sz w:val="23"/>
                <w:szCs w:val="23"/>
              </w:rPr>
              <w:t>/</w:t>
            </w:r>
            <w:r w:rsidR="004F0D94" w:rsidRPr="004F0D94">
              <w:rPr>
                <w:rFonts w:ascii="Nunito" w:hAnsi="Nunito"/>
                <w:sz w:val="23"/>
                <w:szCs w:val="23"/>
              </w:rPr>
              <w:t xml:space="preserve"> Word</w:t>
            </w:r>
          </w:p>
        </w:tc>
      </w:tr>
      <w:tr w:rsidR="00FD69D5" w:rsidRPr="009D460D" w14:paraId="48FDF192" w14:textId="77777777" w:rsidTr="00AB7A9E">
        <w:tc>
          <w:tcPr>
            <w:tcW w:w="0" w:type="auto"/>
            <w:tcMar>
              <w:top w:w="150" w:type="dxa"/>
              <w:left w:w="0" w:type="dxa"/>
              <w:bottom w:w="150" w:type="dxa"/>
              <w:right w:w="150" w:type="dxa"/>
            </w:tcMar>
            <w:vAlign w:val="center"/>
            <w:hideMark/>
          </w:tcPr>
          <w:p w14:paraId="5E8F8D3E" w14:textId="77777777" w:rsidR="00FD69D5" w:rsidRPr="004F0D94" w:rsidRDefault="00FD69D5" w:rsidP="002C2B00">
            <w:pPr>
              <w:spacing w:before="100" w:beforeAutospacing="1" w:after="100" w:afterAutospacing="1"/>
              <w:rPr>
                <w:rFonts w:ascii="Nunito" w:hAnsi="Nunito"/>
                <w:sz w:val="23"/>
                <w:szCs w:val="23"/>
              </w:rPr>
            </w:pPr>
            <w:r w:rsidRPr="004F0D94">
              <w:rPr>
                <w:rFonts w:ascii="Nunito" w:hAnsi="Nunito"/>
                <w:sz w:val="23"/>
                <w:szCs w:val="23"/>
              </w:rPr>
              <w:t>Plan d’action</w:t>
            </w:r>
          </w:p>
        </w:tc>
        <w:tc>
          <w:tcPr>
            <w:tcW w:w="0" w:type="auto"/>
          </w:tcPr>
          <w:p w14:paraId="442A617C" w14:textId="77777777" w:rsidR="00FD69D5" w:rsidRPr="004F0D94" w:rsidRDefault="00FD69D5" w:rsidP="002C2B00">
            <w:pPr>
              <w:spacing w:before="100" w:beforeAutospacing="1" w:after="100" w:afterAutospacing="1"/>
              <w:rPr>
                <w:rFonts w:ascii="Nunito" w:hAnsi="Nunito"/>
                <w:sz w:val="23"/>
                <w:szCs w:val="23"/>
              </w:rPr>
            </w:pPr>
          </w:p>
        </w:tc>
        <w:tc>
          <w:tcPr>
            <w:tcW w:w="0" w:type="auto"/>
            <w:tcMar>
              <w:top w:w="150" w:type="dxa"/>
              <w:left w:w="150" w:type="dxa"/>
              <w:bottom w:w="150" w:type="dxa"/>
              <w:right w:w="150" w:type="dxa"/>
            </w:tcMar>
            <w:vAlign w:val="center"/>
            <w:hideMark/>
          </w:tcPr>
          <w:p w14:paraId="28EAA359" w14:textId="77777777" w:rsidR="00FD69D5" w:rsidRPr="004F0D94" w:rsidRDefault="00FD69D5" w:rsidP="002C2B00">
            <w:pPr>
              <w:spacing w:before="100" w:beforeAutospacing="1" w:after="100" w:afterAutospacing="1"/>
              <w:rPr>
                <w:rFonts w:ascii="Nunito" w:hAnsi="Nunito"/>
                <w:sz w:val="23"/>
                <w:szCs w:val="23"/>
              </w:rPr>
            </w:pPr>
            <w:r w:rsidRPr="004F0D94">
              <w:rPr>
                <w:rFonts w:ascii="Nunito" w:hAnsi="Nunito"/>
                <w:sz w:val="23"/>
                <w:szCs w:val="23"/>
              </w:rPr>
              <w:t>Correctifs priorisés (court/moyen/long terme).</w:t>
            </w:r>
          </w:p>
        </w:tc>
        <w:tc>
          <w:tcPr>
            <w:tcW w:w="0" w:type="auto"/>
            <w:tcMar>
              <w:top w:w="150" w:type="dxa"/>
              <w:left w:w="150" w:type="dxa"/>
              <w:bottom w:w="150" w:type="dxa"/>
              <w:right w:w="150" w:type="dxa"/>
            </w:tcMar>
            <w:vAlign w:val="center"/>
            <w:hideMark/>
          </w:tcPr>
          <w:p w14:paraId="4C8943E1" w14:textId="77777777" w:rsidR="00FD69D5" w:rsidRPr="004F0D94" w:rsidRDefault="00FD69D5" w:rsidP="002C2B00">
            <w:pPr>
              <w:spacing w:before="100" w:beforeAutospacing="1" w:after="100" w:afterAutospacing="1"/>
              <w:rPr>
                <w:rFonts w:ascii="Nunito" w:hAnsi="Nunito"/>
                <w:sz w:val="23"/>
                <w:szCs w:val="23"/>
              </w:rPr>
            </w:pPr>
            <w:r w:rsidRPr="004F0D94">
              <w:rPr>
                <w:rFonts w:ascii="Nunito" w:hAnsi="Nunito"/>
                <w:sz w:val="23"/>
                <w:szCs w:val="23"/>
              </w:rPr>
              <w:t>Excel/Word</w:t>
            </w:r>
          </w:p>
        </w:tc>
      </w:tr>
    </w:tbl>
    <w:p w14:paraId="35530FF5" w14:textId="77777777" w:rsidR="00473532" w:rsidRPr="000E730E" w:rsidRDefault="00473532" w:rsidP="002C2B00">
      <w:pPr>
        <w:spacing w:before="100" w:beforeAutospacing="1" w:after="100" w:afterAutospacing="1"/>
        <w:jc w:val="both"/>
        <w:rPr>
          <w:rFonts w:ascii="Arial" w:hAnsi="Arial" w:cs="Arial"/>
          <w:sz w:val="22"/>
          <w:szCs w:val="22"/>
        </w:rPr>
      </w:pPr>
    </w:p>
    <w:p w14:paraId="3817AFCE" w14:textId="3CF4ABFB" w:rsidR="00201DD7" w:rsidRPr="002C2B00" w:rsidRDefault="004C7562" w:rsidP="002C2B00">
      <w:pPr>
        <w:numPr>
          <w:ilvl w:val="0"/>
          <w:numId w:val="1"/>
        </w:numPr>
        <w:spacing w:before="100" w:beforeAutospacing="1" w:after="100" w:afterAutospacing="1"/>
        <w:jc w:val="both"/>
        <w:rPr>
          <w:rStyle w:val="normaltextrun"/>
          <w:rFonts w:ascii="Nunito" w:hAnsi="Nunito" w:cs="Segoe UI"/>
          <w:b/>
          <w:bCs/>
          <w:szCs w:val="24"/>
          <w:lang w:val="en-US"/>
        </w:rPr>
      </w:pPr>
      <w:r w:rsidRPr="00AF48D0">
        <w:rPr>
          <w:rStyle w:val="normaltextrun"/>
          <w:rFonts w:ascii="Nunito" w:hAnsi="Nunito" w:cs="Segoe UI"/>
          <w:b/>
          <w:bCs/>
          <w:szCs w:val="24"/>
          <w:lang w:val="en-US"/>
        </w:rPr>
        <w:t xml:space="preserve">PROFIL </w:t>
      </w:r>
      <w:r w:rsidR="00201DD7">
        <w:rPr>
          <w:rStyle w:val="normaltextrun"/>
          <w:rFonts w:ascii="Nunito" w:hAnsi="Nunito" w:cs="Segoe UI"/>
          <w:b/>
          <w:bCs/>
          <w:szCs w:val="24"/>
          <w:lang w:val="en-US"/>
        </w:rPr>
        <w:t xml:space="preserve">DE L’AUDITEUR: </w:t>
      </w:r>
    </w:p>
    <w:p w14:paraId="7FC052CA" w14:textId="24AE2AD7" w:rsidR="00201DD7" w:rsidRDefault="00201DD7" w:rsidP="002C2B00">
      <w:pPr>
        <w:spacing w:before="100" w:beforeAutospacing="1" w:after="100" w:afterAutospacing="1"/>
        <w:jc w:val="both"/>
        <w:rPr>
          <w:rStyle w:val="normaltextrun"/>
          <w:rFonts w:ascii="Nunito" w:hAnsi="Nunito" w:cs="Segoe UI"/>
          <w:szCs w:val="24"/>
        </w:rPr>
      </w:pPr>
      <w:r w:rsidRPr="00201DD7">
        <w:rPr>
          <w:rStyle w:val="normaltextrun"/>
          <w:rFonts w:ascii="Nunito" w:hAnsi="Nunito" w:cs="Segoe UI"/>
          <w:szCs w:val="24"/>
        </w:rPr>
        <w:t>L’</w:t>
      </w:r>
      <w:r>
        <w:rPr>
          <w:rStyle w:val="normaltextrun"/>
          <w:rFonts w:ascii="Nunito" w:hAnsi="Nunito" w:cs="Segoe UI"/>
          <w:szCs w:val="24"/>
        </w:rPr>
        <w:t xml:space="preserve">auditeur devra être expert </w:t>
      </w:r>
      <w:r w:rsidRPr="00201DD7">
        <w:rPr>
          <w:rStyle w:val="normaltextrun"/>
          <w:rFonts w:ascii="Nunito" w:hAnsi="Nunito" w:cs="Segoe UI"/>
          <w:szCs w:val="24"/>
        </w:rPr>
        <w:t xml:space="preserve">dans le domaine de la sécurité </w:t>
      </w:r>
      <w:r w:rsidR="004F0D94" w:rsidRPr="00201DD7">
        <w:rPr>
          <w:rStyle w:val="normaltextrun"/>
          <w:rFonts w:ascii="Nunito" w:hAnsi="Nunito" w:cs="Segoe UI"/>
          <w:szCs w:val="24"/>
        </w:rPr>
        <w:t>informatique</w:t>
      </w:r>
      <w:r w:rsidR="00F5135E">
        <w:rPr>
          <w:rStyle w:val="normaltextrun"/>
          <w:rFonts w:ascii="Nunito" w:hAnsi="Nunito" w:cs="Segoe UI"/>
          <w:szCs w:val="24"/>
        </w:rPr>
        <w:t xml:space="preserve"> et</w:t>
      </w:r>
      <w:r w:rsidR="004F0D94">
        <w:rPr>
          <w:rStyle w:val="normaltextrun"/>
          <w:rFonts w:ascii="Nunito" w:hAnsi="Nunito" w:cs="Segoe UI"/>
          <w:szCs w:val="24"/>
        </w:rPr>
        <w:t xml:space="preserve"> </w:t>
      </w:r>
      <w:r w:rsidR="004F0D94" w:rsidRPr="00201DD7">
        <w:rPr>
          <w:rStyle w:val="normaltextrun"/>
          <w:rFonts w:ascii="Nunito" w:hAnsi="Nunito" w:cs="Segoe UI"/>
          <w:szCs w:val="24"/>
        </w:rPr>
        <w:t>inscrit</w:t>
      </w:r>
      <w:r>
        <w:rPr>
          <w:rStyle w:val="normaltextrun"/>
          <w:rFonts w:ascii="Nunito" w:hAnsi="Nunito" w:cs="Segoe UI"/>
          <w:szCs w:val="24"/>
        </w:rPr>
        <w:t xml:space="preserve"> </w:t>
      </w:r>
      <w:r w:rsidR="00F5135E">
        <w:rPr>
          <w:rStyle w:val="normaltextrun"/>
          <w:rFonts w:ascii="Nunito" w:hAnsi="Nunito" w:cs="Segoe UI"/>
          <w:szCs w:val="24"/>
        </w:rPr>
        <w:t xml:space="preserve">sur </w:t>
      </w:r>
      <w:r>
        <w:rPr>
          <w:rStyle w:val="normaltextrun"/>
          <w:rFonts w:ascii="Nunito" w:hAnsi="Nunito" w:cs="Segoe UI"/>
          <w:szCs w:val="24"/>
        </w:rPr>
        <w:t>la liste des aud</w:t>
      </w:r>
      <w:r w:rsidR="004F0D94">
        <w:rPr>
          <w:rStyle w:val="normaltextrun"/>
          <w:rFonts w:ascii="Nunito" w:hAnsi="Nunito" w:cs="Segoe UI"/>
          <w:szCs w:val="24"/>
        </w:rPr>
        <w:t>iteur</w:t>
      </w:r>
      <w:r w:rsidRPr="00201DD7">
        <w:rPr>
          <w:rStyle w:val="normaltextrun"/>
          <w:rFonts w:ascii="Nunito" w:hAnsi="Nunito" w:cs="Segoe UI"/>
          <w:szCs w:val="24"/>
        </w:rPr>
        <w:t xml:space="preserve"> </w:t>
      </w:r>
      <w:r w:rsidR="004F0D94" w:rsidRPr="00201DD7">
        <w:rPr>
          <w:rStyle w:val="normaltextrun"/>
          <w:rFonts w:ascii="Nunito" w:hAnsi="Nunito" w:cs="Segoe UI"/>
          <w:szCs w:val="24"/>
        </w:rPr>
        <w:t>certifiés de</w:t>
      </w:r>
      <w:r w:rsidRPr="00201DD7">
        <w:rPr>
          <w:rStyle w:val="normaltextrun"/>
          <w:rFonts w:ascii="Nunito" w:hAnsi="Nunito" w:cs="Segoe UI"/>
          <w:szCs w:val="24"/>
        </w:rPr>
        <w:t xml:space="preserve"> l'Agence Nationale de la Cybersécurité</w:t>
      </w:r>
      <w:r w:rsidR="004F0D94">
        <w:rPr>
          <w:rStyle w:val="normaltextrun"/>
          <w:rFonts w:ascii="Nunito" w:hAnsi="Nunito" w:cs="Segoe UI"/>
          <w:szCs w:val="24"/>
        </w:rPr>
        <w:t xml:space="preserve"> </w:t>
      </w:r>
      <w:r w:rsidRPr="00201DD7">
        <w:rPr>
          <w:rStyle w:val="normaltextrun"/>
          <w:rFonts w:ascii="Nunito" w:hAnsi="Nunito" w:cs="Segoe UI"/>
          <w:szCs w:val="24"/>
        </w:rPr>
        <w:t>conformément à l’arrêté du ministre des technologies de la communication et de l'économie numérique et du ministre du développement, de l’investissement et de la coopération internationale du 01 Octobre 2019, fixant le cahier des charges relatif à l'exercice de l’activité d’audit dans le domaine de la sécurité informatique.</w:t>
      </w:r>
    </w:p>
    <w:p w14:paraId="1035113D" w14:textId="77777777" w:rsidR="005A4382" w:rsidRPr="0077720C" w:rsidRDefault="005A4382" w:rsidP="002C2B00">
      <w:pPr>
        <w:pStyle w:val="Retraitcorpsdetexte"/>
        <w:spacing w:before="100" w:beforeAutospacing="1" w:after="100" w:afterAutospacing="1"/>
        <w:ind w:right="0"/>
        <w:rPr>
          <w:rStyle w:val="normaltextrun"/>
          <w:rFonts w:ascii="Nunito" w:hAnsi="Nunito" w:cs="Segoe UI"/>
          <w:b w:val="0"/>
          <w:bCs w:val="0"/>
          <w:szCs w:val="20"/>
          <w:lang w:eastAsia="fr-FR"/>
        </w:rPr>
      </w:pPr>
      <w:r w:rsidRPr="005A4382">
        <w:rPr>
          <w:rStyle w:val="normaltextrun"/>
          <w:rFonts w:ascii="Nunito" w:hAnsi="Nunito" w:cs="Segoe UI"/>
          <w:b w:val="0"/>
          <w:bCs w:val="0"/>
          <w:lang w:eastAsia="fr-FR"/>
        </w:rPr>
        <w:t xml:space="preserve">L’auditeur doit avoir une expérience supérieure ou égale à </w:t>
      </w:r>
      <w:r>
        <w:rPr>
          <w:rStyle w:val="normaltextrun"/>
          <w:rFonts w:ascii="Nunito" w:hAnsi="Nunito" w:cs="Segoe UI"/>
          <w:b w:val="0"/>
          <w:bCs w:val="0"/>
          <w:lang w:eastAsia="fr-FR"/>
        </w:rPr>
        <w:t>3</w:t>
      </w:r>
      <w:r w:rsidRPr="005A4382">
        <w:rPr>
          <w:rStyle w:val="normaltextrun"/>
          <w:rFonts w:ascii="Nunito" w:hAnsi="Nunito" w:cs="Segoe UI"/>
          <w:b w:val="0"/>
          <w:bCs w:val="0"/>
          <w:lang w:eastAsia="fr-FR"/>
        </w:rPr>
        <w:t xml:space="preserve"> ans,</w:t>
      </w:r>
    </w:p>
    <w:p w14:paraId="44F9811D" w14:textId="1AE12F01" w:rsidR="00473532" w:rsidRPr="002C2B00" w:rsidRDefault="005A4382" w:rsidP="002C2B00">
      <w:pPr>
        <w:pStyle w:val="Retraitcorpsdetexte"/>
        <w:spacing w:before="100" w:beforeAutospacing="1" w:after="100" w:afterAutospacing="1"/>
        <w:ind w:right="0"/>
        <w:rPr>
          <w:rFonts w:ascii="Nunito" w:hAnsi="Nunito" w:cs="Segoe UI"/>
          <w:b w:val="0"/>
          <w:bCs w:val="0"/>
          <w:lang w:eastAsia="fr-FR"/>
        </w:rPr>
      </w:pPr>
      <w:r>
        <w:rPr>
          <w:rStyle w:val="normaltextrun"/>
          <w:rFonts w:ascii="Nunito" w:hAnsi="Nunito" w:cs="Segoe UI"/>
          <w:b w:val="0"/>
          <w:bCs w:val="0"/>
          <w:lang w:eastAsia="fr-FR"/>
        </w:rPr>
        <w:t xml:space="preserve">L’auditeur doit </w:t>
      </w:r>
      <w:r w:rsidRPr="005A4382">
        <w:rPr>
          <w:rStyle w:val="normaltextrun"/>
          <w:rFonts w:ascii="Nunito" w:hAnsi="Nunito" w:cs="Segoe UI"/>
          <w:b w:val="0"/>
          <w:bCs w:val="0"/>
          <w:lang w:eastAsia="fr-FR"/>
        </w:rPr>
        <w:t xml:space="preserve">avoir piloté au moins </w:t>
      </w:r>
      <w:r>
        <w:rPr>
          <w:rStyle w:val="normaltextrun"/>
          <w:rFonts w:ascii="Nunito" w:hAnsi="Nunito" w:cs="Segoe UI"/>
          <w:b w:val="0"/>
          <w:bCs w:val="0"/>
          <w:lang w:eastAsia="fr-FR"/>
        </w:rPr>
        <w:t>3</w:t>
      </w:r>
      <w:r w:rsidRPr="005A4382">
        <w:rPr>
          <w:rStyle w:val="normaltextrun"/>
          <w:rFonts w:ascii="Nunito" w:hAnsi="Nunito" w:cs="Segoe UI"/>
          <w:b w:val="0"/>
          <w:bCs w:val="0"/>
          <w:lang w:eastAsia="fr-FR"/>
        </w:rPr>
        <w:t xml:space="preserve"> missions d’audit de sécurité des systèmes d’information </w:t>
      </w:r>
    </w:p>
    <w:p w14:paraId="17CA347B" w14:textId="4D470E0D" w:rsidR="00E442A6" w:rsidRPr="002C2B00" w:rsidRDefault="00473532" w:rsidP="002C2B00">
      <w:pPr>
        <w:numPr>
          <w:ilvl w:val="0"/>
          <w:numId w:val="1"/>
        </w:numPr>
        <w:spacing w:before="100" w:beforeAutospacing="1" w:after="100" w:afterAutospacing="1"/>
        <w:jc w:val="both"/>
        <w:rPr>
          <w:rFonts w:ascii="Nunito" w:hAnsi="Nunito" w:cs="Segoe UI"/>
          <w:b/>
          <w:szCs w:val="24"/>
          <w:lang w:val="en-US"/>
        </w:rPr>
      </w:pPr>
      <w:r w:rsidRPr="00AF48D0">
        <w:rPr>
          <w:rStyle w:val="normaltextrun"/>
          <w:rFonts w:ascii="Nunito" w:hAnsi="Nunito" w:cs="Segoe UI"/>
          <w:b/>
          <w:szCs w:val="24"/>
          <w:lang w:val="en-US"/>
        </w:rPr>
        <w:t>DUREE ET LIEU D’EXECUTION</w:t>
      </w:r>
    </w:p>
    <w:p w14:paraId="5AC83432" w14:textId="723B1202" w:rsidR="00AF48D0" w:rsidRPr="002C2B00" w:rsidRDefault="005A4382" w:rsidP="002C2B00">
      <w:pPr>
        <w:spacing w:before="100" w:beforeAutospacing="1" w:after="100" w:afterAutospacing="1"/>
        <w:jc w:val="both"/>
        <w:rPr>
          <w:rFonts w:ascii="Nunito" w:hAnsi="Nunito" w:cs="Segoe UI"/>
          <w:szCs w:val="24"/>
        </w:rPr>
      </w:pPr>
      <w:r w:rsidRPr="0077720C">
        <w:rPr>
          <w:rStyle w:val="normaltextrun"/>
          <w:rFonts w:ascii="Nunito" w:hAnsi="Nunito" w:cs="Segoe UI"/>
          <w:szCs w:val="24"/>
        </w:rPr>
        <w:t xml:space="preserve">La mission se déroulera à Tunis, avec une durée estimative </w:t>
      </w:r>
      <w:r w:rsidR="000C7CFC" w:rsidRPr="0077720C">
        <w:rPr>
          <w:rStyle w:val="normaltextrun"/>
          <w:rFonts w:ascii="Nunito" w:hAnsi="Nunito" w:cs="Segoe UI"/>
          <w:szCs w:val="24"/>
        </w:rPr>
        <w:t>de 8 à 10 jours/hommes</w:t>
      </w:r>
      <w:r w:rsidR="00D24F46" w:rsidRPr="0077720C">
        <w:rPr>
          <w:rStyle w:val="normaltextrun"/>
          <w:rFonts w:ascii="Nunito" w:hAnsi="Nunito" w:cs="Segoe UI"/>
          <w:szCs w:val="24"/>
        </w:rPr>
        <w:t>.</w:t>
      </w:r>
    </w:p>
    <w:p w14:paraId="5D8783F8" w14:textId="039B9AF3" w:rsidR="008B7419" w:rsidRPr="002C2B00" w:rsidRDefault="00B15EFE" w:rsidP="002C2B00">
      <w:pPr>
        <w:numPr>
          <w:ilvl w:val="0"/>
          <w:numId w:val="1"/>
        </w:numPr>
        <w:spacing w:before="100" w:beforeAutospacing="1" w:after="100" w:afterAutospacing="1"/>
        <w:jc w:val="both"/>
        <w:rPr>
          <w:rFonts w:ascii="Nunito" w:hAnsi="Nunito" w:cs="Segoe UI"/>
          <w:b/>
          <w:bCs/>
          <w:szCs w:val="24"/>
        </w:rPr>
      </w:pPr>
      <w:r>
        <w:rPr>
          <w:rStyle w:val="normaltextrun"/>
          <w:rFonts w:ascii="Nunito" w:hAnsi="Nunito" w:cs="Segoe UI"/>
          <w:b/>
          <w:bCs/>
          <w:szCs w:val="24"/>
        </w:rPr>
        <w:t>COMPOSITION,</w:t>
      </w:r>
      <w:r w:rsidR="00E27914">
        <w:rPr>
          <w:rStyle w:val="normaltextrun"/>
          <w:rFonts w:ascii="Nunito" w:hAnsi="Nunito" w:cs="Segoe UI"/>
          <w:b/>
          <w:bCs/>
          <w:szCs w:val="24"/>
        </w:rPr>
        <w:t xml:space="preserve"> SOUMISSION ET EVALUATION DES OFFRES</w:t>
      </w:r>
    </w:p>
    <w:p w14:paraId="2379F703" w14:textId="5832A6BD" w:rsidR="007A1E66" w:rsidRPr="002C2B00" w:rsidRDefault="00C90F83" w:rsidP="002C2B00">
      <w:pPr>
        <w:spacing w:before="100" w:beforeAutospacing="1" w:after="100" w:afterAutospacing="1" w:line="259" w:lineRule="auto"/>
        <w:rPr>
          <w:rStyle w:val="normaltextrun"/>
          <w:rFonts w:ascii="Nunito" w:hAnsi="Nunito" w:cs="Segoe UI"/>
          <w:b/>
          <w:bCs/>
          <w:szCs w:val="24"/>
        </w:rPr>
      </w:pPr>
      <w:r w:rsidRPr="002C2B00">
        <w:rPr>
          <w:rStyle w:val="normaltextrun"/>
          <w:rFonts w:ascii="Nunito" w:hAnsi="Nunito" w:cs="Segoe UI"/>
          <w:b/>
          <w:bCs/>
        </w:rPr>
        <w:t>5.1</w:t>
      </w:r>
      <w:r w:rsidR="00E27914" w:rsidRPr="002C2B00">
        <w:rPr>
          <w:rStyle w:val="normaltextrun"/>
          <w:rFonts w:ascii="Nunito" w:hAnsi="Nunito" w:cs="Segoe UI"/>
          <w:b/>
          <w:bCs/>
        </w:rPr>
        <w:t xml:space="preserve"> </w:t>
      </w:r>
      <w:r w:rsidR="008B7419" w:rsidRPr="002C2B00">
        <w:rPr>
          <w:rStyle w:val="normaltextrun"/>
          <w:rFonts w:ascii="Nunito" w:hAnsi="Nunito" w:cs="Segoe UI"/>
          <w:b/>
          <w:bCs/>
        </w:rPr>
        <w:t>Composition des offres</w:t>
      </w:r>
    </w:p>
    <w:p w14:paraId="14856880" w14:textId="1EDAA498" w:rsidR="00A644EA" w:rsidRPr="002C2B00" w:rsidRDefault="008B7419" w:rsidP="002C2B00">
      <w:pPr>
        <w:spacing w:before="100" w:beforeAutospacing="1" w:after="100" w:afterAutospacing="1"/>
        <w:rPr>
          <w:rFonts w:ascii="Nunito" w:hAnsi="Nunito" w:cs="Segoe UI"/>
          <w:szCs w:val="24"/>
        </w:rPr>
      </w:pPr>
      <w:r w:rsidRPr="007A1E66">
        <w:rPr>
          <w:rStyle w:val="normaltextrun"/>
          <w:rFonts w:ascii="Nunito" w:hAnsi="Nunito" w:cs="Segoe UI"/>
          <w:szCs w:val="24"/>
        </w:rPr>
        <w:t>L’offre sera composée de 3 dossiers de soumission :</w:t>
      </w:r>
    </w:p>
    <w:p w14:paraId="5D06C4F3" w14:textId="26B90C64" w:rsidR="0019580A" w:rsidRPr="002C2B00" w:rsidRDefault="00DE53CC" w:rsidP="002C2B00">
      <w:pPr>
        <w:pStyle w:val="Paragraphedeliste"/>
        <w:numPr>
          <w:ilvl w:val="0"/>
          <w:numId w:val="16"/>
        </w:numPr>
        <w:spacing w:before="100" w:beforeAutospacing="1" w:after="100" w:afterAutospacing="1"/>
        <w:rPr>
          <w:rStyle w:val="normaltextrun"/>
          <w:rFonts w:ascii="Nunito" w:hAnsi="Nunito" w:cs="Segoe UI"/>
          <w:u w:val="single"/>
          <w:lang w:val="en-US"/>
        </w:rPr>
      </w:pPr>
      <w:r w:rsidRPr="002C2B00">
        <w:rPr>
          <w:rStyle w:val="normaltextrun"/>
          <w:rFonts w:ascii="Nunito" w:hAnsi="Nunito" w:cs="Segoe UI"/>
          <w:u w:val="single"/>
          <w:lang w:val="en-US"/>
        </w:rPr>
        <w:t xml:space="preserve">Un dossier technique </w:t>
      </w:r>
      <w:r w:rsidR="000C7CFC" w:rsidRPr="00B5179A">
        <w:rPr>
          <w:rStyle w:val="normaltextrun"/>
          <w:rFonts w:ascii="Nunito" w:hAnsi="Nunito" w:cs="Segoe UI"/>
          <w:u w:val="single"/>
        </w:rPr>
        <w:t>in</w:t>
      </w:r>
      <w:r w:rsidR="00B15EFE" w:rsidRPr="00B5179A">
        <w:rPr>
          <w:rStyle w:val="normaltextrun"/>
          <w:rFonts w:ascii="Nunito" w:hAnsi="Nunito" w:cs="Segoe UI"/>
          <w:u w:val="single"/>
        </w:rPr>
        <w:t>c</w:t>
      </w:r>
      <w:r w:rsidR="000E38F1" w:rsidRPr="00B5179A">
        <w:rPr>
          <w:rStyle w:val="normaltextrun"/>
          <w:rFonts w:ascii="Nunito" w:hAnsi="Nunito" w:cs="Segoe UI"/>
          <w:u w:val="single"/>
        </w:rPr>
        <w:t>l</w:t>
      </w:r>
      <w:r w:rsidR="00B15EFE" w:rsidRPr="00B5179A">
        <w:rPr>
          <w:rStyle w:val="normaltextrun"/>
          <w:rFonts w:ascii="Nunito" w:hAnsi="Nunito" w:cs="Segoe UI"/>
          <w:u w:val="single"/>
        </w:rPr>
        <w:t>uant</w:t>
      </w:r>
      <w:r w:rsidRPr="002C2B00">
        <w:rPr>
          <w:rStyle w:val="normaltextrun"/>
          <w:rFonts w:ascii="Nunito" w:hAnsi="Nunito" w:cs="Segoe UI"/>
          <w:u w:val="single"/>
          <w:lang w:val="en-US"/>
        </w:rPr>
        <w:t>:</w:t>
      </w:r>
    </w:p>
    <w:p w14:paraId="3B927808" w14:textId="77777777" w:rsidR="002C2B00" w:rsidRPr="0019580A" w:rsidRDefault="002C2B00" w:rsidP="002C2B00">
      <w:pPr>
        <w:spacing w:before="100" w:beforeAutospacing="1" w:after="100" w:afterAutospacing="1"/>
        <w:rPr>
          <w:rStyle w:val="normaltextrun"/>
          <w:rFonts w:ascii="Nunito" w:hAnsi="Nunito" w:cs="Segoe UI"/>
          <w:szCs w:val="24"/>
          <w:u w:val="single"/>
          <w:lang w:val="en-US"/>
        </w:rPr>
      </w:pPr>
    </w:p>
    <w:p w14:paraId="67BE7EEF" w14:textId="0EC1514E" w:rsidR="008B7419" w:rsidRPr="00DC213C" w:rsidRDefault="008B7419" w:rsidP="002C2B00">
      <w:pPr>
        <w:pStyle w:val="Paragraphedeliste"/>
        <w:numPr>
          <w:ilvl w:val="0"/>
          <w:numId w:val="5"/>
        </w:numPr>
        <w:spacing w:before="100" w:beforeAutospacing="1" w:after="100" w:afterAutospacing="1" w:line="259" w:lineRule="auto"/>
        <w:jc w:val="both"/>
        <w:rPr>
          <w:rStyle w:val="normaltextrun"/>
          <w:rFonts w:ascii="Nunito" w:hAnsi="Nunito" w:cs="Segoe UI"/>
        </w:rPr>
      </w:pPr>
      <w:r w:rsidRPr="00A27B9B">
        <w:rPr>
          <w:rStyle w:val="normaltextrun"/>
          <w:rFonts w:ascii="Nunito" w:hAnsi="Nunito" w:cs="Segoe UI"/>
          <w:b/>
          <w:bCs/>
        </w:rPr>
        <w:lastRenderedPageBreak/>
        <w:t>Une proposition méthodologique</w:t>
      </w:r>
      <w:r w:rsidRPr="00A27B9B">
        <w:rPr>
          <w:rStyle w:val="normaltextrun"/>
          <w:rFonts w:ascii="Nunito" w:hAnsi="Nunito" w:cs="Segoe UI"/>
        </w:rPr>
        <w:t xml:space="preserve"> pour mener cet </w:t>
      </w:r>
      <w:r w:rsidR="00B15EFE">
        <w:rPr>
          <w:rStyle w:val="normaltextrun"/>
          <w:rFonts w:ascii="Nunito" w:hAnsi="Nunito" w:cs="Segoe UI"/>
        </w:rPr>
        <w:t xml:space="preserve">audit </w:t>
      </w:r>
      <w:r w:rsidR="00B15EFE" w:rsidRPr="00A27B9B">
        <w:rPr>
          <w:rStyle w:val="normaltextrun"/>
          <w:rFonts w:ascii="Nunito" w:hAnsi="Nunito" w:cs="Segoe UI"/>
        </w:rPr>
        <w:t>avec</w:t>
      </w:r>
      <w:r w:rsidRPr="00A27B9B">
        <w:rPr>
          <w:rStyle w:val="normaltextrun"/>
          <w:rFonts w:ascii="Nunito" w:hAnsi="Nunito" w:cs="Segoe UI"/>
        </w:rPr>
        <w:t xml:space="preserve"> </w:t>
      </w:r>
      <w:r w:rsidR="001A4046" w:rsidRPr="00A27B9B">
        <w:rPr>
          <w:rStyle w:val="normaltextrun"/>
          <w:rFonts w:ascii="Nunito" w:hAnsi="Nunito" w:cs="Segoe UI"/>
        </w:rPr>
        <w:t xml:space="preserve">à </w:t>
      </w:r>
      <w:r w:rsidRPr="00A27B9B">
        <w:rPr>
          <w:rStyle w:val="normaltextrun"/>
          <w:rFonts w:ascii="Nunito" w:hAnsi="Nunito" w:cs="Segoe UI"/>
        </w:rPr>
        <w:t>minima la compréhension des enjeux des termes de référenc</w:t>
      </w:r>
      <w:r w:rsidR="00B15EFE">
        <w:rPr>
          <w:rStyle w:val="normaltextrun"/>
          <w:rFonts w:ascii="Nunito" w:hAnsi="Nunito" w:cs="Segoe UI"/>
        </w:rPr>
        <w:t xml:space="preserve">e </w:t>
      </w:r>
      <w:r w:rsidRPr="00A27B9B">
        <w:rPr>
          <w:rStyle w:val="normaltextrun"/>
          <w:rFonts w:ascii="Nunito" w:hAnsi="Nunito" w:cs="Segoe UI"/>
        </w:rPr>
        <w:t>; la présentation du cadre méthodologique</w:t>
      </w:r>
      <w:r w:rsidR="001B58D9">
        <w:rPr>
          <w:rStyle w:val="normaltextrun"/>
          <w:rFonts w:ascii="Nunito" w:hAnsi="Nunito" w:cs="Segoe UI"/>
        </w:rPr>
        <w:t> ; les livrables</w:t>
      </w:r>
      <w:r w:rsidRPr="00DC213C">
        <w:rPr>
          <w:rStyle w:val="normaltextrun"/>
          <w:rFonts w:ascii="Nunito" w:hAnsi="Nunito" w:cs="Segoe UI"/>
        </w:rPr>
        <w:t>.</w:t>
      </w:r>
    </w:p>
    <w:p w14:paraId="12187CCE" w14:textId="77777777" w:rsidR="008B7419" w:rsidRPr="00D971B9" w:rsidRDefault="008B7419" w:rsidP="002C2B00">
      <w:pPr>
        <w:pStyle w:val="Paragraphedeliste"/>
        <w:spacing w:before="100" w:beforeAutospacing="1" w:after="100" w:afterAutospacing="1"/>
        <w:jc w:val="both"/>
        <w:rPr>
          <w:rFonts w:ascii="Arial" w:hAnsi="Arial" w:cs="Arial"/>
          <w:sz w:val="20"/>
          <w:szCs w:val="20"/>
        </w:rPr>
      </w:pPr>
    </w:p>
    <w:p w14:paraId="5078A67A" w14:textId="77777777" w:rsidR="008B7419" w:rsidRPr="00B15EFE" w:rsidRDefault="00B15EFE" w:rsidP="002C2B00">
      <w:pPr>
        <w:pStyle w:val="Paragraphedeliste"/>
        <w:numPr>
          <w:ilvl w:val="0"/>
          <w:numId w:val="3"/>
        </w:numPr>
        <w:spacing w:before="100" w:beforeAutospacing="1" w:after="100" w:afterAutospacing="1" w:line="259" w:lineRule="auto"/>
        <w:jc w:val="both"/>
        <w:rPr>
          <w:rStyle w:val="normaltextrun"/>
          <w:rFonts w:ascii="Nunito" w:hAnsi="Nunito" w:cs="Segoe UI"/>
        </w:rPr>
      </w:pPr>
      <w:r w:rsidRPr="00B15EFE">
        <w:rPr>
          <w:rStyle w:val="normaltextrun"/>
          <w:rFonts w:ascii="Nunito" w:hAnsi="Nunito" w:cs="Segoe UI"/>
        </w:rPr>
        <w:t>Présentation</w:t>
      </w:r>
      <w:r w:rsidR="008B7419" w:rsidRPr="00B15EFE">
        <w:rPr>
          <w:rStyle w:val="normaltextrun"/>
          <w:rFonts w:ascii="Nunito" w:hAnsi="Nunito" w:cs="Segoe UI"/>
        </w:rPr>
        <w:t xml:space="preserve"> </w:t>
      </w:r>
      <w:r w:rsidRPr="00B15EFE">
        <w:rPr>
          <w:rStyle w:val="normaltextrun"/>
          <w:rFonts w:ascii="Nunito" w:hAnsi="Nunito" w:cs="Segoe UI"/>
        </w:rPr>
        <w:t>de l’auditeur (Un</w:t>
      </w:r>
      <w:r w:rsidR="008B7419" w:rsidRPr="00B15EFE">
        <w:rPr>
          <w:rStyle w:val="normaltextrun"/>
          <w:rFonts w:ascii="Nunito" w:hAnsi="Nunito" w:cs="Segoe UI"/>
        </w:rPr>
        <w:t xml:space="preserve"> curriculum vitae</w:t>
      </w:r>
      <w:r>
        <w:rPr>
          <w:rStyle w:val="normaltextrun"/>
          <w:rFonts w:ascii="Nunito" w:hAnsi="Nunito" w:cs="Segoe UI"/>
        </w:rPr>
        <w:t> : f</w:t>
      </w:r>
      <w:r w:rsidR="008B7419" w:rsidRPr="00B15EFE">
        <w:rPr>
          <w:rStyle w:val="normaltextrun"/>
          <w:rFonts w:ascii="Nunito" w:hAnsi="Nunito" w:cs="Segoe UI"/>
        </w:rPr>
        <w:t xml:space="preserve">ormation, expériences professionnelles, </w:t>
      </w:r>
      <w:r>
        <w:rPr>
          <w:rStyle w:val="normaltextrun"/>
          <w:rFonts w:ascii="Nunito" w:hAnsi="Nunito" w:cs="Segoe UI"/>
        </w:rPr>
        <w:t xml:space="preserve">références </w:t>
      </w:r>
      <w:r w:rsidRPr="00B15EFE">
        <w:rPr>
          <w:rStyle w:val="normaltextrun"/>
          <w:rFonts w:ascii="Nunito" w:hAnsi="Nunito" w:cs="Segoe UI"/>
        </w:rPr>
        <w:t>clés</w:t>
      </w:r>
      <w:r>
        <w:rPr>
          <w:rStyle w:val="normaltextrun"/>
          <w:rFonts w:ascii="Nunito" w:hAnsi="Nunito" w:cs="Segoe UI"/>
        </w:rPr>
        <w:t xml:space="preserve">, </w:t>
      </w:r>
      <w:r w:rsidR="000C7CFC" w:rsidRPr="000C7CFC">
        <w:rPr>
          <w:rStyle w:val="normaltextrun"/>
          <w:rFonts w:ascii="Nunito" w:hAnsi="Nunito" w:cs="Segoe UI"/>
          <w:b/>
          <w:bCs/>
        </w:rPr>
        <w:t>certificats</w:t>
      </w:r>
      <w:r w:rsidR="000C7CFC">
        <w:rPr>
          <w:rStyle w:val="normaltextrun"/>
          <w:rFonts w:ascii="Nunito" w:hAnsi="Nunito" w:cs="Segoe UI"/>
        </w:rPr>
        <w:t xml:space="preserve">, </w:t>
      </w:r>
      <w:r>
        <w:rPr>
          <w:rStyle w:val="normaltextrun"/>
          <w:rFonts w:ascii="Nunito" w:hAnsi="Nunito" w:cs="Segoe UI"/>
        </w:rPr>
        <w:t>…)</w:t>
      </w:r>
    </w:p>
    <w:p w14:paraId="3314FFC5" w14:textId="346D7F43" w:rsidR="008B7419" w:rsidRPr="00273138" w:rsidRDefault="00B15EFE" w:rsidP="002C2B00">
      <w:pPr>
        <w:pStyle w:val="Paragraphedeliste"/>
        <w:numPr>
          <w:ilvl w:val="0"/>
          <w:numId w:val="3"/>
        </w:numPr>
        <w:spacing w:before="100" w:beforeAutospacing="1" w:after="100" w:afterAutospacing="1" w:line="259" w:lineRule="auto"/>
        <w:jc w:val="both"/>
        <w:rPr>
          <w:rFonts w:ascii="Arial" w:hAnsi="Arial" w:cs="Arial"/>
          <w:sz w:val="20"/>
          <w:szCs w:val="20"/>
        </w:rPr>
      </w:pPr>
      <w:r w:rsidRPr="00273138">
        <w:rPr>
          <w:rStyle w:val="normaltextrun"/>
          <w:rFonts w:ascii="Nunito" w:hAnsi="Nunito" w:cs="Segoe UI"/>
        </w:rPr>
        <w:t>Références</w:t>
      </w:r>
      <w:r w:rsidR="008B7419" w:rsidRPr="00273138">
        <w:rPr>
          <w:rStyle w:val="normaltextrun"/>
          <w:rFonts w:ascii="Nunito" w:hAnsi="Nunito" w:cs="Segoe UI"/>
        </w:rPr>
        <w:t xml:space="preserve"> de consultances précédentes pour des</w:t>
      </w:r>
      <w:r w:rsidR="001B58D9" w:rsidRPr="00273138">
        <w:rPr>
          <w:rStyle w:val="normaltextrun"/>
          <w:rFonts w:ascii="Nunito" w:hAnsi="Nunito" w:cs="Segoe UI"/>
        </w:rPr>
        <w:t xml:space="preserve"> travaux similaires</w:t>
      </w:r>
      <w:r w:rsidR="008B7419" w:rsidRPr="00273138">
        <w:rPr>
          <w:rStyle w:val="normaltextrun"/>
          <w:rFonts w:ascii="Nunito" w:hAnsi="Nunito" w:cs="Segoe UI"/>
        </w:rPr>
        <w:t xml:space="preserve">. </w:t>
      </w:r>
    </w:p>
    <w:p w14:paraId="1EFB713C" w14:textId="364B88D9" w:rsidR="008B7419" w:rsidRDefault="008B7419" w:rsidP="002C2B00">
      <w:pPr>
        <w:pStyle w:val="Paragraphedeliste"/>
        <w:numPr>
          <w:ilvl w:val="0"/>
          <w:numId w:val="5"/>
        </w:numPr>
        <w:spacing w:before="100" w:beforeAutospacing="1" w:after="100" w:afterAutospacing="1" w:line="259" w:lineRule="auto"/>
        <w:jc w:val="both"/>
        <w:rPr>
          <w:rStyle w:val="normaltextrun"/>
          <w:rFonts w:ascii="Nunito" w:hAnsi="Nunito" w:cs="Segoe UI"/>
        </w:rPr>
      </w:pPr>
      <w:r w:rsidRPr="00AB7A9E">
        <w:rPr>
          <w:rStyle w:val="normaltextrun"/>
          <w:rFonts w:ascii="Nunito" w:hAnsi="Nunito" w:cs="Segoe UI"/>
        </w:rPr>
        <w:t xml:space="preserve">Un calendrier de travail détaillant les étapes de la mission </w:t>
      </w:r>
      <w:r w:rsidR="000C7CFC" w:rsidRPr="00AB7A9E">
        <w:rPr>
          <w:rStyle w:val="normaltextrun"/>
          <w:rFonts w:ascii="Nunito" w:hAnsi="Nunito" w:cs="Segoe UI"/>
        </w:rPr>
        <w:t>d</w:t>
      </w:r>
      <w:r w:rsidR="00AB7A9E" w:rsidRPr="00AB7A9E">
        <w:rPr>
          <w:rStyle w:val="normaltextrun"/>
          <w:rFonts w:ascii="Nunito" w:hAnsi="Nunito" w:cs="Segoe UI"/>
        </w:rPr>
        <w:t>e</w:t>
      </w:r>
      <w:r w:rsidR="00AB7A9E">
        <w:rPr>
          <w:rStyle w:val="normaltextrun"/>
          <w:rFonts w:ascii="Nunito" w:hAnsi="Nunito" w:cs="Segoe UI"/>
        </w:rPr>
        <w:t xml:space="preserve"> l</w:t>
      </w:r>
      <w:r w:rsidR="00AB7A9E" w:rsidRPr="00AB7A9E">
        <w:rPr>
          <w:rStyle w:val="normaltextrun"/>
          <w:rFonts w:ascii="Nunito" w:hAnsi="Nunito" w:cs="Segoe UI"/>
        </w:rPr>
        <w:t>’audit.</w:t>
      </w:r>
      <w:r w:rsidRPr="00AB7A9E">
        <w:rPr>
          <w:rStyle w:val="normaltextrun"/>
          <w:rFonts w:ascii="Nunito" w:hAnsi="Nunito" w:cs="Segoe UI"/>
        </w:rPr>
        <w:t xml:space="preserve"> </w:t>
      </w:r>
    </w:p>
    <w:p w14:paraId="6CB00748" w14:textId="77777777" w:rsidR="002C2B00" w:rsidRPr="002C2B00" w:rsidRDefault="002C2B00" w:rsidP="002C2B00">
      <w:pPr>
        <w:pStyle w:val="Paragraphedeliste"/>
        <w:spacing w:before="100" w:beforeAutospacing="1" w:after="100" w:afterAutospacing="1" w:line="259" w:lineRule="auto"/>
        <w:jc w:val="both"/>
        <w:rPr>
          <w:rFonts w:ascii="Nunito" w:hAnsi="Nunito" w:cs="Segoe UI"/>
        </w:rPr>
      </w:pPr>
    </w:p>
    <w:p w14:paraId="74E63511" w14:textId="77777777" w:rsidR="002C2B00" w:rsidRPr="002C2B00" w:rsidRDefault="008B7419" w:rsidP="002C2B00">
      <w:pPr>
        <w:pStyle w:val="Paragraphedeliste"/>
        <w:numPr>
          <w:ilvl w:val="0"/>
          <w:numId w:val="16"/>
        </w:numPr>
        <w:spacing w:before="100" w:beforeAutospacing="1" w:after="100" w:afterAutospacing="1"/>
        <w:jc w:val="both"/>
        <w:rPr>
          <w:rStyle w:val="normaltextrun"/>
          <w:rFonts w:ascii="Arial" w:hAnsi="Arial" w:cs="Arial"/>
          <w:sz w:val="20"/>
        </w:rPr>
      </w:pPr>
      <w:r w:rsidRPr="002C2B00">
        <w:rPr>
          <w:rStyle w:val="normaltextrun"/>
          <w:rFonts w:ascii="Nunito" w:hAnsi="Nunito" w:cs="Segoe UI"/>
          <w:u w:val="single"/>
        </w:rPr>
        <w:t>Un dossier financier</w:t>
      </w:r>
      <w:r w:rsidR="0019580A" w:rsidRPr="002C2B00">
        <w:rPr>
          <w:rStyle w:val="normaltextrun"/>
          <w:rFonts w:ascii="Nunito" w:hAnsi="Nunito" w:cs="Segoe UI"/>
          <w:u w:val="single"/>
        </w:rPr>
        <w:t xml:space="preserve"> incluant :</w:t>
      </w:r>
    </w:p>
    <w:p w14:paraId="350C116E" w14:textId="4E042BC1" w:rsidR="00A644EA" w:rsidRPr="002C2B00" w:rsidRDefault="0019580A" w:rsidP="002C2B00">
      <w:pPr>
        <w:pStyle w:val="Paragraphedeliste"/>
        <w:numPr>
          <w:ilvl w:val="0"/>
          <w:numId w:val="5"/>
        </w:numPr>
        <w:spacing w:before="100" w:beforeAutospacing="1" w:after="100" w:afterAutospacing="1"/>
        <w:jc w:val="both"/>
        <w:rPr>
          <w:rFonts w:ascii="Arial" w:hAnsi="Arial" w:cs="Arial"/>
          <w:sz w:val="20"/>
        </w:rPr>
      </w:pPr>
      <w:r w:rsidRPr="002C2B00">
        <w:rPr>
          <w:rStyle w:val="normaltextrun"/>
          <w:rFonts w:ascii="Nunito" w:hAnsi="Nunito" w:cs="Segoe UI"/>
        </w:rPr>
        <w:t>U</w:t>
      </w:r>
      <w:r w:rsidR="008B7419" w:rsidRPr="002C2B00">
        <w:rPr>
          <w:rStyle w:val="normaltextrun"/>
          <w:rFonts w:ascii="Nunito" w:hAnsi="Nunito" w:cs="Segoe UI"/>
        </w:rPr>
        <w:t>ne offre financière en HT en</w:t>
      </w:r>
      <w:r w:rsidR="00A644EA" w:rsidRPr="002C2B00">
        <w:rPr>
          <w:rStyle w:val="normaltextrun"/>
          <w:rFonts w:ascii="Nunito" w:hAnsi="Nunito" w:cs="Segoe UI"/>
        </w:rPr>
        <w:t xml:space="preserve"> T</w:t>
      </w:r>
      <w:r w:rsidR="009C38F5" w:rsidRPr="002C2B00">
        <w:rPr>
          <w:rStyle w:val="normaltextrun"/>
          <w:rFonts w:ascii="Nunito" w:hAnsi="Nunito" w:cs="Segoe UI"/>
        </w:rPr>
        <w:t>TC</w:t>
      </w:r>
      <w:r w:rsidR="008B7419" w:rsidRPr="002C2B00">
        <w:rPr>
          <w:rStyle w:val="normaltextrun"/>
          <w:rFonts w:ascii="Nunito" w:hAnsi="Nunito" w:cs="Segoe UI"/>
        </w:rPr>
        <w:t xml:space="preserve"> </w:t>
      </w:r>
    </w:p>
    <w:p w14:paraId="0C07D4B4" w14:textId="110F7969" w:rsidR="00A644EA" w:rsidRDefault="008B7419" w:rsidP="002C2B00">
      <w:pPr>
        <w:spacing w:before="100" w:beforeAutospacing="1" w:after="100" w:afterAutospacing="1"/>
        <w:jc w:val="both"/>
        <w:rPr>
          <w:rFonts w:ascii="Arial" w:hAnsi="Arial" w:cs="Arial"/>
          <w:sz w:val="20"/>
        </w:rPr>
      </w:pPr>
      <w:r w:rsidRPr="0019580A">
        <w:rPr>
          <w:rStyle w:val="normaltextrun"/>
          <w:rFonts w:ascii="Nunito" w:hAnsi="Nunito" w:cs="Segoe UI"/>
          <w:szCs w:val="24"/>
          <w:u w:val="single"/>
        </w:rPr>
        <w:t>Un dossier administrati</w:t>
      </w:r>
      <w:r w:rsidR="0019580A">
        <w:rPr>
          <w:rStyle w:val="normaltextrun"/>
          <w:rFonts w:ascii="Nunito" w:hAnsi="Nunito" w:cs="Segoe UI"/>
          <w:szCs w:val="24"/>
          <w:u w:val="single"/>
        </w:rPr>
        <w:t xml:space="preserve">f </w:t>
      </w:r>
      <w:r w:rsidR="00FE2083">
        <w:rPr>
          <w:rStyle w:val="normaltextrun"/>
          <w:rFonts w:ascii="Nunito" w:hAnsi="Nunito" w:cs="Segoe UI"/>
          <w:szCs w:val="24"/>
          <w:u w:val="single"/>
        </w:rPr>
        <w:t>incluant</w:t>
      </w:r>
      <w:r w:rsidR="00FE2083" w:rsidRPr="008B7419">
        <w:rPr>
          <w:rFonts w:ascii="Arial" w:hAnsi="Arial" w:cs="Arial"/>
          <w:sz w:val="20"/>
        </w:rPr>
        <w:t xml:space="preserve"> :</w:t>
      </w:r>
    </w:p>
    <w:p w14:paraId="2377A6D4" w14:textId="77777777" w:rsidR="00A644EA" w:rsidRPr="00DC213C" w:rsidRDefault="00A644EA" w:rsidP="002C2B00">
      <w:pPr>
        <w:pStyle w:val="Paragraphedeliste"/>
        <w:numPr>
          <w:ilvl w:val="0"/>
          <w:numId w:val="4"/>
        </w:numPr>
        <w:spacing w:before="100" w:beforeAutospacing="1" w:after="100" w:afterAutospacing="1" w:line="259" w:lineRule="auto"/>
        <w:jc w:val="both"/>
        <w:rPr>
          <w:rStyle w:val="normaltextrun"/>
          <w:rFonts w:ascii="Nunito" w:hAnsi="Nunito" w:cs="Segoe UI"/>
        </w:rPr>
      </w:pPr>
      <w:r w:rsidRPr="00DC213C">
        <w:rPr>
          <w:rStyle w:val="normaltextrun"/>
          <w:rFonts w:ascii="Nunito" w:hAnsi="Nunito" w:cs="Segoe UI"/>
        </w:rPr>
        <w:t>RNE/Patente pour les entreprises de consultances</w:t>
      </w:r>
      <w:r w:rsidR="00DC213C">
        <w:rPr>
          <w:rStyle w:val="normaltextrun"/>
          <w:rFonts w:ascii="Nunito" w:hAnsi="Nunito" w:cs="Segoe UI"/>
        </w:rPr>
        <w:t xml:space="preserve"> ou</w:t>
      </w:r>
      <w:r w:rsidR="00DC213C" w:rsidRPr="00DC213C">
        <w:rPr>
          <w:rStyle w:val="normaltextrun"/>
          <w:rFonts w:ascii="Nunito" w:hAnsi="Nunito" w:cs="Segoe UI"/>
        </w:rPr>
        <w:t xml:space="preserve"> </w:t>
      </w:r>
      <w:r w:rsidR="00DC213C" w:rsidRPr="0019580A">
        <w:rPr>
          <w:rStyle w:val="normaltextrun"/>
          <w:rFonts w:ascii="Nunito" w:hAnsi="Nunito" w:cs="Segoe UI"/>
        </w:rPr>
        <w:t xml:space="preserve">La preuve de la légalité de son activité sur la base du cadre légal de son pays d’enregistrement </w:t>
      </w:r>
    </w:p>
    <w:p w14:paraId="4047D7A6" w14:textId="77777777" w:rsidR="0000268D" w:rsidRPr="00C374D0" w:rsidRDefault="0000268D" w:rsidP="002C2B00">
      <w:pPr>
        <w:numPr>
          <w:ilvl w:val="0"/>
          <w:numId w:val="6"/>
        </w:numPr>
        <w:spacing w:before="100" w:beforeAutospacing="1" w:after="100" w:afterAutospacing="1"/>
        <w:jc w:val="both"/>
        <w:rPr>
          <w:rStyle w:val="normaltextrun"/>
          <w:rFonts w:ascii="Nunito" w:hAnsi="Nunito" w:cs="Segoe UI"/>
          <w:szCs w:val="24"/>
        </w:rPr>
      </w:pPr>
      <w:r w:rsidRPr="00C374D0">
        <w:rPr>
          <w:rStyle w:val="normaltextrun"/>
          <w:rFonts w:ascii="Nunito" w:hAnsi="Nunito" w:cs="Segoe UI"/>
          <w:szCs w:val="24"/>
        </w:rPr>
        <w:t>Copie de la carte d’autoentrepreneur pour les soumissionnaires indépendants</w:t>
      </w:r>
    </w:p>
    <w:p w14:paraId="1F28E3D5" w14:textId="67B80F7E" w:rsidR="008B7419" w:rsidRPr="0019580A" w:rsidRDefault="008B7419" w:rsidP="002C2B00">
      <w:pPr>
        <w:pStyle w:val="Paragraphedeliste"/>
        <w:numPr>
          <w:ilvl w:val="0"/>
          <w:numId w:val="4"/>
        </w:numPr>
        <w:spacing w:before="100" w:beforeAutospacing="1" w:after="100" w:afterAutospacing="1" w:line="259" w:lineRule="auto"/>
        <w:jc w:val="both"/>
        <w:rPr>
          <w:rStyle w:val="normaltextrun"/>
          <w:rFonts w:ascii="Nunito" w:hAnsi="Nunito" w:cs="Segoe UI"/>
        </w:rPr>
      </w:pPr>
      <w:r w:rsidRPr="0019580A">
        <w:rPr>
          <w:rStyle w:val="normaltextrun"/>
          <w:rFonts w:ascii="Nunito" w:hAnsi="Nunito" w:cs="Segoe UI"/>
        </w:rPr>
        <w:t>Une photocopie de la pièce d’identité pour chacun des experts impliqués</w:t>
      </w:r>
    </w:p>
    <w:p w14:paraId="40B3F919" w14:textId="156BEB54" w:rsidR="008B7419" w:rsidRDefault="008B7419" w:rsidP="002C2B00">
      <w:pPr>
        <w:pStyle w:val="Paragraphedeliste"/>
        <w:numPr>
          <w:ilvl w:val="0"/>
          <w:numId w:val="4"/>
        </w:numPr>
        <w:spacing w:before="100" w:beforeAutospacing="1" w:after="100" w:afterAutospacing="1" w:line="259" w:lineRule="auto"/>
        <w:jc w:val="both"/>
        <w:rPr>
          <w:rStyle w:val="normaltextrun"/>
          <w:rFonts w:ascii="Nunito" w:hAnsi="Nunito" w:cs="Segoe UI"/>
        </w:rPr>
      </w:pPr>
      <w:r w:rsidRPr="0019580A">
        <w:rPr>
          <w:rStyle w:val="normaltextrun"/>
          <w:rFonts w:ascii="Nunito" w:hAnsi="Nunito" w:cs="Segoe UI"/>
        </w:rPr>
        <w:t xml:space="preserve">La preuve de la légalité de son activité sur la base du cadre </w:t>
      </w:r>
      <w:r w:rsidR="00FE2083" w:rsidRPr="0019580A">
        <w:rPr>
          <w:rStyle w:val="normaltextrun"/>
          <w:rFonts w:ascii="Nunito" w:hAnsi="Nunito" w:cs="Segoe UI"/>
        </w:rPr>
        <w:t xml:space="preserve">légal </w:t>
      </w:r>
      <w:r w:rsidR="00FE2083">
        <w:rPr>
          <w:rStyle w:val="normaltextrun"/>
          <w:rFonts w:ascii="Nunito" w:hAnsi="Nunito" w:cs="Segoe UI"/>
        </w:rPr>
        <w:t>Tunisien</w:t>
      </w:r>
      <w:r w:rsidR="002C2B00">
        <w:rPr>
          <w:rStyle w:val="normaltextrun"/>
          <w:rFonts w:ascii="Nunito" w:hAnsi="Nunito" w:cs="Segoe UI"/>
        </w:rPr>
        <w:t>.</w:t>
      </w:r>
    </w:p>
    <w:p w14:paraId="536817D0" w14:textId="00C7599A" w:rsidR="008B7419" w:rsidRPr="002C2B00" w:rsidRDefault="008B7419" w:rsidP="002C2B00">
      <w:pPr>
        <w:pStyle w:val="Paragraphedeliste"/>
        <w:numPr>
          <w:ilvl w:val="1"/>
          <w:numId w:val="19"/>
        </w:numPr>
        <w:spacing w:before="100" w:beforeAutospacing="1" w:after="100" w:afterAutospacing="1" w:line="259" w:lineRule="auto"/>
        <w:rPr>
          <w:rStyle w:val="normaltextrun"/>
          <w:rFonts w:ascii="Nunito" w:hAnsi="Nunito" w:cs="Segoe UI"/>
          <w:b/>
          <w:bCs/>
        </w:rPr>
      </w:pPr>
      <w:r w:rsidRPr="002C2B00">
        <w:rPr>
          <w:rStyle w:val="normaltextrun"/>
          <w:rFonts w:ascii="Nunito" w:hAnsi="Nunito" w:cs="Segoe UI"/>
          <w:b/>
          <w:bCs/>
        </w:rPr>
        <w:t>Soumission des offres</w:t>
      </w:r>
    </w:p>
    <w:p w14:paraId="5B665755" w14:textId="13866CE3" w:rsidR="008B7419" w:rsidRPr="0019580A" w:rsidRDefault="008B7419" w:rsidP="002C2B00">
      <w:pPr>
        <w:spacing w:before="100" w:beforeAutospacing="1" w:after="100" w:afterAutospacing="1"/>
        <w:jc w:val="both"/>
        <w:rPr>
          <w:rStyle w:val="normaltextrun"/>
          <w:rFonts w:ascii="Nunito" w:hAnsi="Nunito" w:cs="Segoe UI"/>
          <w:szCs w:val="24"/>
        </w:rPr>
      </w:pPr>
      <w:r w:rsidRPr="0019580A">
        <w:rPr>
          <w:rStyle w:val="normaltextrun"/>
          <w:rFonts w:ascii="Nunito" w:hAnsi="Nunito" w:cs="Segoe UI"/>
          <w:szCs w:val="24"/>
        </w:rPr>
        <w:t xml:space="preserve">Les documents relatifs </w:t>
      </w:r>
      <w:r w:rsidR="00FE2083">
        <w:rPr>
          <w:rStyle w:val="normaltextrun"/>
          <w:rFonts w:ascii="Nunito" w:hAnsi="Nunito" w:cs="Segoe UI"/>
          <w:szCs w:val="24"/>
        </w:rPr>
        <w:t xml:space="preserve">à </w:t>
      </w:r>
      <w:r w:rsidR="00375D6B">
        <w:rPr>
          <w:rStyle w:val="normaltextrun"/>
          <w:rFonts w:ascii="Nunito" w:hAnsi="Nunito" w:cs="Segoe UI"/>
          <w:szCs w:val="24"/>
        </w:rPr>
        <w:t>cette offre</w:t>
      </w:r>
      <w:r w:rsidR="00C048AC">
        <w:rPr>
          <w:rStyle w:val="normaltextrun"/>
          <w:rFonts w:ascii="Nunito" w:hAnsi="Nunito" w:cs="Segoe UI"/>
          <w:szCs w:val="24"/>
        </w:rPr>
        <w:t xml:space="preserve"> </w:t>
      </w:r>
      <w:r w:rsidR="00C048AC" w:rsidRPr="0019580A">
        <w:rPr>
          <w:rStyle w:val="normaltextrun"/>
          <w:rFonts w:ascii="Nunito" w:hAnsi="Nunito" w:cs="Segoe UI"/>
          <w:szCs w:val="24"/>
        </w:rPr>
        <w:t>et</w:t>
      </w:r>
      <w:r w:rsidRPr="0019580A">
        <w:rPr>
          <w:rStyle w:val="normaltextrun"/>
          <w:rFonts w:ascii="Nunito" w:hAnsi="Nunito" w:cs="Segoe UI"/>
          <w:szCs w:val="24"/>
        </w:rPr>
        <w:t xml:space="preserve"> toute correspondance échangée entre le soumissionnaire et HI doivent être écrits en français. </w:t>
      </w:r>
    </w:p>
    <w:p w14:paraId="7EF33BF9" w14:textId="2296B3EB" w:rsidR="008B7419" w:rsidRPr="002C2B00" w:rsidRDefault="008B7419" w:rsidP="002C2B00">
      <w:pPr>
        <w:pStyle w:val="paragraph"/>
        <w:jc w:val="both"/>
        <w:textAlignment w:val="baseline"/>
        <w:rPr>
          <w:rFonts w:ascii="Nunito" w:hAnsi="Nunito" w:cs="Segoe UI"/>
        </w:rPr>
      </w:pPr>
      <w:r w:rsidRPr="0019580A">
        <w:rPr>
          <w:rStyle w:val="normaltextrun"/>
          <w:rFonts w:ascii="Nunito" w:hAnsi="Nunito" w:cs="Segoe UI"/>
        </w:rPr>
        <w:t xml:space="preserve">Le dossier doit être envoyé par mail à l’adresse suivante </w:t>
      </w:r>
      <w:hyperlink r:id="rId8" w:history="1">
        <w:r w:rsidRPr="00A03DD6">
          <w:rPr>
            <w:rStyle w:val="normaltextrun"/>
            <w:rFonts w:ascii="Nunito" w:hAnsi="Nunito" w:cs="Segoe UI"/>
            <w:color w:val="4472C4"/>
            <w:highlight w:val="yellow"/>
            <w:u w:val="single"/>
          </w:rPr>
          <w:t>appel-offres@tunisie.hi.org</w:t>
        </w:r>
      </w:hyperlink>
      <w:r w:rsidRPr="0019580A">
        <w:rPr>
          <w:rStyle w:val="normaltextrun"/>
          <w:rFonts w:ascii="Nunito" w:hAnsi="Nunito" w:cs="Segoe UI"/>
        </w:rPr>
        <w:t xml:space="preserve"> ou déposé dans </w:t>
      </w:r>
      <w:r w:rsidR="000A0A34" w:rsidRPr="0019580A">
        <w:rPr>
          <w:rStyle w:val="normaltextrun"/>
          <w:rFonts w:ascii="Nunito" w:hAnsi="Nunito" w:cs="Segoe UI"/>
        </w:rPr>
        <w:t>une enveloppe scellée</w:t>
      </w:r>
      <w:r w:rsidRPr="0019580A">
        <w:rPr>
          <w:rStyle w:val="normaltextrun"/>
          <w:rFonts w:ascii="Nunito" w:hAnsi="Nunito" w:cs="Segoe UI"/>
        </w:rPr>
        <w:t xml:space="preserve"> au siège de HI en Tunisie sis au 10 </w:t>
      </w:r>
      <w:r w:rsidR="002C2B00">
        <w:rPr>
          <w:rStyle w:val="normaltextrun"/>
          <w:rFonts w:ascii="Nunito" w:hAnsi="Nunito" w:cs="Segoe UI"/>
        </w:rPr>
        <w:t xml:space="preserve">Bis </w:t>
      </w:r>
      <w:r w:rsidRPr="0019580A">
        <w:rPr>
          <w:rStyle w:val="normaltextrun"/>
          <w:rFonts w:ascii="Nunito" w:hAnsi="Nunito" w:cs="Segoe UI"/>
        </w:rPr>
        <w:t xml:space="preserve">rue du Brésil 1002 Tunis Tunisie, au plus tard le </w:t>
      </w:r>
      <w:r w:rsidR="00A03DD6" w:rsidRPr="00A03DD6">
        <w:rPr>
          <w:rStyle w:val="normaltextrun"/>
          <w:rFonts w:ascii="Nunito" w:hAnsi="Nunito" w:cs="Segoe UI"/>
          <w:highlight w:val="yellow"/>
        </w:rPr>
        <w:t>27/04/2026</w:t>
      </w:r>
      <w:r w:rsidRPr="0019580A">
        <w:rPr>
          <w:rStyle w:val="normaltextrun"/>
          <w:rFonts w:ascii="Nunito" w:hAnsi="Nunito" w:cs="Segoe UI"/>
        </w:rPr>
        <w:t xml:space="preserve">, avec la mention </w:t>
      </w:r>
      <w:r w:rsidR="000A0A34">
        <w:rPr>
          <w:rStyle w:val="normaltextrun"/>
          <w:rFonts w:ascii="Nunito" w:hAnsi="Nunito" w:cs="Segoe UI"/>
        </w:rPr>
        <w:t>« </w:t>
      </w:r>
      <w:r w:rsidR="00FE2083" w:rsidRPr="000A0A34">
        <w:rPr>
          <w:rStyle w:val="normaltextrun"/>
          <w:rFonts w:ascii="Nunito" w:hAnsi="Nunito" w:cs="Segoe UI"/>
        </w:rPr>
        <w:t>Mission d’audit de la plateforme de gestion des cartes de handicap</w:t>
      </w:r>
      <w:r w:rsidR="000A0A34" w:rsidRPr="000A0A34">
        <w:rPr>
          <w:rStyle w:val="normaltextrun"/>
          <w:rFonts w:ascii="Nunito" w:hAnsi="Nunito" w:cs="Segoe UI"/>
        </w:rPr>
        <w:t xml:space="preserve"> du ministère des affaires sociales</w:t>
      </w:r>
      <w:r w:rsidR="00FE2083" w:rsidRPr="000A0A34">
        <w:rPr>
          <w:rStyle w:val="normaltextrun"/>
          <w:rFonts w:ascii="Nunito" w:hAnsi="Nunito" w:cs="Segoe UI"/>
        </w:rPr>
        <w:t xml:space="preserve"> </w:t>
      </w:r>
      <w:r w:rsidRPr="000A0A34">
        <w:rPr>
          <w:rStyle w:val="normaltextrun"/>
          <w:rFonts w:ascii="Nunito" w:hAnsi="Nunito" w:cs="Segoe UI"/>
        </w:rPr>
        <w:t>»</w:t>
      </w:r>
      <w:r w:rsidRPr="0019580A">
        <w:rPr>
          <w:rStyle w:val="normaltextrun"/>
          <w:rFonts w:ascii="Nunito" w:hAnsi="Nunito" w:cs="Segoe UI"/>
        </w:rPr>
        <w:t xml:space="preserve"> en objet d’e-mail ou sur l’enveloppe.</w:t>
      </w:r>
    </w:p>
    <w:p w14:paraId="60A0078D" w14:textId="77777777" w:rsidR="002C2B00" w:rsidRDefault="002C2B00" w:rsidP="002C2B00">
      <w:pPr>
        <w:spacing w:before="100" w:beforeAutospacing="1" w:after="100" w:afterAutospacing="1" w:line="259" w:lineRule="auto"/>
        <w:rPr>
          <w:rStyle w:val="normaltextrun"/>
          <w:rFonts w:ascii="Nunito" w:hAnsi="Nunito" w:cs="Segoe UI"/>
          <w:b/>
          <w:bCs/>
        </w:rPr>
      </w:pPr>
    </w:p>
    <w:p w14:paraId="4292EAC5" w14:textId="77777777" w:rsidR="002C2B00" w:rsidRDefault="002C2B00" w:rsidP="002C2B00">
      <w:pPr>
        <w:spacing w:before="100" w:beforeAutospacing="1" w:after="100" w:afterAutospacing="1" w:line="259" w:lineRule="auto"/>
        <w:rPr>
          <w:rStyle w:val="normaltextrun"/>
          <w:rFonts w:ascii="Nunito" w:hAnsi="Nunito" w:cs="Segoe UI"/>
          <w:b/>
          <w:bCs/>
        </w:rPr>
      </w:pPr>
    </w:p>
    <w:p w14:paraId="16F895F9" w14:textId="77777777" w:rsidR="002C2B00" w:rsidRDefault="002C2B00" w:rsidP="002C2B00">
      <w:pPr>
        <w:spacing w:before="100" w:beforeAutospacing="1" w:after="100" w:afterAutospacing="1" w:line="259" w:lineRule="auto"/>
        <w:rPr>
          <w:rStyle w:val="normaltextrun"/>
          <w:rFonts w:ascii="Nunito" w:hAnsi="Nunito" w:cs="Segoe UI"/>
          <w:b/>
          <w:bCs/>
        </w:rPr>
      </w:pPr>
    </w:p>
    <w:p w14:paraId="22BC7958" w14:textId="77777777" w:rsidR="002C2B00" w:rsidRDefault="002C2B00" w:rsidP="002C2B00">
      <w:pPr>
        <w:spacing w:before="100" w:beforeAutospacing="1" w:after="100" w:afterAutospacing="1" w:line="259" w:lineRule="auto"/>
        <w:rPr>
          <w:rStyle w:val="normaltextrun"/>
          <w:rFonts w:ascii="Nunito" w:hAnsi="Nunito" w:cs="Segoe UI"/>
          <w:b/>
          <w:bCs/>
        </w:rPr>
      </w:pPr>
    </w:p>
    <w:p w14:paraId="7F8CC7CE" w14:textId="77777777" w:rsidR="002C2B00" w:rsidRDefault="002C2B00" w:rsidP="002C2B00">
      <w:pPr>
        <w:spacing w:before="100" w:beforeAutospacing="1" w:after="100" w:afterAutospacing="1" w:line="259" w:lineRule="auto"/>
        <w:rPr>
          <w:rStyle w:val="normaltextrun"/>
          <w:rFonts w:ascii="Nunito" w:hAnsi="Nunito" w:cs="Segoe UI"/>
          <w:b/>
          <w:bCs/>
        </w:rPr>
      </w:pPr>
    </w:p>
    <w:p w14:paraId="088BEA67" w14:textId="77777777" w:rsidR="002C2B00" w:rsidRDefault="002C2B00" w:rsidP="002C2B00">
      <w:pPr>
        <w:spacing w:before="100" w:beforeAutospacing="1" w:after="100" w:afterAutospacing="1" w:line="259" w:lineRule="auto"/>
        <w:rPr>
          <w:rStyle w:val="normaltextrun"/>
          <w:rFonts w:ascii="Nunito" w:hAnsi="Nunito" w:cs="Segoe UI"/>
          <w:b/>
          <w:bCs/>
        </w:rPr>
      </w:pPr>
    </w:p>
    <w:p w14:paraId="360CB69A" w14:textId="56DA1CB3" w:rsidR="00A644EA" w:rsidRPr="002C2B00" w:rsidRDefault="002C2B00" w:rsidP="002C2B00">
      <w:pPr>
        <w:spacing w:before="100" w:beforeAutospacing="1" w:after="100" w:afterAutospacing="1" w:line="259" w:lineRule="auto"/>
        <w:rPr>
          <w:rFonts w:ascii="Nunito" w:hAnsi="Nunito" w:cs="Segoe UI"/>
          <w:b/>
          <w:bCs/>
        </w:rPr>
      </w:pPr>
      <w:r>
        <w:rPr>
          <w:rStyle w:val="normaltextrun"/>
          <w:rFonts w:ascii="Nunito" w:hAnsi="Nunito" w:cs="Segoe UI"/>
          <w:b/>
          <w:bCs/>
        </w:rPr>
        <w:lastRenderedPageBreak/>
        <w:t xml:space="preserve">5.3 </w:t>
      </w:r>
      <w:r w:rsidR="008B7419" w:rsidRPr="002C2B00">
        <w:rPr>
          <w:rStyle w:val="normaltextrun"/>
          <w:rFonts w:ascii="Nunito" w:hAnsi="Nunito" w:cs="Segoe UI"/>
          <w:b/>
          <w:bCs/>
        </w:rPr>
        <w:t>Evaluation des offres</w:t>
      </w:r>
    </w:p>
    <w:p w14:paraId="3E2C4A96" w14:textId="24A9FE0B" w:rsidR="00261A98" w:rsidRDefault="008B7419" w:rsidP="002C2B00">
      <w:pPr>
        <w:spacing w:before="100" w:beforeAutospacing="1" w:after="100" w:afterAutospacing="1"/>
        <w:rPr>
          <w:rStyle w:val="normaltextrun"/>
          <w:rFonts w:ascii="Nunito" w:hAnsi="Nunito" w:cs="Segoe UI"/>
          <w:szCs w:val="24"/>
        </w:rPr>
      </w:pPr>
      <w:r w:rsidRPr="0019580A">
        <w:rPr>
          <w:rStyle w:val="normaltextrun"/>
          <w:rFonts w:ascii="Nunito" w:hAnsi="Nunito" w:cs="Segoe UI"/>
          <w:szCs w:val="24"/>
        </w:rPr>
        <w:t>Les propositions techniques seront analysées sur la base des critères suivants :</w:t>
      </w:r>
    </w:p>
    <w:tbl>
      <w:tblPr>
        <w:tblW w:w="10240" w:type="dxa"/>
        <w:tblInd w:w="-593" w:type="dxa"/>
        <w:tblCellMar>
          <w:left w:w="70" w:type="dxa"/>
          <w:right w:w="70" w:type="dxa"/>
        </w:tblCellMar>
        <w:tblLook w:val="04A0" w:firstRow="1" w:lastRow="0" w:firstColumn="1" w:lastColumn="0" w:noHBand="0" w:noVBand="1"/>
      </w:tblPr>
      <w:tblGrid>
        <w:gridCol w:w="6300"/>
        <w:gridCol w:w="1160"/>
        <w:gridCol w:w="1160"/>
        <w:gridCol w:w="1620"/>
      </w:tblGrid>
      <w:tr w:rsidR="00B12455" w:rsidRPr="00B12455" w14:paraId="3ECFCFD2" w14:textId="77777777" w:rsidTr="002402A5">
        <w:trPr>
          <w:trHeight w:val="684"/>
        </w:trPr>
        <w:tc>
          <w:tcPr>
            <w:tcW w:w="630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C1BFDA4" w14:textId="77777777" w:rsidR="00B12455" w:rsidRPr="00B12455" w:rsidRDefault="00B12455" w:rsidP="002C2B00">
            <w:pPr>
              <w:spacing w:before="100" w:beforeAutospacing="1" w:after="100" w:afterAutospacing="1"/>
              <w:jc w:val="center"/>
              <w:rPr>
                <w:rFonts w:ascii="Calibri" w:hAnsi="Calibri" w:cs="Calibri"/>
                <w:b/>
                <w:bCs/>
                <w:color w:val="000000"/>
                <w:sz w:val="22"/>
                <w:szCs w:val="22"/>
              </w:rPr>
            </w:pPr>
            <w:r w:rsidRPr="00B12455">
              <w:rPr>
                <w:rFonts w:ascii="Calibri" w:hAnsi="Calibri" w:cs="Calibri"/>
                <w:b/>
                <w:bCs/>
                <w:color w:val="000000"/>
                <w:sz w:val="22"/>
                <w:szCs w:val="22"/>
              </w:rPr>
              <w:t>Critères</w:t>
            </w:r>
          </w:p>
        </w:tc>
        <w:tc>
          <w:tcPr>
            <w:tcW w:w="1160" w:type="dxa"/>
            <w:tcBorders>
              <w:top w:val="single" w:sz="4" w:space="0" w:color="auto"/>
              <w:left w:val="nil"/>
              <w:bottom w:val="single" w:sz="4" w:space="0" w:color="auto"/>
              <w:right w:val="single" w:sz="4" w:space="0" w:color="auto"/>
            </w:tcBorders>
            <w:shd w:val="clear" w:color="000000" w:fill="B8CCE4"/>
            <w:vAlign w:val="center"/>
            <w:hideMark/>
          </w:tcPr>
          <w:p w14:paraId="28DE3766" w14:textId="77777777" w:rsidR="00B12455" w:rsidRPr="00B12455" w:rsidRDefault="00B12455" w:rsidP="002C2B00">
            <w:pPr>
              <w:spacing w:before="100" w:beforeAutospacing="1" w:after="100" w:afterAutospacing="1"/>
              <w:jc w:val="center"/>
              <w:rPr>
                <w:rFonts w:ascii="Calibri" w:hAnsi="Calibri" w:cs="Calibri"/>
                <w:b/>
                <w:bCs/>
                <w:color w:val="000000"/>
                <w:sz w:val="22"/>
                <w:szCs w:val="22"/>
              </w:rPr>
            </w:pPr>
            <w:r w:rsidRPr="00B12455">
              <w:rPr>
                <w:rFonts w:ascii="Calibri" w:hAnsi="Calibri" w:cs="Calibri"/>
                <w:b/>
                <w:bCs/>
                <w:color w:val="000000"/>
                <w:sz w:val="22"/>
                <w:szCs w:val="22"/>
              </w:rPr>
              <w:t>Coefficient</w:t>
            </w:r>
          </w:p>
        </w:tc>
        <w:tc>
          <w:tcPr>
            <w:tcW w:w="1160" w:type="dxa"/>
            <w:tcBorders>
              <w:top w:val="single" w:sz="4" w:space="0" w:color="auto"/>
              <w:left w:val="nil"/>
              <w:bottom w:val="single" w:sz="4" w:space="0" w:color="auto"/>
              <w:right w:val="single" w:sz="4" w:space="0" w:color="auto"/>
            </w:tcBorders>
            <w:shd w:val="clear" w:color="000000" w:fill="B8CCE4"/>
            <w:vAlign w:val="center"/>
            <w:hideMark/>
          </w:tcPr>
          <w:p w14:paraId="70000E15" w14:textId="77777777" w:rsidR="00B12455" w:rsidRPr="00B12455" w:rsidRDefault="00B12455" w:rsidP="002C2B00">
            <w:pPr>
              <w:spacing w:before="100" w:beforeAutospacing="1" w:after="100" w:afterAutospacing="1"/>
              <w:jc w:val="center"/>
              <w:rPr>
                <w:rFonts w:ascii="Calibri" w:hAnsi="Calibri" w:cs="Calibri"/>
                <w:b/>
                <w:bCs/>
                <w:color w:val="000000"/>
                <w:sz w:val="22"/>
                <w:szCs w:val="22"/>
              </w:rPr>
            </w:pPr>
            <w:r w:rsidRPr="00B12455">
              <w:rPr>
                <w:rFonts w:ascii="Calibri" w:hAnsi="Calibri" w:cs="Calibri"/>
                <w:b/>
                <w:bCs/>
                <w:color w:val="000000"/>
                <w:sz w:val="22"/>
                <w:szCs w:val="22"/>
              </w:rPr>
              <w:t xml:space="preserve">Note </w:t>
            </w:r>
            <w:r w:rsidRPr="00B12455">
              <w:rPr>
                <w:rFonts w:ascii="Calibri" w:hAnsi="Calibri" w:cs="Calibri"/>
                <w:b/>
                <w:bCs/>
                <w:color w:val="000000"/>
                <w:sz w:val="22"/>
                <w:szCs w:val="22"/>
              </w:rPr>
              <w:br/>
              <w:t>(1 à 5)</w:t>
            </w:r>
          </w:p>
        </w:tc>
        <w:tc>
          <w:tcPr>
            <w:tcW w:w="1620" w:type="dxa"/>
            <w:tcBorders>
              <w:top w:val="single" w:sz="4" w:space="0" w:color="auto"/>
              <w:left w:val="nil"/>
              <w:bottom w:val="single" w:sz="4" w:space="0" w:color="auto"/>
              <w:right w:val="single" w:sz="4" w:space="0" w:color="auto"/>
            </w:tcBorders>
            <w:shd w:val="clear" w:color="000000" w:fill="B8CCE4"/>
            <w:vAlign w:val="center"/>
            <w:hideMark/>
          </w:tcPr>
          <w:p w14:paraId="4D292727" w14:textId="77777777" w:rsidR="00B12455" w:rsidRPr="00B12455" w:rsidRDefault="00B12455" w:rsidP="002C2B00">
            <w:pPr>
              <w:spacing w:before="100" w:beforeAutospacing="1" w:after="100" w:afterAutospacing="1"/>
              <w:jc w:val="center"/>
              <w:rPr>
                <w:rFonts w:ascii="Calibri" w:hAnsi="Calibri" w:cs="Calibri"/>
                <w:b/>
                <w:bCs/>
                <w:color w:val="000000"/>
                <w:sz w:val="22"/>
                <w:szCs w:val="22"/>
              </w:rPr>
            </w:pPr>
            <w:r w:rsidRPr="00B12455">
              <w:rPr>
                <w:rFonts w:ascii="Calibri" w:hAnsi="Calibri" w:cs="Calibri"/>
                <w:b/>
                <w:bCs/>
                <w:color w:val="000000"/>
                <w:sz w:val="22"/>
                <w:szCs w:val="22"/>
              </w:rPr>
              <w:t>Total avec coefficient</w:t>
            </w:r>
          </w:p>
        </w:tc>
      </w:tr>
      <w:tr w:rsidR="00B12455" w:rsidRPr="009C38F5" w14:paraId="1D270866" w14:textId="77777777" w:rsidTr="002402A5">
        <w:trPr>
          <w:trHeight w:val="360"/>
        </w:trPr>
        <w:tc>
          <w:tcPr>
            <w:tcW w:w="6300" w:type="dxa"/>
            <w:tcBorders>
              <w:top w:val="nil"/>
              <w:left w:val="single" w:sz="4" w:space="0" w:color="auto"/>
              <w:bottom w:val="single" w:sz="4" w:space="0" w:color="auto"/>
              <w:right w:val="single" w:sz="4" w:space="0" w:color="auto"/>
            </w:tcBorders>
            <w:shd w:val="clear" w:color="000000" w:fill="C4D79B"/>
            <w:vAlign w:val="center"/>
            <w:hideMark/>
          </w:tcPr>
          <w:p w14:paraId="45647E29" w14:textId="77777777" w:rsidR="00B12455" w:rsidRPr="00B12455" w:rsidRDefault="00B12455" w:rsidP="002C2B00">
            <w:pPr>
              <w:spacing w:before="100" w:beforeAutospacing="1" w:after="100" w:afterAutospacing="1"/>
              <w:rPr>
                <w:rFonts w:ascii="Calibri" w:hAnsi="Calibri" w:cs="Calibri"/>
                <w:b/>
                <w:bCs/>
                <w:color w:val="000000"/>
                <w:sz w:val="22"/>
                <w:szCs w:val="22"/>
              </w:rPr>
            </w:pPr>
            <w:r w:rsidRPr="00B12455">
              <w:rPr>
                <w:rFonts w:ascii="Calibri" w:hAnsi="Calibri" w:cs="Calibri"/>
                <w:b/>
                <w:bCs/>
                <w:color w:val="000000"/>
                <w:sz w:val="22"/>
                <w:szCs w:val="22"/>
              </w:rPr>
              <w:t>1. Expertise et qualifications du soumissionnaire</w:t>
            </w:r>
            <w:r w:rsidRPr="00B12455">
              <w:rPr>
                <w:rFonts w:ascii="Calibri" w:hAnsi="Calibri" w:cs="Calibri"/>
                <w:color w:val="000000"/>
                <w:sz w:val="22"/>
                <w:szCs w:val="22"/>
              </w:rPr>
              <w:t xml:space="preserve"> </w:t>
            </w:r>
          </w:p>
        </w:tc>
        <w:tc>
          <w:tcPr>
            <w:tcW w:w="1160" w:type="dxa"/>
            <w:tcBorders>
              <w:top w:val="nil"/>
              <w:left w:val="nil"/>
              <w:bottom w:val="single" w:sz="4" w:space="0" w:color="auto"/>
              <w:right w:val="single" w:sz="4" w:space="0" w:color="auto"/>
            </w:tcBorders>
            <w:shd w:val="clear" w:color="000000" w:fill="C4D79B"/>
            <w:vAlign w:val="center"/>
            <w:hideMark/>
          </w:tcPr>
          <w:p w14:paraId="3B48C0B0" w14:textId="77777777" w:rsidR="00B12455" w:rsidRPr="00B12455" w:rsidRDefault="00B12455" w:rsidP="002C2B00">
            <w:pPr>
              <w:spacing w:before="100" w:beforeAutospacing="1" w:after="100" w:afterAutospacing="1"/>
              <w:rPr>
                <w:rFonts w:ascii="Calibri" w:hAnsi="Calibri" w:cs="Calibri"/>
                <w:color w:val="000000"/>
                <w:sz w:val="22"/>
                <w:szCs w:val="22"/>
              </w:rPr>
            </w:pPr>
            <w:r w:rsidRPr="00B12455">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C4D79B"/>
            <w:vAlign w:val="center"/>
            <w:hideMark/>
          </w:tcPr>
          <w:p w14:paraId="7114F8F3" w14:textId="77777777" w:rsidR="00B12455" w:rsidRPr="00B12455" w:rsidRDefault="00B12455" w:rsidP="002C2B00">
            <w:pPr>
              <w:spacing w:before="100" w:beforeAutospacing="1" w:after="100" w:afterAutospacing="1"/>
              <w:rPr>
                <w:rFonts w:ascii="Calibri" w:hAnsi="Calibri" w:cs="Calibri"/>
                <w:color w:val="000000"/>
                <w:sz w:val="22"/>
                <w:szCs w:val="22"/>
              </w:rPr>
            </w:pPr>
            <w:r w:rsidRPr="00B12455">
              <w:rPr>
                <w:rFonts w:ascii="Calibri" w:hAnsi="Calibri" w:cs="Calibri"/>
                <w:color w:val="000000"/>
                <w:sz w:val="22"/>
                <w:szCs w:val="22"/>
              </w:rPr>
              <w:t> </w:t>
            </w:r>
          </w:p>
        </w:tc>
        <w:tc>
          <w:tcPr>
            <w:tcW w:w="1620" w:type="dxa"/>
            <w:tcBorders>
              <w:top w:val="nil"/>
              <w:left w:val="nil"/>
              <w:bottom w:val="single" w:sz="4" w:space="0" w:color="auto"/>
              <w:right w:val="single" w:sz="4" w:space="0" w:color="auto"/>
            </w:tcBorders>
            <w:shd w:val="clear" w:color="000000" w:fill="C4D79B"/>
            <w:vAlign w:val="center"/>
            <w:hideMark/>
          </w:tcPr>
          <w:p w14:paraId="4C9F7A63" w14:textId="77777777" w:rsidR="00B12455" w:rsidRPr="00B12455" w:rsidRDefault="00B12455" w:rsidP="002C2B00">
            <w:pPr>
              <w:spacing w:before="100" w:beforeAutospacing="1" w:after="100" w:afterAutospacing="1"/>
              <w:rPr>
                <w:rFonts w:ascii="Calibri" w:hAnsi="Calibri" w:cs="Calibri"/>
                <w:color w:val="000000"/>
                <w:sz w:val="22"/>
                <w:szCs w:val="22"/>
              </w:rPr>
            </w:pPr>
            <w:r w:rsidRPr="00B12455">
              <w:rPr>
                <w:rFonts w:ascii="Calibri" w:hAnsi="Calibri" w:cs="Calibri"/>
                <w:color w:val="000000"/>
                <w:sz w:val="22"/>
                <w:szCs w:val="22"/>
              </w:rPr>
              <w:t> </w:t>
            </w:r>
          </w:p>
        </w:tc>
      </w:tr>
      <w:tr w:rsidR="00B12455" w:rsidRPr="00B12455" w14:paraId="593D525F" w14:textId="77777777" w:rsidTr="002402A5">
        <w:trPr>
          <w:trHeight w:val="348"/>
        </w:trPr>
        <w:tc>
          <w:tcPr>
            <w:tcW w:w="6300" w:type="dxa"/>
            <w:tcBorders>
              <w:top w:val="nil"/>
              <w:left w:val="single" w:sz="4" w:space="0" w:color="auto"/>
              <w:bottom w:val="single" w:sz="4" w:space="0" w:color="auto"/>
              <w:right w:val="single" w:sz="4" w:space="0" w:color="auto"/>
            </w:tcBorders>
            <w:vAlign w:val="center"/>
            <w:hideMark/>
          </w:tcPr>
          <w:p w14:paraId="7D7A0220" w14:textId="77777777" w:rsidR="00B12455" w:rsidRPr="00B12455" w:rsidRDefault="00B12455" w:rsidP="002C2B00">
            <w:pPr>
              <w:spacing w:before="100" w:beforeAutospacing="1" w:after="100" w:afterAutospacing="1"/>
              <w:rPr>
                <w:rFonts w:ascii="Calibri" w:hAnsi="Calibri" w:cs="Calibri"/>
                <w:color w:val="000000"/>
                <w:sz w:val="22"/>
                <w:szCs w:val="22"/>
              </w:rPr>
            </w:pPr>
            <w:r w:rsidRPr="00B12455">
              <w:rPr>
                <w:rFonts w:ascii="Calibri" w:hAnsi="Calibri" w:cs="Calibri"/>
                <w:color w:val="000000"/>
                <w:sz w:val="22"/>
                <w:szCs w:val="22"/>
              </w:rPr>
              <w:t>Nombre d'années d'expérience professionnelle sur base CV</w:t>
            </w:r>
          </w:p>
        </w:tc>
        <w:tc>
          <w:tcPr>
            <w:tcW w:w="1160" w:type="dxa"/>
            <w:tcBorders>
              <w:top w:val="nil"/>
              <w:left w:val="nil"/>
              <w:bottom w:val="single" w:sz="4" w:space="0" w:color="auto"/>
              <w:right w:val="single" w:sz="4" w:space="0" w:color="auto"/>
            </w:tcBorders>
            <w:vAlign w:val="center"/>
            <w:hideMark/>
          </w:tcPr>
          <w:p w14:paraId="4CB073FE" w14:textId="77777777" w:rsidR="00B12455" w:rsidRPr="00B12455" w:rsidRDefault="00B12455" w:rsidP="002C2B00">
            <w:pPr>
              <w:spacing w:before="100" w:beforeAutospacing="1" w:after="100" w:afterAutospacing="1"/>
              <w:jc w:val="center"/>
              <w:rPr>
                <w:rFonts w:ascii="Calibri" w:hAnsi="Calibri" w:cs="Calibri"/>
                <w:color w:val="000000"/>
                <w:sz w:val="22"/>
                <w:szCs w:val="22"/>
              </w:rPr>
            </w:pPr>
            <w:r w:rsidRPr="00B12455">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vAlign w:val="center"/>
            <w:hideMark/>
          </w:tcPr>
          <w:p w14:paraId="285EC68B" w14:textId="77777777" w:rsidR="00B12455" w:rsidRPr="00B12455" w:rsidRDefault="00B12455" w:rsidP="002C2B00">
            <w:pPr>
              <w:spacing w:before="100" w:beforeAutospacing="1" w:after="100" w:afterAutospacing="1"/>
              <w:jc w:val="right"/>
              <w:rPr>
                <w:rFonts w:ascii="Calibri" w:hAnsi="Calibri" w:cs="Calibri"/>
                <w:color w:val="000000"/>
                <w:sz w:val="22"/>
                <w:szCs w:val="22"/>
              </w:rPr>
            </w:pPr>
            <w:r w:rsidRPr="00B12455">
              <w:rPr>
                <w:rFonts w:ascii="Calibri" w:hAnsi="Calibri" w:cs="Calibri"/>
                <w:color w:val="000000"/>
                <w:sz w:val="22"/>
                <w:szCs w:val="22"/>
              </w:rPr>
              <w:t>5</w:t>
            </w:r>
          </w:p>
        </w:tc>
        <w:tc>
          <w:tcPr>
            <w:tcW w:w="1620" w:type="dxa"/>
            <w:tcBorders>
              <w:top w:val="nil"/>
              <w:left w:val="nil"/>
              <w:bottom w:val="single" w:sz="4" w:space="0" w:color="auto"/>
              <w:right w:val="single" w:sz="4" w:space="0" w:color="auto"/>
            </w:tcBorders>
            <w:vAlign w:val="center"/>
            <w:hideMark/>
          </w:tcPr>
          <w:p w14:paraId="56F39238" w14:textId="77777777" w:rsidR="00B12455" w:rsidRPr="00B12455" w:rsidRDefault="00B12455" w:rsidP="002C2B00">
            <w:pPr>
              <w:spacing w:before="100" w:beforeAutospacing="1" w:after="100" w:afterAutospacing="1"/>
              <w:jc w:val="right"/>
              <w:rPr>
                <w:rFonts w:ascii="Calibri" w:hAnsi="Calibri" w:cs="Calibri"/>
                <w:color w:val="000000"/>
                <w:sz w:val="22"/>
                <w:szCs w:val="22"/>
              </w:rPr>
            </w:pPr>
            <w:r w:rsidRPr="00B12455">
              <w:rPr>
                <w:rFonts w:ascii="Calibri" w:hAnsi="Calibri" w:cs="Calibri"/>
                <w:color w:val="000000"/>
                <w:sz w:val="22"/>
                <w:szCs w:val="22"/>
              </w:rPr>
              <w:t>10</w:t>
            </w:r>
          </w:p>
        </w:tc>
      </w:tr>
      <w:tr w:rsidR="00B12455" w:rsidRPr="00B12455" w14:paraId="715FE341" w14:textId="77777777" w:rsidTr="002402A5">
        <w:trPr>
          <w:trHeight w:val="660"/>
        </w:trPr>
        <w:tc>
          <w:tcPr>
            <w:tcW w:w="6300" w:type="dxa"/>
            <w:tcBorders>
              <w:top w:val="nil"/>
              <w:left w:val="single" w:sz="4" w:space="0" w:color="auto"/>
              <w:bottom w:val="single" w:sz="4" w:space="0" w:color="auto"/>
              <w:right w:val="single" w:sz="4" w:space="0" w:color="auto"/>
            </w:tcBorders>
            <w:vAlign w:val="center"/>
            <w:hideMark/>
          </w:tcPr>
          <w:p w14:paraId="208DF329" w14:textId="77777777" w:rsidR="00B12455" w:rsidRPr="00B12455" w:rsidRDefault="00B12455" w:rsidP="002C2B00">
            <w:pPr>
              <w:spacing w:before="100" w:beforeAutospacing="1" w:after="100" w:afterAutospacing="1"/>
              <w:rPr>
                <w:rFonts w:ascii="Calibri" w:hAnsi="Calibri" w:cs="Calibri"/>
                <w:color w:val="000000"/>
                <w:sz w:val="22"/>
                <w:szCs w:val="22"/>
              </w:rPr>
            </w:pPr>
            <w:r w:rsidRPr="00B12455">
              <w:rPr>
                <w:rFonts w:ascii="Calibri" w:hAnsi="Calibri" w:cs="Calibri"/>
                <w:color w:val="000000"/>
                <w:sz w:val="22"/>
                <w:szCs w:val="22"/>
              </w:rPr>
              <w:t>Nombre d'audits réalisés</w:t>
            </w:r>
          </w:p>
        </w:tc>
        <w:tc>
          <w:tcPr>
            <w:tcW w:w="1160" w:type="dxa"/>
            <w:tcBorders>
              <w:top w:val="nil"/>
              <w:left w:val="nil"/>
              <w:bottom w:val="single" w:sz="4" w:space="0" w:color="auto"/>
              <w:right w:val="single" w:sz="4" w:space="0" w:color="auto"/>
            </w:tcBorders>
            <w:vAlign w:val="center"/>
            <w:hideMark/>
          </w:tcPr>
          <w:p w14:paraId="00B62DE9" w14:textId="77777777" w:rsidR="00B12455" w:rsidRPr="00B12455" w:rsidRDefault="00B12455" w:rsidP="002C2B00">
            <w:pPr>
              <w:spacing w:before="100" w:beforeAutospacing="1" w:after="100" w:afterAutospacing="1"/>
              <w:jc w:val="center"/>
              <w:rPr>
                <w:rFonts w:ascii="Calibri" w:hAnsi="Calibri" w:cs="Calibri"/>
                <w:color w:val="000000"/>
                <w:sz w:val="22"/>
                <w:szCs w:val="22"/>
              </w:rPr>
            </w:pPr>
            <w:r w:rsidRPr="00B12455">
              <w:rPr>
                <w:rFonts w:ascii="Calibri" w:hAnsi="Calibri" w:cs="Calibri"/>
                <w:color w:val="000000"/>
                <w:sz w:val="22"/>
                <w:szCs w:val="22"/>
              </w:rPr>
              <w:t>3</w:t>
            </w:r>
          </w:p>
        </w:tc>
        <w:tc>
          <w:tcPr>
            <w:tcW w:w="1160" w:type="dxa"/>
            <w:tcBorders>
              <w:top w:val="nil"/>
              <w:left w:val="nil"/>
              <w:bottom w:val="single" w:sz="4" w:space="0" w:color="auto"/>
              <w:right w:val="single" w:sz="4" w:space="0" w:color="auto"/>
            </w:tcBorders>
            <w:vAlign w:val="center"/>
            <w:hideMark/>
          </w:tcPr>
          <w:p w14:paraId="680BF818" w14:textId="77777777" w:rsidR="00B12455" w:rsidRPr="00B12455" w:rsidRDefault="00B12455" w:rsidP="002C2B00">
            <w:pPr>
              <w:spacing w:before="100" w:beforeAutospacing="1" w:after="100" w:afterAutospacing="1"/>
              <w:jc w:val="right"/>
              <w:rPr>
                <w:rFonts w:ascii="Calibri" w:hAnsi="Calibri" w:cs="Calibri"/>
                <w:color w:val="000000"/>
                <w:sz w:val="22"/>
                <w:szCs w:val="22"/>
              </w:rPr>
            </w:pPr>
            <w:r w:rsidRPr="00B12455">
              <w:rPr>
                <w:rFonts w:ascii="Calibri" w:hAnsi="Calibri" w:cs="Calibri"/>
                <w:color w:val="000000"/>
                <w:sz w:val="22"/>
                <w:szCs w:val="22"/>
              </w:rPr>
              <w:t>5</w:t>
            </w:r>
          </w:p>
        </w:tc>
        <w:tc>
          <w:tcPr>
            <w:tcW w:w="1620" w:type="dxa"/>
            <w:tcBorders>
              <w:top w:val="nil"/>
              <w:left w:val="nil"/>
              <w:bottom w:val="single" w:sz="4" w:space="0" w:color="auto"/>
              <w:right w:val="single" w:sz="4" w:space="0" w:color="auto"/>
            </w:tcBorders>
            <w:vAlign w:val="center"/>
            <w:hideMark/>
          </w:tcPr>
          <w:p w14:paraId="2E399041" w14:textId="77777777" w:rsidR="00B12455" w:rsidRPr="00B12455" w:rsidRDefault="00B12455" w:rsidP="002C2B00">
            <w:pPr>
              <w:spacing w:before="100" w:beforeAutospacing="1" w:after="100" w:afterAutospacing="1"/>
              <w:jc w:val="right"/>
              <w:rPr>
                <w:rFonts w:ascii="Calibri" w:hAnsi="Calibri" w:cs="Calibri"/>
                <w:color w:val="000000"/>
                <w:sz w:val="22"/>
                <w:szCs w:val="22"/>
              </w:rPr>
            </w:pPr>
            <w:r w:rsidRPr="00B12455">
              <w:rPr>
                <w:rFonts w:ascii="Calibri" w:hAnsi="Calibri" w:cs="Calibri"/>
                <w:color w:val="000000"/>
                <w:sz w:val="22"/>
                <w:szCs w:val="22"/>
              </w:rPr>
              <w:t>15</w:t>
            </w:r>
          </w:p>
        </w:tc>
      </w:tr>
      <w:tr w:rsidR="00B12455" w:rsidRPr="00B12455" w14:paraId="363628DB" w14:textId="77777777" w:rsidTr="002402A5">
        <w:trPr>
          <w:trHeight w:val="348"/>
        </w:trPr>
        <w:tc>
          <w:tcPr>
            <w:tcW w:w="6300" w:type="dxa"/>
            <w:tcBorders>
              <w:top w:val="nil"/>
              <w:left w:val="single" w:sz="4" w:space="0" w:color="auto"/>
              <w:bottom w:val="single" w:sz="4" w:space="0" w:color="auto"/>
              <w:right w:val="single" w:sz="4" w:space="0" w:color="auto"/>
            </w:tcBorders>
            <w:vAlign w:val="center"/>
            <w:hideMark/>
          </w:tcPr>
          <w:p w14:paraId="069E260F" w14:textId="77777777" w:rsidR="00B12455" w:rsidRPr="00B12455" w:rsidRDefault="00B12455" w:rsidP="002C2B00">
            <w:pPr>
              <w:spacing w:before="100" w:beforeAutospacing="1" w:after="100" w:afterAutospacing="1"/>
              <w:rPr>
                <w:rFonts w:ascii="Calibri" w:hAnsi="Calibri" w:cs="Calibri"/>
                <w:color w:val="000000"/>
                <w:sz w:val="22"/>
                <w:szCs w:val="22"/>
              </w:rPr>
            </w:pPr>
            <w:r w:rsidRPr="00B12455">
              <w:rPr>
                <w:rFonts w:ascii="Calibri" w:hAnsi="Calibri" w:cs="Calibri"/>
                <w:color w:val="000000"/>
                <w:sz w:val="22"/>
                <w:szCs w:val="22"/>
              </w:rPr>
              <w:t xml:space="preserve">Taille des systèmes d'information audités (sup à 5000 utilisateurs) </w:t>
            </w:r>
          </w:p>
        </w:tc>
        <w:tc>
          <w:tcPr>
            <w:tcW w:w="1160" w:type="dxa"/>
            <w:tcBorders>
              <w:top w:val="nil"/>
              <w:left w:val="nil"/>
              <w:bottom w:val="single" w:sz="4" w:space="0" w:color="auto"/>
              <w:right w:val="single" w:sz="4" w:space="0" w:color="auto"/>
            </w:tcBorders>
            <w:vAlign w:val="center"/>
            <w:hideMark/>
          </w:tcPr>
          <w:p w14:paraId="7C26C139" w14:textId="77777777" w:rsidR="00B12455" w:rsidRPr="00B12455" w:rsidRDefault="00B12455" w:rsidP="002C2B00">
            <w:pPr>
              <w:spacing w:before="100" w:beforeAutospacing="1" w:after="100" w:afterAutospacing="1"/>
              <w:jc w:val="center"/>
              <w:rPr>
                <w:rFonts w:ascii="Calibri" w:hAnsi="Calibri" w:cs="Calibri"/>
                <w:color w:val="000000"/>
                <w:sz w:val="22"/>
                <w:szCs w:val="22"/>
              </w:rPr>
            </w:pPr>
            <w:r w:rsidRPr="00B12455">
              <w:rPr>
                <w:rFonts w:ascii="Calibri" w:hAnsi="Calibri" w:cs="Calibri"/>
                <w:color w:val="000000"/>
                <w:sz w:val="22"/>
                <w:szCs w:val="22"/>
              </w:rPr>
              <w:t>3</w:t>
            </w:r>
          </w:p>
        </w:tc>
        <w:tc>
          <w:tcPr>
            <w:tcW w:w="1160" w:type="dxa"/>
            <w:tcBorders>
              <w:top w:val="nil"/>
              <w:left w:val="nil"/>
              <w:bottom w:val="single" w:sz="4" w:space="0" w:color="auto"/>
              <w:right w:val="single" w:sz="4" w:space="0" w:color="auto"/>
            </w:tcBorders>
            <w:vAlign w:val="center"/>
            <w:hideMark/>
          </w:tcPr>
          <w:p w14:paraId="75CF9540" w14:textId="77777777" w:rsidR="00B12455" w:rsidRPr="00B12455" w:rsidRDefault="00B12455" w:rsidP="002C2B00">
            <w:pPr>
              <w:spacing w:before="100" w:beforeAutospacing="1" w:after="100" w:afterAutospacing="1"/>
              <w:jc w:val="right"/>
              <w:rPr>
                <w:rFonts w:ascii="Calibri" w:hAnsi="Calibri" w:cs="Calibri"/>
                <w:color w:val="000000"/>
                <w:sz w:val="22"/>
                <w:szCs w:val="22"/>
              </w:rPr>
            </w:pPr>
            <w:r w:rsidRPr="00B12455">
              <w:rPr>
                <w:rFonts w:ascii="Calibri" w:hAnsi="Calibri" w:cs="Calibri"/>
                <w:color w:val="000000"/>
                <w:sz w:val="22"/>
                <w:szCs w:val="22"/>
              </w:rPr>
              <w:t>5</w:t>
            </w:r>
          </w:p>
        </w:tc>
        <w:tc>
          <w:tcPr>
            <w:tcW w:w="1620" w:type="dxa"/>
            <w:tcBorders>
              <w:top w:val="nil"/>
              <w:left w:val="nil"/>
              <w:bottom w:val="single" w:sz="4" w:space="0" w:color="auto"/>
              <w:right w:val="single" w:sz="4" w:space="0" w:color="auto"/>
            </w:tcBorders>
            <w:vAlign w:val="center"/>
            <w:hideMark/>
          </w:tcPr>
          <w:p w14:paraId="379DA7AB" w14:textId="77777777" w:rsidR="00B12455" w:rsidRPr="00B12455" w:rsidRDefault="00B12455" w:rsidP="002C2B00">
            <w:pPr>
              <w:spacing w:before="100" w:beforeAutospacing="1" w:after="100" w:afterAutospacing="1"/>
              <w:jc w:val="right"/>
              <w:rPr>
                <w:rFonts w:ascii="Calibri" w:hAnsi="Calibri" w:cs="Calibri"/>
                <w:color w:val="000000"/>
                <w:sz w:val="22"/>
                <w:szCs w:val="22"/>
              </w:rPr>
            </w:pPr>
            <w:r w:rsidRPr="00B12455">
              <w:rPr>
                <w:rFonts w:ascii="Calibri" w:hAnsi="Calibri" w:cs="Calibri"/>
                <w:color w:val="000000"/>
                <w:sz w:val="22"/>
                <w:szCs w:val="22"/>
              </w:rPr>
              <w:t>15</w:t>
            </w:r>
          </w:p>
        </w:tc>
      </w:tr>
      <w:tr w:rsidR="00B12455" w:rsidRPr="00B12455" w14:paraId="1A9A6BE2" w14:textId="77777777" w:rsidTr="002402A5">
        <w:trPr>
          <w:trHeight w:val="285"/>
        </w:trPr>
        <w:tc>
          <w:tcPr>
            <w:tcW w:w="6300" w:type="dxa"/>
            <w:tcBorders>
              <w:top w:val="nil"/>
              <w:left w:val="single" w:sz="4" w:space="0" w:color="auto"/>
              <w:bottom w:val="single" w:sz="4" w:space="0" w:color="auto"/>
              <w:right w:val="single" w:sz="4" w:space="0" w:color="auto"/>
            </w:tcBorders>
            <w:vAlign w:val="center"/>
            <w:hideMark/>
          </w:tcPr>
          <w:p w14:paraId="56CA3C50" w14:textId="77777777" w:rsidR="00B12455" w:rsidRPr="00B12455" w:rsidRDefault="00B12455" w:rsidP="002C2B00">
            <w:pPr>
              <w:spacing w:before="100" w:beforeAutospacing="1" w:after="100" w:afterAutospacing="1"/>
              <w:rPr>
                <w:rFonts w:ascii="Calibri" w:hAnsi="Calibri" w:cs="Calibri"/>
                <w:b/>
                <w:bCs/>
                <w:color w:val="000000"/>
                <w:sz w:val="22"/>
                <w:szCs w:val="22"/>
              </w:rPr>
            </w:pPr>
            <w:r w:rsidRPr="00B12455">
              <w:rPr>
                <w:rFonts w:ascii="Calibri" w:hAnsi="Calibri" w:cs="Calibri"/>
                <w:b/>
                <w:bCs/>
                <w:color w:val="000000"/>
                <w:sz w:val="22"/>
                <w:szCs w:val="22"/>
              </w:rPr>
              <w:t>Sous-total (1)</w:t>
            </w:r>
          </w:p>
        </w:tc>
        <w:tc>
          <w:tcPr>
            <w:tcW w:w="1160" w:type="dxa"/>
            <w:tcBorders>
              <w:top w:val="nil"/>
              <w:left w:val="nil"/>
              <w:bottom w:val="single" w:sz="4" w:space="0" w:color="auto"/>
              <w:right w:val="single" w:sz="4" w:space="0" w:color="auto"/>
            </w:tcBorders>
            <w:vAlign w:val="center"/>
            <w:hideMark/>
          </w:tcPr>
          <w:p w14:paraId="2778B257" w14:textId="77777777" w:rsidR="00B12455" w:rsidRPr="00B12455" w:rsidRDefault="00B12455" w:rsidP="002C2B00">
            <w:pPr>
              <w:spacing w:before="100" w:beforeAutospacing="1" w:after="100" w:afterAutospacing="1"/>
              <w:jc w:val="center"/>
              <w:rPr>
                <w:rFonts w:ascii="Calibri" w:hAnsi="Calibri" w:cs="Calibri"/>
                <w:b/>
                <w:bCs/>
                <w:color w:val="000000"/>
                <w:sz w:val="22"/>
                <w:szCs w:val="22"/>
              </w:rPr>
            </w:pPr>
            <w:r w:rsidRPr="00B12455">
              <w:rPr>
                <w:rFonts w:ascii="Calibri" w:hAnsi="Calibri" w:cs="Calibri"/>
                <w:b/>
                <w:bCs/>
                <w:color w:val="000000"/>
                <w:sz w:val="22"/>
                <w:szCs w:val="22"/>
              </w:rPr>
              <w:t> </w:t>
            </w:r>
          </w:p>
        </w:tc>
        <w:tc>
          <w:tcPr>
            <w:tcW w:w="1160" w:type="dxa"/>
            <w:tcBorders>
              <w:top w:val="nil"/>
              <w:left w:val="nil"/>
              <w:bottom w:val="single" w:sz="4" w:space="0" w:color="auto"/>
              <w:right w:val="single" w:sz="4" w:space="0" w:color="auto"/>
            </w:tcBorders>
            <w:vAlign w:val="center"/>
            <w:hideMark/>
          </w:tcPr>
          <w:p w14:paraId="5C5E6EF3" w14:textId="77777777" w:rsidR="00B12455" w:rsidRPr="00B12455" w:rsidRDefault="00B12455" w:rsidP="002C2B00">
            <w:pPr>
              <w:spacing w:before="100" w:beforeAutospacing="1" w:after="100" w:afterAutospacing="1"/>
              <w:rPr>
                <w:rFonts w:ascii="Calibri" w:hAnsi="Calibri" w:cs="Calibri"/>
                <w:color w:val="000000"/>
                <w:sz w:val="22"/>
                <w:szCs w:val="22"/>
              </w:rPr>
            </w:pPr>
            <w:r w:rsidRPr="00B12455">
              <w:rPr>
                <w:rFonts w:ascii="Calibri" w:hAnsi="Calibri" w:cs="Calibri"/>
                <w:color w:val="000000"/>
                <w:sz w:val="22"/>
                <w:szCs w:val="22"/>
              </w:rPr>
              <w:t> </w:t>
            </w:r>
          </w:p>
        </w:tc>
        <w:tc>
          <w:tcPr>
            <w:tcW w:w="1620" w:type="dxa"/>
            <w:tcBorders>
              <w:top w:val="nil"/>
              <w:left w:val="nil"/>
              <w:bottom w:val="single" w:sz="4" w:space="0" w:color="auto"/>
              <w:right w:val="single" w:sz="4" w:space="0" w:color="auto"/>
            </w:tcBorders>
            <w:vAlign w:val="center"/>
            <w:hideMark/>
          </w:tcPr>
          <w:p w14:paraId="2DD334B9" w14:textId="77777777" w:rsidR="00B12455" w:rsidRPr="00B12455" w:rsidRDefault="00B12455" w:rsidP="002C2B00">
            <w:pPr>
              <w:spacing w:before="100" w:beforeAutospacing="1" w:after="100" w:afterAutospacing="1"/>
              <w:jc w:val="right"/>
              <w:rPr>
                <w:rFonts w:ascii="Calibri" w:hAnsi="Calibri" w:cs="Calibri"/>
                <w:b/>
                <w:bCs/>
                <w:color w:val="000000"/>
                <w:sz w:val="22"/>
                <w:szCs w:val="22"/>
              </w:rPr>
            </w:pPr>
            <w:r w:rsidRPr="00B12455">
              <w:rPr>
                <w:rFonts w:ascii="Calibri" w:hAnsi="Calibri" w:cs="Calibri"/>
                <w:b/>
                <w:bCs/>
                <w:color w:val="000000"/>
                <w:sz w:val="22"/>
                <w:szCs w:val="22"/>
              </w:rPr>
              <w:t>40</w:t>
            </w:r>
          </w:p>
        </w:tc>
      </w:tr>
      <w:tr w:rsidR="00B12455" w:rsidRPr="009C38F5" w14:paraId="406C0A0E" w14:textId="77777777" w:rsidTr="002402A5">
        <w:trPr>
          <w:trHeight w:val="930"/>
        </w:trPr>
        <w:tc>
          <w:tcPr>
            <w:tcW w:w="6300" w:type="dxa"/>
            <w:tcBorders>
              <w:top w:val="nil"/>
              <w:left w:val="single" w:sz="4" w:space="0" w:color="auto"/>
              <w:bottom w:val="single" w:sz="4" w:space="0" w:color="auto"/>
              <w:right w:val="single" w:sz="4" w:space="0" w:color="auto"/>
            </w:tcBorders>
            <w:shd w:val="clear" w:color="000000" w:fill="C4D79B"/>
            <w:vAlign w:val="center"/>
            <w:hideMark/>
          </w:tcPr>
          <w:p w14:paraId="31298C4D" w14:textId="77777777" w:rsidR="00B12455" w:rsidRPr="00B12455" w:rsidRDefault="00B12455" w:rsidP="002C2B00">
            <w:pPr>
              <w:spacing w:before="100" w:beforeAutospacing="1" w:after="100" w:afterAutospacing="1"/>
              <w:rPr>
                <w:rFonts w:ascii="Calibri" w:hAnsi="Calibri" w:cs="Calibri"/>
                <w:b/>
                <w:bCs/>
                <w:color w:val="000000"/>
                <w:sz w:val="22"/>
                <w:szCs w:val="22"/>
              </w:rPr>
            </w:pPr>
            <w:r w:rsidRPr="00B12455">
              <w:rPr>
                <w:rFonts w:ascii="Calibri" w:hAnsi="Calibri" w:cs="Calibri"/>
                <w:b/>
                <w:bCs/>
                <w:color w:val="000000"/>
                <w:sz w:val="22"/>
                <w:szCs w:val="22"/>
              </w:rPr>
              <w:t>2. Note technique (analyse de la note technique)</w:t>
            </w:r>
          </w:p>
        </w:tc>
        <w:tc>
          <w:tcPr>
            <w:tcW w:w="1160" w:type="dxa"/>
            <w:tcBorders>
              <w:top w:val="nil"/>
              <w:left w:val="nil"/>
              <w:bottom w:val="single" w:sz="4" w:space="0" w:color="auto"/>
              <w:right w:val="single" w:sz="4" w:space="0" w:color="auto"/>
            </w:tcBorders>
            <w:shd w:val="clear" w:color="000000" w:fill="C4D79B"/>
            <w:vAlign w:val="center"/>
            <w:hideMark/>
          </w:tcPr>
          <w:p w14:paraId="21F83F97" w14:textId="77777777" w:rsidR="00B12455" w:rsidRPr="00B12455" w:rsidRDefault="00B12455" w:rsidP="002C2B00">
            <w:pPr>
              <w:spacing w:before="100" w:beforeAutospacing="1" w:after="100" w:afterAutospacing="1"/>
              <w:jc w:val="center"/>
              <w:rPr>
                <w:rFonts w:ascii="Calibri" w:hAnsi="Calibri" w:cs="Calibri"/>
                <w:color w:val="000000"/>
                <w:sz w:val="22"/>
                <w:szCs w:val="22"/>
              </w:rPr>
            </w:pPr>
            <w:r w:rsidRPr="00B12455">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C4D79B"/>
            <w:vAlign w:val="center"/>
            <w:hideMark/>
          </w:tcPr>
          <w:p w14:paraId="4BAC409F" w14:textId="77777777" w:rsidR="00B12455" w:rsidRPr="00B12455" w:rsidRDefault="00B12455" w:rsidP="002C2B00">
            <w:pPr>
              <w:spacing w:before="100" w:beforeAutospacing="1" w:after="100" w:afterAutospacing="1"/>
              <w:rPr>
                <w:rFonts w:ascii="Calibri" w:hAnsi="Calibri" w:cs="Calibri"/>
                <w:color w:val="000000"/>
                <w:sz w:val="22"/>
                <w:szCs w:val="22"/>
              </w:rPr>
            </w:pPr>
            <w:r w:rsidRPr="00B12455">
              <w:rPr>
                <w:rFonts w:ascii="Calibri" w:hAnsi="Calibri" w:cs="Calibri"/>
                <w:color w:val="000000"/>
                <w:sz w:val="22"/>
                <w:szCs w:val="22"/>
              </w:rPr>
              <w:t> </w:t>
            </w:r>
          </w:p>
        </w:tc>
        <w:tc>
          <w:tcPr>
            <w:tcW w:w="1620" w:type="dxa"/>
            <w:tcBorders>
              <w:top w:val="nil"/>
              <w:left w:val="nil"/>
              <w:bottom w:val="single" w:sz="4" w:space="0" w:color="auto"/>
              <w:right w:val="single" w:sz="4" w:space="0" w:color="auto"/>
            </w:tcBorders>
            <w:shd w:val="clear" w:color="000000" w:fill="C4D79B"/>
            <w:vAlign w:val="center"/>
            <w:hideMark/>
          </w:tcPr>
          <w:p w14:paraId="2A37F984" w14:textId="77777777" w:rsidR="00B12455" w:rsidRPr="00B12455" w:rsidRDefault="00B12455" w:rsidP="002C2B00">
            <w:pPr>
              <w:spacing w:before="100" w:beforeAutospacing="1" w:after="100" w:afterAutospacing="1"/>
              <w:rPr>
                <w:rFonts w:ascii="Calibri" w:hAnsi="Calibri" w:cs="Calibri"/>
                <w:color w:val="000000"/>
                <w:sz w:val="22"/>
                <w:szCs w:val="22"/>
              </w:rPr>
            </w:pPr>
            <w:r w:rsidRPr="00B12455">
              <w:rPr>
                <w:rFonts w:ascii="Calibri" w:hAnsi="Calibri" w:cs="Calibri"/>
                <w:color w:val="000000"/>
                <w:sz w:val="22"/>
                <w:szCs w:val="22"/>
              </w:rPr>
              <w:t> </w:t>
            </w:r>
          </w:p>
        </w:tc>
      </w:tr>
      <w:tr w:rsidR="00B12455" w:rsidRPr="00B12455" w14:paraId="57417495" w14:textId="77777777" w:rsidTr="002402A5">
        <w:trPr>
          <w:trHeight w:val="300"/>
        </w:trPr>
        <w:tc>
          <w:tcPr>
            <w:tcW w:w="6300" w:type="dxa"/>
            <w:tcBorders>
              <w:top w:val="nil"/>
              <w:left w:val="single" w:sz="4" w:space="0" w:color="auto"/>
              <w:bottom w:val="single" w:sz="4" w:space="0" w:color="auto"/>
              <w:right w:val="single" w:sz="4" w:space="0" w:color="auto"/>
            </w:tcBorders>
            <w:vAlign w:val="center"/>
            <w:hideMark/>
          </w:tcPr>
          <w:p w14:paraId="0BCA9168" w14:textId="77777777" w:rsidR="00B12455" w:rsidRPr="00B12455" w:rsidRDefault="00B12455" w:rsidP="002C2B00">
            <w:pPr>
              <w:spacing w:before="100" w:beforeAutospacing="1" w:after="100" w:afterAutospacing="1"/>
              <w:rPr>
                <w:rFonts w:ascii="Calibri" w:hAnsi="Calibri" w:cs="Calibri"/>
                <w:color w:val="000000"/>
                <w:sz w:val="22"/>
                <w:szCs w:val="22"/>
              </w:rPr>
            </w:pPr>
            <w:r w:rsidRPr="00B12455">
              <w:rPr>
                <w:rFonts w:ascii="Calibri" w:hAnsi="Calibri" w:cs="Calibri"/>
                <w:color w:val="000000"/>
                <w:sz w:val="22"/>
                <w:szCs w:val="22"/>
              </w:rPr>
              <w:t>Approche participative de la méthodologie (rôle MAS)</w:t>
            </w:r>
          </w:p>
        </w:tc>
        <w:tc>
          <w:tcPr>
            <w:tcW w:w="1160" w:type="dxa"/>
            <w:tcBorders>
              <w:top w:val="nil"/>
              <w:left w:val="nil"/>
              <w:bottom w:val="single" w:sz="4" w:space="0" w:color="auto"/>
              <w:right w:val="single" w:sz="4" w:space="0" w:color="auto"/>
            </w:tcBorders>
            <w:vAlign w:val="center"/>
            <w:hideMark/>
          </w:tcPr>
          <w:p w14:paraId="7538FFD8" w14:textId="77777777" w:rsidR="00B12455" w:rsidRPr="00B12455" w:rsidRDefault="00B12455" w:rsidP="002C2B00">
            <w:pPr>
              <w:spacing w:before="100" w:beforeAutospacing="1" w:after="100" w:afterAutospacing="1"/>
              <w:jc w:val="center"/>
              <w:rPr>
                <w:rFonts w:ascii="Calibri" w:hAnsi="Calibri" w:cs="Calibri"/>
                <w:color w:val="000000"/>
                <w:sz w:val="22"/>
                <w:szCs w:val="22"/>
              </w:rPr>
            </w:pPr>
            <w:r w:rsidRPr="00B12455">
              <w:rPr>
                <w:rFonts w:ascii="Calibri" w:hAnsi="Calibri" w:cs="Calibri"/>
                <w:color w:val="000000"/>
                <w:sz w:val="22"/>
                <w:szCs w:val="22"/>
              </w:rPr>
              <w:t>4</w:t>
            </w:r>
          </w:p>
        </w:tc>
        <w:tc>
          <w:tcPr>
            <w:tcW w:w="1160" w:type="dxa"/>
            <w:tcBorders>
              <w:top w:val="nil"/>
              <w:left w:val="nil"/>
              <w:bottom w:val="single" w:sz="4" w:space="0" w:color="auto"/>
              <w:right w:val="single" w:sz="4" w:space="0" w:color="auto"/>
            </w:tcBorders>
            <w:vAlign w:val="center"/>
            <w:hideMark/>
          </w:tcPr>
          <w:p w14:paraId="26BC0319" w14:textId="77777777" w:rsidR="00B12455" w:rsidRPr="00B12455" w:rsidRDefault="00B12455" w:rsidP="002C2B00">
            <w:pPr>
              <w:spacing w:before="100" w:beforeAutospacing="1" w:after="100" w:afterAutospacing="1"/>
              <w:jc w:val="right"/>
              <w:rPr>
                <w:rFonts w:ascii="Calibri" w:hAnsi="Calibri" w:cs="Calibri"/>
                <w:color w:val="000000"/>
                <w:sz w:val="22"/>
                <w:szCs w:val="22"/>
              </w:rPr>
            </w:pPr>
            <w:r w:rsidRPr="00B12455">
              <w:rPr>
                <w:rFonts w:ascii="Calibri" w:hAnsi="Calibri" w:cs="Calibri"/>
                <w:color w:val="000000"/>
                <w:sz w:val="22"/>
                <w:szCs w:val="22"/>
              </w:rPr>
              <w:t>5</w:t>
            </w:r>
          </w:p>
        </w:tc>
        <w:tc>
          <w:tcPr>
            <w:tcW w:w="1620" w:type="dxa"/>
            <w:tcBorders>
              <w:top w:val="nil"/>
              <w:left w:val="nil"/>
              <w:bottom w:val="single" w:sz="4" w:space="0" w:color="auto"/>
              <w:right w:val="single" w:sz="4" w:space="0" w:color="auto"/>
            </w:tcBorders>
            <w:vAlign w:val="center"/>
            <w:hideMark/>
          </w:tcPr>
          <w:p w14:paraId="15CF92DA" w14:textId="77777777" w:rsidR="00B12455" w:rsidRPr="00B12455" w:rsidRDefault="00B12455" w:rsidP="002C2B00">
            <w:pPr>
              <w:spacing w:before="100" w:beforeAutospacing="1" w:after="100" w:afterAutospacing="1"/>
              <w:jc w:val="right"/>
              <w:rPr>
                <w:rFonts w:ascii="Calibri" w:hAnsi="Calibri" w:cs="Calibri"/>
                <w:color w:val="000000"/>
                <w:sz w:val="22"/>
                <w:szCs w:val="22"/>
              </w:rPr>
            </w:pPr>
            <w:r w:rsidRPr="00B12455">
              <w:rPr>
                <w:rFonts w:ascii="Calibri" w:hAnsi="Calibri" w:cs="Calibri"/>
                <w:color w:val="000000"/>
                <w:sz w:val="22"/>
                <w:szCs w:val="22"/>
              </w:rPr>
              <w:t>20</w:t>
            </w:r>
          </w:p>
        </w:tc>
      </w:tr>
      <w:tr w:rsidR="00B12455" w:rsidRPr="00B12455" w14:paraId="7633BA5C" w14:textId="77777777" w:rsidTr="002402A5">
        <w:trPr>
          <w:trHeight w:val="540"/>
        </w:trPr>
        <w:tc>
          <w:tcPr>
            <w:tcW w:w="6300" w:type="dxa"/>
            <w:tcBorders>
              <w:top w:val="nil"/>
              <w:left w:val="single" w:sz="4" w:space="0" w:color="auto"/>
              <w:bottom w:val="single" w:sz="4" w:space="0" w:color="auto"/>
              <w:right w:val="single" w:sz="4" w:space="0" w:color="auto"/>
            </w:tcBorders>
            <w:vAlign w:val="center"/>
            <w:hideMark/>
          </w:tcPr>
          <w:p w14:paraId="05226B99" w14:textId="77777777" w:rsidR="00B12455" w:rsidRPr="00B12455" w:rsidRDefault="00B12455" w:rsidP="002C2B00">
            <w:pPr>
              <w:spacing w:before="100" w:beforeAutospacing="1" w:after="100" w:afterAutospacing="1"/>
              <w:rPr>
                <w:rFonts w:ascii="Calibri" w:hAnsi="Calibri" w:cs="Calibri"/>
                <w:color w:val="000000"/>
                <w:sz w:val="22"/>
                <w:szCs w:val="22"/>
              </w:rPr>
            </w:pPr>
            <w:r w:rsidRPr="00B12455">
              <w:rPr>
                <w:rFonts w:ascii="Calibri" w:hAnsi="Calibri" w:cs="Calibri"/>
                <w:color w:val="000000"/>
                <w:sz w:val="22"/>
                <w:szCs w:val="22"/>
              </w:rPr>
              <w:t>Normes et bonnes pratiques de référence</w:t>
            </w:r>
          </w:p>
        </w:tc>
        <w:tc>
          <w:tcPr>
            <w:tcW w:w="1160" w:type="dxa"/>
            <w:tcBorders>
              <w:top w:val="nil"/>
              <w:left w:val="nil"/>
              <w:bottom w:val="single" w:sz="4" w:space="0" w:color="auto"/>
              <w:right w:val="single" w:sz="4" w:space="0" w:color="auto"/>
            </w:tcBorders>
            <w:vAlign w:val="center"/>
            <w:hideMark/>
          </w:tcPr>
          <w:p w14:paraId="14867C8A" w14:textId="77777777" w:rsidR="00B12455" w:rsidRPr="00B12455" w:rsidRDefault="00B12455" w:rsidP="002C2B00">
            <w:pPr>
              <w:spacing w:before="100" w:beforeAutospacing="1" w:after="100" w:afterAutospacing="1"/>
              <w:jc w:val="center"/>
              <w:rPr>
                <w:rFonts w:ascii="Calibri" w:hAnsi="Calibri" w:cs="Calibri"/>
                <w:color w:val="000000"/>
                <w:sz w:val="22"/>
                <w:szCs w:val="22"/>
              </w:rPr>
            </w:pPr>
            <w:r w:rsidRPr="00B12455">
              <w:rPr>
                <w:rFonts w:ascii="Calibri" w:hAnsi="Calibri" w:cs="Calibri"/>
                <w:color w:val="000000"/>
                <w:sz w:val="22"/>
                <w:szCs w:val="22"/>
              </w:rPr>
              <w:t>4</w:t>
            </w:r>
          </w:p>
        </w:tc>
        <w:tc>
          <w:tcPr>
            <w:tcW w:w="1160" w:type="dxa"/>
            <w:tcBorders>
              <w:top w:val="nil"/>
              <w:left w:val="nil"/>
              <w:bottom w:val="single" w:sz="4" w:space="0" w:color="auto"/>
              <w:right w:val="single" w:sz="4" w:space="0" w:color="auto"/>
            </w:tcBorders>
            <w:vAlign w:val="center"/>
            <w:hideMark/>
          </w:tcPr>
          <w:p w14:paraId="06647734" w14:textId="77777777" w:rsidR="00B12455" w:rsidRPr="00B12455" w:rsidRDefault="00B12455" w:rsidP="002C2B00">
            <w:pPr>
              <w:spacing w:before="100" w:beforeAutospacing="1" w:after="100" w:afterAutospacing="1"/>
              <w:jc w:val="right"/>
              <w:rPr>
                <w:rFonts w:ascii="Calibri" w:hAnsi="Calibri" w:cs="Calibri"/>
                <w:color w:val="000000"/>
                <w:sz w:val="22"/>
                <w:szCs w:val="22"/>
              </w:rPr>
            </w:pPr>
            <w:r w:rsidRPr="00B12455">
              <w:rPr>
                <w:rFonts w:ascii="Calibri" w:hAnsi="Calibri" w:cs="Calibri"/>
                <w:color w:val="000000"/>
                <w:sz w:val="22"/>
                <w:szCs w:val="22"/>
              </w:rPr>
              <w:t>5</w:t>
            </w:r>
          </w:p>
        </w:tc>
        <w:tc>
          <w:tcPr>
            <w:tcW w:w="1620" w:type="dxa"/>
            <w:tcBorders>
              <w:top w:val="nil"/>
              <w:left w:val="nil"/>
              <w:bottom w:val="single" w:sz="4" w:space="0" w:color="auto"/>
              <w:right w:val="single" w:sz="4" w:space="0" w:color="auto"/>
            </w:tcBorders>
            <w:vAlign w:val="center"/>
            <w:hideMark/>
          </w:tcPr>
          <w:p w14:paraId="573DBACA" w14:textId="77777777" w:rsidR="00B12455" w:rsidRPr="00B12455" w:rsidRDefault="00B12455" w:rsidP="002C2B00">
            <w:pPr>
              <w:spacing w:before="100" w:beforeAutospacing="1" w:after="100" w:afterAutospacing="1"/>
              <w:jc w:val="right"/>
              <w:rPr>
                <w:rFonts w:ascii="Calibri" w:hAnsi="Calibri" w:cs="Calibri"/>
                <w:color w:val="000000"/>
                <w:sz w:val="22"/>
                <w:szCs w:val="22"/>
              </w:rPr>
            </w:pPr>
            <w:r w:rsidRPr="00B12455">
              <w:rPr>
                <w:rFonts w:ascii="Calibri" w:hAnsi="Calibri" w:cs="Calibri"/>
                <w:color w:val="000000"/>
                <w:sz w:val="22"/>
                <w:szCs w:val="22"/>
              </w:rPr>
              <w:t>20</w:t>
            </w:r>
          </w:p>
        </w:tc>
      </w:tr>
      <w:tr w:rsidR="00B12455" w:rsidRPr="00B12455" w14:paraId="2FD6C55C" w14:textId="77777777" w:rsidTr="002402A5">
        <w:trPr>
          <w:trHeight w:val="672"/>
        </w:trPr>
        <w:tc>
          <w:tcPr>
            <w:tcW w:w="6300" w:type="dxa"/>
            <w:tcBorders>
              <w:top w:val="nil"/>
              <w:left w:val="single" w:sz="4" w:space="0" w:color="auto"/>
              <w:bottom w:val="single" w:sz="4" w:space="0" w:color="auto"/>
              <w:right w:val="single" w:sz="4" w:space="0" w:color="auto"/>
            </w:tcBorders>
            <w:vAlign w:val="center"/>
            <w:hideMark/>
          </w:tcPr>
          <w:p w14:paraId="3981599A" w14:textId="77777777" w:rsidR="00B12455" w:rsidRPr="00B12455" w:rsidRDefault="00B12455" w:rsidP="002C2B00">
            <w:pPr>
              <w:spacing w:before="100" w:beforeAutospacing="1" w:after="100" w:afterAutospacing="1"/>
              <w:rPr>
                <w:rFonts w:ascii="Calibri" w:hAnsi="Calibri" w:cs="Calibri"/>
                <w:color w:val="000000"/>
                <w:sz w:val="22"/>
                <w:szCs w:val="22"/>
              </w:rPr>
            </w:pPr>
            <w:r w:rsidRPr="00B12455">
              <w:rPr>
                <w:rFonts w:ascii="Calibri" w:hAnsi="Calibri" w:cs="Calibri"/>
                <w:color w:val="000000"/>
                <w:sz w:val="22"/>
                <w:szCs w:val="22"/>
              </w:rPr>
              <w:t>Respect des livrables</w:t>
            </w:r>
          </w:p>
        </w:tc>
        <w:tc>
          <w:tcPr>
            <w:tcW w:w="1160" w:type="dxa"/>
            <w:tcBorders>
              <w:top w:val="nil"/>
              <w:left w:val="nil"/>
              <w:bottom w:val="single" w:sz="4" w:space="0" w:color="auto"/>
              <w:right w:val="single" w:sz="4" w:space="0" w:color="auto"/>
            </w:tcBorders>
            <w:vAlign w:val="center"/>
            <w:hideMark/>
          </w:tcPr>
          <w:p w14:paraId="32573E4A" w14:textId="77777777" w:rsidR="00B12455" w:rsidRPr="00B12455" w:rsidRDefault="00B12455" w:rsidP="002C2B00">
            <w:pPr>
              <w:spacing w:before="100" w:beforeAutospacing="1" w:after="100" w:afterAutospacing="1"/>
              <w:jc w:val="center"/>
              <w:rPr>
                <w:rFonts w:ascii="Calibri" w:hAnsi="Calibri" w:cs="Calibri"/>
                <w:color w:val="000000"/>
                <w:sz w:val="22"/>
                <w:szCs w:val="22"/>
              </w:rPr>
            </w:pPr>
            <w:r w:rsidRPr="00B12455">
              <w:rPr>
                <w:rFonts w:ascii="Calibri" w:hAnsi="Calibri" w:cs="Calibri"/>
                <w:color w:val="000000"/>
                <w:sz w:val="22"/>
                <w:szCs w:val="22"/>
              </w:rPr>
              <w:t>1</w:t>
            </w:r>
          </w:p>
        </w:tc>
        <w:tc>
          <w:tcPr>
            <w:tcW w:w="1160" w:type="dxa"/>
            <w:tcBorders>
              <w:top w:val="nil"/>
              <w:left w:val="nil"/>
              <w:bottom w:val="single" w:sz="4" w:space="0" w:color="auto"/>
              <w:right w:val="single" w:sz="4" w:space="0" w:color="auto"/>
            </w:tcBorders>
            <w:vAlign w:val="center"/>
            <w:hideMark/>
          </w:tcPr>
          <w:p w14:paraId="57FD7273" w14:textId="77777777" w:rsidR="00B12455" w:rsidRPr="00B12455" w:rsidRDefault="00B12455" w:rsidP="002C2B00">
            <w:pPr>
              <w:spacing w:before="100" w:beforeAutospacing="1" w:after="100" w:afterAutospacing="1"/>
              <w:jc w:val="right"/>
              <w:rPr>
                <w:rFonts w:ascii="Calibri" w:hAnsi="Calibri" w:cs="Calibri"/>
                <w:color w:val="000000"/>
                <w:sz w:val="22"/>
                <w:szCs w:val="22"/>
              </w:rPr>
            </w:pPr>
            <w:r w:rsidRPr="00B12455">
              <w:rPr>
                <w:rFonts w:ascii="Calibri" w:hAnsi="Calibri" w:cs="Calibri"/>
                <w:color w:val="000000"/>
                <w:sz w:val="22"/>
                <w:szCs w:val="22"/>
              </w:rPr>
              <w:t>5</w:t>
            </w:r>
          </w:p>
        </w:tc>
        <w:tc>
          <w:tcPr>
            <w:tcW w:w="1620" w:type="dxa"/>
            <w:tcBorders>
              <w:top w:val="nil"/>
              <w:left w:val="nil"/>
              <w:bottom w:val="single" w:sz="4" w:space="0" w:color="auto"/>
              <w:right w:val="single" w:sz="4" w:space="0" w:color="auto"/>
            </w:tcBorders>
            <w:vAlign w:val="center"/>
            <w:hideMark/>
          </w:tcPr>
          <w:p w14:paraId="311C9040" w14:textId="77777777" w:rsidR="00B12455" w:rsidRPr="00B12455" w:rsidRDefault="00B12455" w:rsidP="002C2B00">
            <w:pPr>
              <w:spacing w:before="100" w:beforeAutospacing="1" w:after="100" w:afterAutospacing="1"/>
              <w:jc w:val="right"/>
              <w:rPr>
                <w:rFonts w:ascii="Calibri" w:hAnsi="Calibri" w:cs="Calibri"/>
                <w:color w:val="000000"/>
                <w:sz w:val="22"/>
                <w:szCs w:val="22"/>
              </w:rPr>
            </w:pPr>
            <w:r w:rsidRPr="00B12455">
              <w:rPr>
                <w:rFonts w:ascii="Calibri" w:hAnsi="Calibri" w:cs="Calibri"/>
                <w:color w:val="000000"/>
                <w:sz w:val="22"/>
                <w:szCs w:val="22"/>
              </w:rPr>
              <w:t>5</w:t>
            </w:r>
          </w:p>
        </w:tc>
      </w:tr>
      <w:tr w:rsidR="00B12455" w:rsidRPr="00B12455" w14:paraId="106097F7" w14:textId="77777777" w:rsidTr="002402A5">
        <w:trPr>
          <w:trHeight w:val="396"/>
        </w:trPr>
        <w:tc>
          <w:tcPr>
            <w:tcW w:w="6300" w:type="dxa"/>
            <w:tcBorders>
              <w:top w:val="nil"/>
              <w:left w:val="single" w:sz="4" w:space="0" w:color="auto"/>
              <w:bottom w:val="single" w:sz="4" w:space="0" w:color="auto"/>
              <w:right w:val="single" w:sz="4" w:space="0" w:color="auto"/>
            </w:tcBorders>
            <w:vAlign w:val="center"/>
            <w:hideMark/>
          </w:tcPr>
          <w:p w14:paraId="5D5E39A7" w14:textId="77777777" w:rsidR="00B12455" w:rsidRPr="00B12455" w:rsidRDefault="00B12455" w:rsidP="002C2B00">
            <w:pPr>
              <w:spacing w:before="100" w:beforeAutospacing="1" w:after="100" w:afterAutospacing="1"/>
              <w:rPr>
                <w:rFonts w:ascii="Calibri" w:hAnsi="Calibri" w:cs="Calibri"/>
                <w:color w:val="000000"/>
                <w:sz w:val="22"/>
                <w:szCs w:val="22"/>
              </w:rPr>
            </w:pPr>
            <w:r w:rsidRPr="00B12455">
              <w:rPr>
                <w:rFonts w:ascii="Calibri" w:hAnsi="Calibri" w:cs="Calibri"/>
                <w:color w:val="000000"/>
                <w:sz w:val="22"/>
                <w:szCs w:val="22"/>
              </w:rPr>
              <w:t>Calendrier de mise en œuvre</w:t>
            </w:r>
          </w:p>
        </w:tc>
        <w:tc>
          <w:tcPr>
            <w:tcW w:w="1160" w:type="dxa"/>
            <w:tcBorders>
              <w:top w:val="nil"/>
              <w:left w:val="nil"/>
              <w:bottom w:val="single" w:sz="4" w:space="0" w:color="auto"/>
              <w:right w:val="single" w:sz="4" w:space="0" w:color="auto"/>
            </w:tcBorders>
            <w:vAlign w:val="center"/>
            <w:hideMark/>
          </w:tcPr>
          <w:p w14:paraId="02D6B6B4" w14:textId="77777777" w:rsidR="00B12455" w:rsidRPr="00B12455" w:rsidRDefault="00B12455" w:rsidP="002C2B00">
            <w:pPr>
              <w:spacing w:before="100" w:beforeAutospacing="1" w:after="100" w:afterAutospacing="1"/>
              <w:jc w:val="center"/>
              <w:rPr>
                <w:rFonts w:ascii="Calibri" w:hAnsi="Calibri" w:cs="Calibri"/>
                <w:color w:val="000000"/>
                <w:sz w:val="22"/>
                <w:szCs w:val="22"/>
              </w:rPr>
            </w:pPr>
            <w:r w:rsidRPr="00B12455">
              <w:rPr>
                <w:rFonts w:ascii="Calibri" w:hAnsi="Calibri" w:cs="Calibri"/>
                <w:color w:val="000000"/>
                <w:sz w:val="22"/>
                <w:szCs w:val="22"/>
              </w:rPr>
              <w:t>3</w:t>
            </w:r>
          </w:p>
        </w:tc>
        <w:tc>
          <w:tcPr>
            <w:tcW w:w="1160" w:type="dxa"/>
            <w:tcBorders>
              <w:top w:val="nil"/>
              <w:left w:val="nil"/>
              <w:bottom w:val="single" w:sz="4" w:space="0" w:color="auto"/>
              <w:right w:val="single" w:sz="4" w:space="0" w:color="auto"/>
            </w:tcBorders>
            <w:vAlign w:val="center"/>
            <w:hideMark/>
          </w:tcPr>
          <w:p w14:paraId="022BD49C" w14:textId="77777777" w:rsidR="00B12455" w:rsidRPr="00B12455" w:rsidRDefault="00B12455" w:rsidP="002C2B00">
            <w:pPr>
              <w:spacing w:before="100" w:beforeAutospacing="1" w:after="100" w:afterAutospacing="1"/>
              <w:jc w:val="right"/>
              <w:rPr>
                <w:rFonts w:ascii="Calibri" w:hAnsi="Calibri" w:cs="Calibri"/>
                <w:color w:val="000000"/>
                <w:sz w:val="22"/>
                <w:szCs w:val="22"/>
              </w:rPr>
            </w:pPr>
            <w:r w:rsidRPr="00B12455">
              <w:rPr>
                <w:rFonts w:ascii="Calibri" w:hAnsi="Calibri" w:cs="Calibri"/>
                <w:color w:val="000000"/>
                <w:sz w:val="22"/>
                <w:szCs w:val="22"/>
              </w:rPr>
              <w:t>5</w:t>
            </w:r>
          </w:p>
        </w:tc>
        <w:tc>
          <w:tcPr>
            <w:tcW w:w="1620" w:type="dxa"/>
            <w:tcBorders>
              <w:top w:val="nil"/>
              <w:left w:val="nil"/>
              <w:bottom w:val="single" w:sz="4" w:space="0" w:color="auto"/>
              <w:right w:val="single" w:sz="4" w:space="0" w:color="auto"/>
            </w:tcBorders>
            <w:vAlign w:val="center"/>
            <w:hideMark/>
          </w:tcPr>
          <w:p w14:paraId="66882782" w14:textId="77777777" w:rsidR="00B12455" w:rsidRPr="00B12455" w:rsidRDefault="00B12455" w:rsidP="002C2B00">
            <w:pPr>
              <w:spacing w:before="100" w:beforeAutospacing="1" w:after="100" w:afterAutospacing="1"/>
              <w:jc w:val="right"/>
              <w:rPr>
                <w:rFonts w:ascii="Calibri" w:hAnsi="Calibri" w:cs="Calibri"/>
                <w:color w:val="000000"/>
                <w:sz w:val="22"/>
                <w:szCs w:val="22"/>
              </w:rPr>
            </w:pPr>
            <w:r w:rsidRPr="00B12455">
              <w:rPr>
                <w:rFonts w:ascii="Calibri" w:hAnsi="Calibri" w:cs="Calibri"/>
                <w:color w:val="000000"/>
                <w:sz w:val="22"/>
                <w:szCs w:val="22"/>
              </w:rPr>
              <w:t>15</w:t>
            </w:r>
          </w:p>
        </w:tc>
      </w:tr>
      <w:tr w:rsidR="00B12455" w:rsidRPr="00B12455" w14:paraId="12F5D356" w14:textId="77777777" w:rsidTr="002402A5">
        <w:trPr>
          <w:trHeight w:val="285"/>
        </w:trPr>
        <w:tc>
          <w:tcPr>
            <w:tcW w:w="6300" w:type="dxa"/>
            <w:tcBorders>
              <w:top w:val="nil"/>
              <w:left w:val="single" w:sz="4" w:space="0" w:color="auto"/>
              <w:bottom w:val="single" w:sz="4" w:space="0" w:color="auto"/>
              <w:right w:val="single" w:sz="4" w:space="0" w:color="auto"/>
            </w:tcBorders>
            <w:vAlign w:val="center"/>
            <w:hideMark/>
          </w:tcPr>
          <w:p w14:paraId="64B2A696" w14:textId="77777777" w:rsidR="00B12455" w:rsidRPr="00B12455" w:rsidRDefault="00B12455" w:rsidP="002C2B00">
            <w:pPr>
              <w:spacing w:before="100" w:beforeAutospacing="1" w:after="100" w:afterAutospacing="1"/>
              <w:rPr>
                <w:rFonts w:ascii="Calibri" w:hAnsi="Calibri" w:cs="Calibri"/>
                <w:b/>
                <w:bCs/>
                <w:color w:val="000000"/>
                <w:sz w:val="22"/>
                <w:szCs w:val="22"/>
              </w:rPr>
            </w:pPr>
            <w:r w:rsidRPr="00B12455">
              <w:rPr>
                <w:rFonts w:ascii="Calibri" w:hAnsi="Calibri" w:cs="Calibri"/>
                <w:b/>
                <w:bCs/>
                <w:color w:val="000000"/>
                <w:sz w:val="22"/>
                <w:szCs w:val="22"/>
              </w:rPr>
              <w:t>Sous-total (2)</w:t>
            </w:r>
          </w:p>
        </w:tc>
        <w:tc>
          <w:tcPr>
            <w:tcW w:w="1160" w:type="dxa"/>
            <w:tcBorders>
              <w:top w:val="nil"/>
              <w:left w:val="nil"/>
              <w:bottom w:val="single" w:sz="4" w:space="0" w:color="auto"/>
              <w:right w:val="single" w:sz="4" w:space="0" w:color="auto"/>
            </w:tcBorders>
            <w:vAlign w:val="center"/>
            <w:hideMark/>
          </w:tcPr>
          <w:p w14:paraId="34ADA9C0" w14:textId="77777777" w:rsidR="00B12455" w:rsidRPr="00B12455" w:rsidRDefault="00B12455" w:rsidP="002C2B00">
            <w:pPr>
              <w:spacing w:before="100" w:beforeAutospacing="1" w:after="100" w:afterAutospacing="1"/>
              <w:jc w:val="center"/>
              <w:rPr>
                <w:rFonts w:ascii="Calibri" w:hAnsi="Calibri" w:cs="Calibri"/>
                <w:b/>
                <w:bCs/>
                <w:color w:val="000000"/>
                <w:sz w:val="22"/>
                <w:szCs w:val="22"/>
              </w:rPr>
            </w:pPr>
            <w:r w:rsidRPr="00B12455">
              <w:rPr>
                <w:rFonts w:ascii="Calibri" w:hAnsi="Calibri" w:cs="Calibri"/>
                <w:b/>
                <w:bCs/>
                <w:color w:val="000000"/>
                <w:sz w:val="22"/>
                <w:szCs w:val="22"/>
              </w:rPr>
              <w:t> </w:t>
            </w:r>
          </w:p>
        </w:tc>
        <w:tc>
          <w:tcPr>
            <w:tcW w:w="1160" w:type="dxa"/>
            <w:tcBorders>
              <w:top w:val="nil"/>
              <w:left w:val="nil"/>
              <w:bottom w:val="single" w:sz="4" w:space="0" w:color="auto"/>
              <w:right w:val="single" w:sz="4" w:space="0" w:color="auto"/>
            </w:tcBorders>
            <w:vAlign w:val="center"/>
            <w:hideMark/>
          </w:tcPr>
          <w:p w14:paraId="0555FBC0" w14:textId="77777777" w:rsidR="00B12455" w:rsidRPr="00B12455" w:rsidRDefault="00B12455" w:rsidP="002C2B00">
            <w:pPr>
              <w:spacing w:before="100" w:beforeAutospacing="1" w:after="100" w:afterAutospacing="1"/>
              <w:rPr>
                <w:rFonts w:ascii="Calibri" w:hAnsi="Calibri" w:cs="Calibri"/>
                <w:color w:val="000000"/>
                <w:sz w:val="22"/>
                <w:szCs w:val="22"/>
              </w:rPr>
            </w:pPr>
            <w:r w:rsidRPr="00B12455">
              <w:rPr>
                <w:rFonts w:ascii="Calibri" w:hAnsi="Calibri" w:cs="Calibri"/>
                <w:color w:val="000000"/>
                <w:sz w:val="22"/>
                <w:szCs w:val="22"/>
              </w:rPr>
              <w:t> </w:t>
            </w:r>
          </w:p>
        </w:tc>
        <w:tc>
          <w:tcPr>
            <w:tcW w:w="1620" w:type="dxa"/>
            <w:tcBorders>
              <w:top w:val="nil"/>
              <w:left w:val="nil"/>
              <w:bottom w:val="single" w:sz="4" w:space="0" w:color="auto"/>
              <w:right w:val="single" w:sz="4" w:space="0" w:color="auto"/>
            </w:tcBorders>
            <w:vAlign w:val="center"/>
            <w:hideMark/>
          </w:tcPr>
          <w:p w14:paraId="4EA7B5CA" w14:textId="77777777" w:rsidR="00B12455" w:rsidRPr="00B12455" w:rsidRDefault="00B12455" w:rsidP="002C2B00">
            <w:pPr>
              <w:spacing w:before="100" w:beforeAutospacing="1" w:after="100" w:afterAutospacing="1"/>
              <w:jc w:val="right"/>
              <w:rPr>
                <w:rFonts w:ascii="Calibri" w:hAnsi="Calibri" w:cs="Calibri"/>
                <w:b/>
                <w:bCs/>
                <w:color w:val="000000"/>
                <w:sz w:val="22"/>
                <w:szCs w:val="22"/>
              </w:rPr>
            </w:pPr>
            <w:r w:rsidRPr="00B12455">
              <w:rPr>
                <w:rFonts w:ascii="Calibri" w:hAnsi="Calibri" w:cs="Calibri"/>
                <w:b/>
                <w:bCs/>
                <w:color w:val="000000"/>
                <w:sz w:val="22"/>
                <w:szCs w:val="22"/>
              </w:rPr>
              <w:t>60</w:t>
            </w:r>
          </w:p>
        </w:tc>
      </w:tr>
      <w:tr w:rsidR="00B12455" w:rsidRPr="00B12455" w14:paraId="0FDC41EA" w14:textId="77777777" w:rsidTr="002402A5">
        <w:trPr>
          <w:trHeight w:val="285"/>
        </w:trPr>
        <w:tc>
          <w:tcPr>
            <w:tcW w:w="8620" w:type="dxa"/>
            <w:gridSpan w:val="3"/>
            <w:tcBorders>
              <w:top w:val="single" w:sz="4" w:space="0" w:color="auto"/>
              <w:left w:val="single" w:sz="4" w:space="0" w:color="auto"/>
              <w:bottom w:val="single" w:sz="4" w:space="0" w:color="auto"/>
              <w:right w:val="single" w:sz="4" w:space="0" w:color="000000"/>
            </w:tcBorders>
            <w:vAlign w:val="center"/>
            <w:hideMark/>
          </w:tcPr>
          <w:p w14:paraId="7BB9529F" w14:textId="77777777" w:rsidR="00B12455" w:rsidRPr="00B12455" w:rsidRDefault="00B12455" w:rsidP="002C2B00">
            <w:pPr>
              <w:spacing w:before="100" w:beforeAutospacing="1" w:after="100" w:afterAutospacing="1"/>
              <w:jc w:val="right"/>
              <w:rPr>
                <w:rFonts w:ascii="Calibri" w:hAnsi="Calibri" w:cs="Calibri"/>
                <w:b/>
                <w:bCs/>
                <w:color w:val="000000"/>
                <w:sz w:val="22"/>
                <w:szCs w:val="22"/>
              </w:rPr>
            </w:pPr>
            <w:r w:rsidRPr="00B12455">
              <w:rPr>
                <w:rFonts w:ascii="Calibri" w:hAnsi="Calibri" w:cs="Calibri"/>
                <w:b/>
                <w:bCs/>
                <w:color w:val="000000"/>
                <w:sz w:val="22"/>
                <w:szCs w:val="22"/>
              </w:rPr>
              <w:t>NOTE OBTENUE</w:t>
            </w:r>
          </w:p>
        </w:tc>
        <w:tc>
          <w:tcPr>
            <w:tcW w:w="1620" w:type="dxa"/>
            <w:tcBorders>
              <w:top w:val="nil"/>
              <w:left w:val="nil"/>
              <w:bottom w:val="single" w:sz="4" w:space="0" w:color="auto"/>
              <w:right w:val="single" w:sz="4" w:space="0" w:color="auto"/>
            </w:tcBorders>
            <w:vAlign w:val="center"/>
            <w:hideMark/>
          </w:tcPr>
          <w:p w14:paraId="0FA38970" w14:textId="77777777" w:rsidR="00B12455" w:rsidRPr="00B12455" w:rsidRDefault="00B12455" w:rsidP="002C2B00">
            <w:pPr>
              <w:spacing w:before="100" w:beforeAutospacing="1" w:after="100" w:afterAutospacing="1"/>
              <w:jc w:val="right"/>
              <w:rPr>
                <w:rFonts w:ascii="Calibri" w:hAnsi="Calibri" w:cs="Calibri"/>
                <w:b/>
                <w:bCs/>
                <w:color w:val="000000"/>
                <w:sz w:val="22"/>
                <w:szCs w:val="22"/>
              </w:rPr>
            </w:pPr>
            <w:r w:rsidRPr="00B12455">
              <w:rPr>
                <w:rFonts w:ascii="Calibri" w:hAnsi="Calibri" w:cs="Calibri"/>
                <w:b/>
                <w:bCs/>
                <w:color w:val="000000"/>
                <w:sz w:val="22"/>
                <w:szCs w:val="22"/>
              </w:rPr>
              <w:t>100</w:t>
            </w:r>
          </w:p>
        </w:tc>
      </w:tr>
    </w:tbl>
    <w:p w14:paraId="67C58CEE" w14:textId="3ABC8398" w:rsidR="008B7419" w:rsidRPr="0019580A" w:rsidRDefault="00E23A54" w:rsidP="002C2B00">
      <w:pPr>
        <w:spacing w:before="100" w:beforeAutospacing="1" w:after="100" w:afterAutospacing="1"/>
        <w:jc w:val="both"/>
        <w:rPr>
          <w:rStyle w:val="normaltextrun"/>
          <w:rFonts w:ascii="Nunito" w:hAnsi="Nunito" w:cs="Segoe UI"/>
          <w:szCs w:val="24"/>
        </w:rPr>
      </w:pPr>
      <w:r w:rsidDel="00261A98">
        <w:rPr>
          <w:rStyle w:val="normaltextrun"/>
          <w:rFonts w:ascii="Nunito" w:hAnsi="Nunito" w:cs="Segoe UI"/>
          <w:szCs w:val="24"/>
        </w:rPr>
        <w:t xml:space="preserve">L’évaluation des offres et la sélection du prestataire </w:t>
      </w:r>
      <w:r>
        <w:rPr>
          <w:rStyle w:val="normaltextrun"/>
          <w:rFonts w:ascii="Nunito" w:hAnsi="Nunito" w:cs="Segoe UI"/>
          <w:szCs w:val="24"/>
        </w:rPr>
        <w:t xml:space="preserve">sera réalisée </w:t>
      </w:r>
      <w:r w:rsidDel="00261A98">
        <w:rPr>
          <w:rStyle w:val="normaltextrun"/>
          <w:rFonts w:ascii="Nunito" w:hAnsi="Nunito" w:cs="Segoe UI"/>
          <w:szCs w:val="24"/>
        </w:rPr>
        <w:t>par un comité composé de représentants de HI (2 membres de l’équipe projet DEFIS, 1 membre de l’équipe logistique) et du MAS (2 membres représentants de l’UTIC)</w:t>
      </w:r>
      <w:r>
        <w:rPr>
          <w:rStyle w:val="normaltextrun"/>
          <w:rFonts w:ascii="Nunito" w:hAnsi="Nunito" w:cs="Segoe UI"/>
          <w:szCs w:val="24"/>
        </w:rPr>
        <w:t>.</w:t>
      </w:r>
      <w:r w:rsidDel="00261A98">
        <w:rPr>
          <w:rStyle w:val="normaltextrun"/>
          <w:rFonts w:ascii="Nunito" w:hAnsi="Nunito" w:cs="Segoe UI"/>
          <w:szCs w:val="24"/>
        </w:rPr>
        <w:t xml:space="preserve"> </w:t>
      </w:r>
      <w:r w:rsidR="008B7419" w:rsidRPr="0019580A">
        <w:rPr>
          <w:rStyle w:val="normaltextrun"/>
          <w:rFonts w:ascii="Nunito" w:hAnsi="Nunito" w:cs="Segoe UI"/>
          <w:szCs w:val="24"/>
        </w:rPr>
        <w:tab/>
      </w:r>
    </w:p>
    <w:p w14:paraId="0E3CA0EC" w14:textId="6D113775" w:rsidR="008B7419" w:rsidRPr="008B7419" w:rsidRDefault="008B7419" w:rsidP="002C2B00">
      <w:pPr>
        <w:spacing w:before="100" w:beforeAutospacing="1" w:after="100" w:afterAutospacing="1"/>
        <w:jc w:val="both"/>
        <w:rPr>
          <w:rStyle w:val="normaltextrun"/>
          <w:rFonts w:ascii="Nunito" w:hAnsi="Nunito" w:cs="Segoe UI"/>
          <w:szCs w:val="24"/>
        </w:rPr>
      </w:pPr>
      <w:r w:rsidRPr="0019580A">
        <w:rPr>
          <w:rStyle w:val="normaltextrun"/>
          <w:rFonts w:ascii="Nunito" w:hAnsi="Nunito" w:cs="Segoe UI"/>
          <w:szCs w:val="24"/>
        </w:rPr>
        <w:t xml:space="preserve">Seules les propositions financières correspondant aux propositions techniques recevant une note supérieure à </w:t>
      </w:r>
      <w:r w:rsidR="0003582A">
        <w:rPr>
          <w:rStyle w:val="normaltextrun"/>
          <w:rFonts w:ascii="Nunito" w:hAnsi="Nunito" w:cs="Segoe UI"/>
          <w:szCs w:val="24"/>
        </w:rPr>
        <w:t>75</w:t>
      </w:r>
      <w:r w:rsidRPr="0019580A">
        <w:rPr>
          <w:rStyle w:val="normaltextrun"/>
          <w:rFonts w:ascii="Nunito" w:hAnsi="Nunito" w:cs="Segoe UI"/>
          <w:szCs w:val="24"/>
        </w:rPr>
        <w:t>% points, seront évaluées. Les critères d’évaluation financière prendront en compte la pertinence des coûts proposés, le montant homme/jour au regard des prix du marché et le nombre de jours budgétés au regard de l’effort requis.</w:t>
      </w:r>
    </w:p>
    <w:p w14:paraId="70CA33C2" w14:textId="69F08988" w:rsidR="009E4EA4" w:rsidRPr="002C2B00" w:rsidRDefault="002D2745" w:rsidP="002C2B00">
      <w:pPr>
        <w:numPr>
          <w:ilvl w:val="0"/>
          <w:numId w:val="1"/>
        </w:numPr>
        <w:spacing w:before="100" w:beforeAutospacing="1" w:after="100" w:afterAutospacing="1"/>
        <w:rPr>
          <w:rFonts w:ascii="Nunito" w:hAnsi="Nunito" w:cs="Segoe UI"/>
          <w:b/>
          <w:bCs/>
          <w:lang w:val="en-GB"/>
        </w:rPr>
      </w:pPr>
      <w:r w:rsidRPr="002D2745">
        <w:rPr>
          <w:rStyle w:val="normaltextrun"/>
          <w:rFonts w:ascii="Nunito" w:hAnsi="Nunito" w:cs="Segoe UI"/>
          <w:b/>
          <w:bCs/>
        </w:rPr>
        <w:t xml:space="preserve">ANNEXES </w:t>
      </w:r>
    </w:p>
    <w:p w14:paraId="178807CC" w14:textId="7F75B75C" w:rsidR="00C90F83" w:rsidRPr="00D36DEC" w:rsidRDefault="002D2745" w:rsidP="002C2B00">
      <w:pPr>
        <w:spacing w:before="100" w:beforeAutospacing="1" w:after="100" w:afterAutospacing="1"/>
        <w:rPr>
          <w:rStyle w:val="normaltextrun"/>
          <w:rFonts w:ascii="Nunito" w:hAnsi="Nunito" w:cs="Segoe UI"/>
          <w:szCs w:val="24"/>
        </w:rPr>
      </w:pPr>
      <w:r w:rsidRPr="00D36DEC">
        <w:rPr>
          <w:rStyle w:val="normaltextrun"/>
          <w:rFonts w:ascii="Nunito" w:hAnsi="Nunito" w:cs="Segoe UI"/>
          <w:szCs w:val="24"/>
        </w:rPr>
        <w:t>Les annexes suivantes</w:t>
      </w:r>
      <w:r w:rsidR="009E4EA4" w:rsidRPr="00D36DEC">
        <w:rPr>
          <w:rStyle w:val="normaltextrun"/>
          <w:rFonts w:ascii="Nunito" w:hAnsi="Nunito" w:cs="Segoe UI"/>
          <w:szCs w:val="24"/>
        </w:rPr>
        <w:t xml:space="preserve"> font parties intégrantes de ces Termes de </w:t>
      </w:r>
      <w:r w:rsidRPr="00D36DEC">
        <w:rPr>
          <w:rStyle w:val="normaltextrun"/>
          <w:rFonts w:ascii="Nunito" w:hAnsi="Nunito" w:cs="Segoe UI"/>
          <w:szCs w:val="24"/>
        </w:rPr>
        <w:t>références :</w:t>
      </w:r>
    </w:p>
    <w:p w14:paraId="589FD54E" w14:textId="77777777" w:rsidR="00C90F83" w:rsidRDefault="00C90F83" w:rsidP="002C2B00">
      <w:pPr>
        <w:spacing w:before="100" w:beforeAutospacing="1" w:after="100" w:afterAutospacing="1"/>
        <w:rPr>
          <w:rFonts w:ascii="Nunito" w:hAnsi="Nunito" w:cs="Segoe UI"/>
          <w:szCs w:val="24"/>
        </w:rPr>
      </w:pPr>
      <w:r w:rsidRPr="002402A5">
        <w:rPr>
          <w:rFonts w:ascii="Nunito" w:hAnsi="Nunito" w:cs="Segoe UI"/>
          <w:szCs w:val="24"/>
        </w:rPr>
        <w:t>Annexe1 :</w:t>
      </w:r>
      <w:r w:rsidRPr="00C90F83">
        <w:rPr>
          <w:rFonts w:ascii="Nunito" w:hAnsi="Nunito" w:cs="Segoe UI"/>
          <w:b/>
          <w:bCs/>
          <w:szCs w:val="24"/>
        </w:rPr>
        <w:t xml:space="preserve"> </w:t>
      </w:r>
      <w:r w:rsidRPr="00C90F83">
        <w:rPr>
          <w:rFonts w:ascii="Nunito" w:hAnsi="Nunito" w:cs="Segoe UI"/>
          <w:szCs w:val="24"/>
        </w:rPr>
        <w:t>Description Technique</w:t>
      </w:r>
      <w:r w:rsidRPr="00C90F83">
        <w:rPr>
          <w:szCs w:val="24"/>
        </w:rPr>
        <w:t> </w:t>
      </w:r>
      <w:r w:rsidRPr="00C90F83">
        <w:rPr>
          <w:rFonts w:ascii="Nunito" w:hAnsi="Nunito" w:cs="Segoe UI"/>
          <w:szCs w:val="24"/>
        </w:rPr>
        <w:t>de la plateforme à auditer</w:t>
      </w:r>
      <w:r w:rsidR="00922354">
        <w:rPr>
          <w:rFonts w:ascii="Nunito" w:hAnsi="Nunito" w:cs="Segoe UI"/>
          <w:szCs w:val="24"/>
        </w:rPr>
        <w:t xml:space="preserve"> : </w:t>
      </w:r>
    </w:p>
    <w:p w14:paraId="2F8E1006" w14:textId="4B67A713" w:rsidR="00922354" w:rsidRPr="0077720C" w:rsidRDefault="00E23A54" w:rsidP="002C2B00">
      <w:pPr>
        <w:spacing w:before="100" w:beforeAutospacing="1" w:after="100" w:afterAutospacing="1"/>
        <w:rPr>
          <w:rFonts w:ascii="Nunito" w:hAnsi="Nunito" w:cs="Segoe UI"/>
          <w:szCs w:val="24"/>
        </w:rPr>
      </w:pPr>
      <w:r w:rsidRPr="0077720C">
        <w:rPr>
          <w:rFonts w:ascii="Nunito" w:hAnsi="Nunito" w:cs="Segoe UI"/>
          <w:szCs w:val="24"/>
        </w:rPr>
        <w:t>Annexe B Conditions générales d’achat</w:t>
      </w:r>
    </w:p>
    <w:p w14:paraId="7CDCC72B" w14:textId="3B37B824" w:rsidR="00064691" w:rsidRDefault="00064691" w:rsidP="002C2B00">
      <w:pPr>
        <w:spacing w:before="100" w:beforeAutospacing="1" w:after="100" w:afterAutospacing="1"/>
        <w:rPr>
          <w:rFonts w:ascii="Nunito" w:hAnsi="Nunito" w:cs="Segoe UI"/>
          <w:szCs w:val="24"/>
        </w:rPr>
      </w:pPr>
      <w:r w:rsidRPr="0077720C">
        <w:rPr>
          <w:rFonts w:ascii="Nunito" w:hAnsi="Nunito" w:cs="Segoe UI"/>
          <w:szCs w:val="24"/>
        </w:rPr>
        <w:t>Annexe C Bonnes pratiques commerciales</w:t>
      </w:r>
    </w:p>
    <w:p w14:paraId="364E543B" w14:textId="32A4FB7A" w:rsidR="002402A5" w:rsidRPr="002402A5" w:rsidRDefault="002402A5" w:rsidP="002C2B00">
      <w:pPr>
        <w:spacing w:before="100" w:beforeAutospacing="1" w:after="100" w:afterAutospacing="1"/>
        <w:jc w:val="center"/>
        <w:rPr>
          <w:rFonts w:ascii="Nunito" w:hAnsi="Nunito" w:cs="Segoe UI"/>
          <w:b/>
          <w:bCs/>
          <w:sz w:val="32"/>
          <w:szCs w:val="32"/>
        </w:rPr>
      </w:pPr>
      <w:r w:rsidRPr="002402A5">
        <w:rPr>
          <w:rFonts w:ascii="Nunito" w:hAnsi="Nunito" w:cs="Segoe UI"/>
          <w:b/>
          <w:bCs/>
          <w:sz w:val="32"/>
          <w:szCs w:val="32"/>
        </w:rPr>
        <w:lastRenderedPageBreak/>
        <w:t>Annexe1</w:t>
      </w:r>
    </w:p>
    <w:p w14:paraId="2E3FCC59" w14:textId="62C53FC9" w:rsidR="002402A5" w:rsidRDefault="002402A5" w:rsidP="002C2B00">
      <w:pPr>
        <w:spacing w:before="100" w:beforeAutospacing="1" w:after="100" w:afterAutospacing="1"/>
        <w:rPr>
          <w:rFonts w:ascii="Nunito" w:hAnsi="Nunito" w:cs="Segoe UI"/>
          <w:szCs w:val="24"/>
        </w:rPr>
      </w:pPr>
      <w:r w:rsidRPr="00C90F83">
        <w:rPr>
          <w:rFonts w:ascii="Nunito" w:hAnsi="Nunito" w:cs="Segoe UI"/>
          <w:szCs w:val="24"/>
        </w:rPr>
        <w:t>Description Technique</w:t>
      </w:r>
      <w:r w:rsidRPr="00C90F83">
        <w:rPr>
          <w:szCs w:val="24"/>
        </w:rPr>
        <w:t> </w:t>
      </w:r>
      <w:r w:rsidRPr="00C90F83">
        <w:rPr>
          <w:rFonts w:ascii="Nunito" w:hAnsi="Nunito" w:cs="Segoe UI"/>
          <w:szCs w:val="24"/>
        </w:rPr>
        <w:t>de la plateforme à auditer</w:t>
      </w:r>
      <w:r>
        <w:rPr>
          <w:rFonts w:ascii="Nunito" w:hAnsi="Nunito" w:cs="Segoe UI"/>
          <w:szCs w:val="24"/>
        </w:rPr>
        <w:t xml:space="preserve"> : </w:t>
      </w:r>
    </w:p>
    <w:p w14:paraId="6519D1F2" w14:textId="101C261C" w:rsidR="002402A5" w:rsidRPr="002C2B00" w:rsidRDefault="002402A5" w:rsidP="002C2B00">
      <w:pPr>
        <w:pStyle w:val="Paragraphedeliste"/>
        <w:numPr>
          <w:ilvl w:val="0"/>
          <w:numId w:val="20"/>
        </w:numPr>
        <w:spacing w:before="100" w:beforeAutospacing="1" w:after="100" w:afterAutospacing="1"/>
        <w:rPr>
          <w:rFonts w:ascii="Nunito" w:hAnsi="Nunito" w:cs="Segoe UI"/>
        </w:rPr>
      </w:pPr>
      <w:r w:rsidRPr="002C2B00">
        <w:rPr>
          <w:rFonts w:ascii="Nunito" w:hAnsi="Nunito" w:cs="Segoe UI"/>
        </w:rPr>
        <w:t>L’Architecture de la plateforme : plateforme web client / serveur sur un environnement virtualisé hébergée au data center du MAS, comprenant une partie front destinée aux citoyens et une partie back pour la gestion des demandes.</w:t>
      </w:r>
    </w:p>
    <w:p w14:paraId="1A423DF0" w14:textId="3023093A" w:rsidR="002402A5" w:rsidRPr="002C2B00" w:rsidRDefault="002402A5" w:rsidP="002C2B00">
      <w:pPr>
        <w:pStyle w:val="Paragraphedeliste"/>
        <w:numPr>
          <w:ilvl w:val="0"/>
          <w:numId w:val="20"/>
        </w:numPr>
        <w:spacing w:before="100" w:beforeAutospacing="1" w:after="100" w:afterAutospacing="1"/>
        <w:rPr>
          <w:rFonts w:ascii="Nunito" w:hAnsi="Nunito" w:cs="Segoe UI"/>
        </w:rPr>
      </w:pPr>
      <w:r w:rsidRPr="002C2B00">
        <w:rPr>
          <w:rFonts w:ascii="Nunito" w:hAnsi="Nunito" w:cs="Segoe UI"/>
        </w:rPr>
        <w:t>Architecture clustérisée (serveur d'application et base de données)</w:t>
      </w:r>
    </w:p>
    <w:p w14:paraId="4BB1F295" w14:textId="7B8A825D" w:rsidR="002402A5" w:rsidRPr="002C2B00" w:rsidRDefault="002402A5" w:rsidP="002C2B00">
      <w:pPr>
        <w:pStyle w:val="Paragraphedeliste"/>
        <w:numPr>
          <w:ilvl w:val="0"/>
          <w:numId w:val="20"/>
        </w:numPr>
        <w:spacing w:before="100" w:beforeAutospacing="1" w:after="100" w:afterAutospacing="1"/>
        <w:rPr>
          <w:rFonts w:ascii="Nunito" w:hAnsi="Nunito" w:cs="Segoe UI"/>
        </w:rPr>
      </w:pPr>
      <w:r w:rsidRPr="002C2B00">
        <w:rPr>
          <w:rFonts w:ascii="Nunito" w:hAnsi="Nunito" w:cs="Segoe UI"/>
        </w:rPr>
        <w:t xml:space="preserve">La Technologies utilisée : joget / Mysql/API avec des fournisseurs externes </w:t>
      </w:r>
    </w:p>
    <w:p w14:paraId="706C7579" w14:textId="1C98EF9A" w:rsidR="002402A5" w:rsidRPr="002C2B00" w:rsidRDefault="002402A5" w:rsidP="002C2B00">
      <w:pPr>
        <w:pStyle w:val="Paragraphedeliste"/>
        <w:numPr>
          <w:ilvl w:val="0"/>
          <w:numId w:val="20"/>
        </w:numPr>
        <w:spacing w:before="100" w:beforeAutospacing="1" w:after="100" w:afterAutospacing="1"/>
        <w:rPr>
          <w:rFonts w:ascii="Nunito" w:hAnsi="Nunito" w:cs="Segoe UI"/>
        </w:rPr>
      </w:pPr>
      <w:r w:rsidRPr="002C2B00">
        <w:rPr>
          <w:rFonts w:ascii="Nunito" w:hAnsi="Nunito" w:cs="Segoe UI"/>
        </w:rPr>
        <w:t>Profils des usagers : citoyen, Travailleur Social, chef DPPH, Division de la Promotion Sociale, Admin régional et central, Directeur régional, </w:t>
      </w:r>
    </w:p>
    <w:p w14:paraId="5E1D1569" w14:textId="3B388E89" w:rsidR="00B769FE" w:rsidRDefault="002402A5" w:rsidP="002C2B00">
      <w:pPr>
        <w:pStyle w:val="Paragraphedeliste"/>
        <w:numPr>
          <w:ilvl w:val="0"/>
          <w:numId w:val="20"/>
        </w:numPr>
        <w:spacing w:before="100" w:beforeAutospacing="1" w:after="100" w:afterAutospacing="1"/>
        <w:rPr>
          <w:rFonts w:ascii="Nunito" w:hAnsi="Nunito" w:cs="Segoe UI"/>
        </w:rPr>
      </w:pPr>
      <w:r w:rsidRPr="002C2B00">
        <w:rPr>
          <w:rFonts w:ascii="Nunito" w:hAnsi="Nunito" w:cs="Segoe UI"/>
        </w:rPr>
        <w:t>Processus de développement de la plateforme : 3 Modules </w:t>
      </w:r>
    </w:p>
    <w:p w14:paraId="44B8E3DF" w14:textId="77777777" w:rsidR="00B5179A" w:rsidRPr="002C2B00" w:rsidRDefault="00B5179A" w:rsidP="00B5179A">
      <w:pPr>
        <w:pStyle w:val="Paragraphedeliste"/>
        <w:spacing w:before="100" w:beforeAutospacing="1" w:after="100" w:afterAutospacing="1"/>
        <w:rPr>
          <w:rFonts w:ascii="Nunito" w:hAnsi="Nunito" w:cs="Segoe UI"/>
        </w:rPr>
      </w:pPr>
    </w:p>
    <w:p w14:paraId="68E37501" w14:textId="4F279737" w:rsidR="00B769FE" w:rsidRDefault="00B769FE" w:rsidP="002C2B00">
      <w:pPr>
        <w:pStyle w:val="Paragraphedeliste"/>
        <w:numPr>
          <w:ilvl w:val="0"/>
          <w:numId w:val="12"/>
        </w:numPr>
        <w:spacing w:before="100" w:beforeAutospacing="1" w:after="100" w:afterAutospacing="1"/>
        <w:rPr>
          <w:rFonts w:ascii="Nunito" w:hAnsi="Nunito" w:cs="Segoe UI"/>
        </w:rPr>
      </w:pPr>
      <w:r>
        <w:rPr>
          <w:rFonts w:ascii="Nunito" w:hAnsi="Nunito" w:cs="Segoe UI"/>
        </w:rPr>
        <w:t>Module1 : Digitalisation des demandes pour obtention de carte handicap axée vision MAS</w:t>
      </w:r>
    </w:p>
    <w:p w14:paraId="6A85E8C5" w14:textId="012241E7" w:rsidR="002402A5" w:rsidRDefault="00B769FE" w:rsidP="002C2B00">
      <w:pPr>
        <w:pStyle w:val="Paragraphedeliste"/>
        <w:numPr>
          <w:ilvl w:val="0"/>
          <w:numId w:val="12"/>
        </w:numPr>
        <w:spacing w:before="100" w:beforeAutospacing="1" w:after="100" w:afterAutospacing="1"/>
        <w:rPr>
          <w:rFonts w:ascii="Nunito" w:hAnsi="Nunito" w:cs="Segoe UI"/>
        </w:rPr>
      </w:pPr>
      <w:r w:rsidRPr="00B769FE">
        <w:rPr>
          <w:rFonts w:ascii="Nunito" w:hAnsi="Nunito" w:cs="Segoe UI"/>
        </w:rPr>
        <w:t>Module2 : Digitalisation du processus de la</w:t>
      </w:r>
      <w:r>
        <w:rPr>
          <w:rFonts w:ascii="Nunito" w:hAnsi="Nunito" w:cs="Segoe UI"/>
        </w:rPr>
        <w:t xml:space="preserve"> gestion des demandes, </w:t>
      </w:r>
      <w:r w:rsidRPr="00B769FE">
        <w:rPr>
          <w:rFonts w:ascii="Nunito" w:hAnsi="Nunito" w:cs="Segoe UI"/>
        </w:rPr>
        <w:t>commission,</w:t>
      </w:r>
      <w:r>
        <w:rPr>
          <w:rFonts w:ascii="Nunito" w:hAnsi="Nunito" w:cs="Segoe UI"/>
        </w:rPr>
        <w:t xml:space="preserve"> traitement des recours, …</w:t>
      </w:r>
    </w:p>
    <w:p w14:paraId="018C1D2C" w14:textId="003DEB83" w:rsidR="00C90F83" w:rsidRPr="002C2B00" w:rsidRDefault="00B769FE" w:rsidP="002C2B00">
      <w:pPr>
        <w:pStyle w:val="Paragraphedeliste"/>
        <w:numPr>
          <w:ilvl w:val="0"/>
          <w:numId w:val="12"/>
        </w:numPr>
        <w:spacing w:before="100" w:beforeAutospacing="1" w:after="100" w:afterAutospacing="1"/>
        <w:rPr>
          <w:rFonts w:ascii="Nunito" w:hAnsi="Nunito" w:cs="Segoe UI"/>
        </w:rPr>
      </w:pPr>
      <w:r w:rsidRPr="00B769FE">
        <w:rPr>
          <w:rFonts w:ascii="Nunito" w:hAnsi="Nunito" w:cs="Segoe UI"/>
        </w:rPr>
        <w:t xml:space="preserve">Module2 : </w:t>
      </w:r>
      <w:r>
        <w:rPr>
          <w:rFonts w:ascii="Nunito" w:hAnsi="Nunito" w:cs="Segoe UI"/>
        </w:rPr>
        <w:t>Espace citoyen de dépôt des demandes</w:t>
      </w:r>
      <w:r w:rsidRPr="00B769FE">
        <w:rPr>
          <w:rFonts w:ascii="Nunito" w:hAnsi="Nunito" w:cs="Segoe UI"/>
        </w:rPr>
        <w:t xml:space="preserve"> </w:t>
      </w:r>
      <w:r>
        <w:rPr>
          <w:rFonts w:ascii="Nunito" w:hAnsi="Nunito" w:cs="Segoe UI"/>
        </w:rPr>
        <w:t>pour obtention de carte handicap</w:t>
      </w:r>
    </w:p>
    <w:sectPr w:rsidR="00C90F83" w:rsidRPr="002C2B0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8428" w14:textId="77777777" w:rsidR="004576B5" w:rsidRDefault="004576B5">
      <w:r>
        <w:separator/>
      </w:r>
    </w:p>
  </w:endnote>
  <w:endnote w:type="continuationSeparator" w:id="0">
    <w:p w14:paraId="5898A8A1" w14:textId="77777777" w:rsidR="004576B5" w:rsidRDefault="0045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w:altName w:val="Times New Roman"/>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5AB6" w14:textId="4D2D717D" w:rsidR="00AB7A9E" w:rsidRDefault="00AB7A9E">
    <w:pPr>
      <w:pStyle w:val="Pieddepage"/>
      <w:jc w:val="right"/>
    </w:pPr>
    <w:r>
      <w:fldChar w:fldCharType="begin"/>
    </w:r>
    <w:r>
      <w:instrText>PAGE   \* MERGEFORMAT</w:instrText>
    </w:r>
    <w:r>
      <w:fldChar w:fldCharType="separate"/>
    </w:r>
    <w:r w:rsidR="00B769FE">
      <w:rPr>
        <w:noProof/>
      </w:rPr>
      <w:t>7</w:t>
    </w:r>
    <w:r>
      <w:fldChar w:fldCharType="end"/>
    </w:r>
  </w:p>
  <w:p w14:paraId="0E37A037" w14:textId="77777777" w:rsidR="0068005F" w:rsidRDefault="0068005F" w:rsidP="00F875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0722" w14:textId="77777777" w:rsidR="004576B5" w:rsidRDefault="004576B5">
      <w:r>
        <w:separator/>
      </w:r>
    </w:p>
  </w:footnote>
  <w:footnote w:type="continuationSeparator" w:id="0">
    <w:p w14:paraId="05E6892A" w14:textId="77777777" w:rsidR="004576B5" w:rsidRDefault="004576B5">
      <w:r>
        <w:continuationSeparator/>
      </w:r>
    </w:p>
  </w:footnote>
  <w:footnote w:id="1">
    <w:p w14:paraId="04E82B7D" w14:textId="77777777" w:rsidR="000A0A34" w:rsidRPr="00EE1EBD" w:rsidRDefault="000A0A34" w:rsidP="003D5447">
      <w:pPr>
        <w:pStyle w:val="Notedebasdepage"/>
        <w:jc w:val="both"/>
      </w:pPr>
      <w:r>
        <w:rPr>
          <w:rStyle w:val="Appelnotedebasdep"/>
        </w:rPr>
        <w:footnoteRef/>
      </w:r>
      <w:r w:rsidRPr="00EE1EBD">
        <w:t xml:space="preserve"> </w:t>
      </w:r>
      <w:r>
        <w:t>En 2021, la part des subventions dans le budget de l’Etat s’élevait à 3,4 milliards de dinars représentant 2,8% du PIB. En 2022, la part des subventions avait augmenté passant à 4,2 milliards de dinars et 3,5% du PIB.</w:t>
      </w:r>
    </w:p>
  </w:footnote>
  <w:footnote w:id="2">
    <w:p w14:paraId="57B9A947" w14:textId="77777777" w:rsidR="00486589" w:rsidRDefault="000A0A34" w:rsidP="003D5447">
      <w:pPr>
        <w:pStyle w:val="Notedebasdepage"/>
        <w:jc w:val="both"/>
      </w:pPr>
      <w:r w:rsidRPr="000A0A34">
        <w:rPr>
          <w:rStyle w:val="Appelnotedebasdep"/>
          <w:rFonts w:ascii="Calibri" w:hAnsi="Calibri" w:cs="Calibri"/>
        </w:rPr>
        <w:footnoteRef/>
      </w:r>
      <w:r w:rsidRPr="000A0A34">
        <w:rPr>
          <w:rFonts w:ascii="Calibri" w:hAnsi="Calibri" w:cs="Calibri"/>
        </w:rPr>
        <w:t xml:space="preserve"> </w:t>
      </w:r>
      <w:r w:rsidRPr="00486589">
        <w:rPr>
          <w:rFonts w:hint="eastAsia"/>
        </w:rPr>
        <w:t xml:space="preserve">Loi fondamental n°2019‐10 du </w:t>
      </w:r>
      <w:r w:rsidRPr="00486589">
        <w:t>30 janvier</w:t>
      </w:r>
      <w:r w:rsidRPr="00486589">
        <w:rPr>
          <w:rFonts w:hint="eastAsia"/>
        </w:rPr>
        <w:t xml:space="preserve"> 2019 fixant le Programme de A</w:t>
      </w:r>
      <w:r w:rsidRPr="00486589">
        <w:t>MEN S</w:t>
      </w:r>
      <w:r w:rsidRPr="00486589">
        <w:rPr>
          <w:rFonts w:hint="eastAsia"/>
        </w:rPr>
        <w:t>ocial</w:t>
      </w:r>
      <w:r w:rsidRPr="00486589">
        <w:t>,</w:t>
      </w:r>
    </w:p>
    <w:p w14:paraId="59D90292" w14:textId="41094452" w:rsidR="000A0A34" w:rsidRPr="000A0A34" w:rsidRDefault="00320E73" w:rsidP="003D5447">
      <w:pPr>
        <w:pStyle w:val="Notedebasdepage"/>
        <w:jc w:val="both"/>
        <w:rPr>
          <w:rFonts w:ascii="Calibri" w:hAnsi="Calibri" w:cs="Calibri"/>
        </w:rPr>
      </w:pPr>
      <w:hyperlink r:id="rId1" w:history="1">
        <w:r w:rsidRPr="00597A55">
          <w:rPr>
            <w:rStyle w:val="Lienhypertexte"/>
          </w:rPr>
          <w:t>https://www.social.gov.tn/fr/cr%C3%A9ation-des-sources-de-revenu-au-profit-des-cat%C3%A9gories-d%C3%A9munies-inscrites-au-programme-amen-social</w:t>
        </w:r>
      </w:hyperlink>
      <w:r w:rsidR="000A0A34" w:rsidRPr="000A0A34">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B72D" w14:textId="38F3DCD4" w:rsidR="0068005F" w:rsidRPr="00E442A6" w:rsidRDefault="000B36F9" w:rsidP="004C7562">
    <w:pPr>
      <w:pStyle w:val="En-tte"/>
      <w:rPr>
        <w:rFonts w:ascii="Nunito" w:hAnsi="Nunito"/>
        <w:sz w:val="20"/>
      </w:rPr>
    </w:pPr>
    <w:r w:rsidRPr="00AB7A9E">
      <w:rPr>
        <w:noProof/>
        <w:sz w:val="20"/>
        <w:szCs w:val="16"/>
        <w:lang w:eastAsia="fr-FR"/>
      </w:rPr>
      <w:drawing>
        <wp:anchor distT="0" distB="0" distL="114300" distR="114300" simplePos="0" relativeHeight="251661312" behindDoc="0" locked="0" layoutInCell="1" allowOverlap="1" wp14:anchorId="13024D50" wp14:editId="7B2FCC0C">
          <wp:simplePos x="0" y="0"/>
          <wp:positionH relativeFrom="column">
            <wp:posOffset>316230</wp:posOffset>
          </wp:positionH>
          <wp:positionV relativeFrom="paragraph">
            <wp:posOffset>-269875</wp:posOffset>
          </wp:positionV>
          <wp:extent cx="951230" cy="620395"/>
          <wp:effectExtent l="0" t="0" r="0" b="0"/>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l="26756" t="31837" r="28650" b="27016"/>
                  <a:stretch>
                    <a:fillRect/>
                  </a:stretch>
                </pic:blipFill>
                <pic:spPr bwMode="auto">
                  <a:xfrm>
                    <a:off x="0" y="0"/>
                    <a:ext cx="951230" cy="620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7A9E">
      <w:rPr>
        <w:noProof/>
        <w:sz w:val="20"/>
        <w:szCs w:val="16"/>
        <w:lang w:eastAsia="fr-FR"/>
      </w:rPr>
      <w:drawing>
        <wp:anchor distT="0" distB="0" distL="114300" distR="114300" simplePos="0" relativeHeight="251658240" behindDoc="0" locked="0" layoutInCell="1" allowOverlap="1" wp14:anchorId="46C4533C" wp14:editId="3D807782">
          <wp:simplePos x="0" y="0"/>
          <wp:positionH relativeFrom="margin">
            <wp:posOffset>1400810</wp:posOffset>
          </wp:positionH>
          <wp:positionV relativeFrom="paragraph">
            <wp:posOffset>-277495</wp:posOffset>
          </wp:positionV>
          <wp:extent cx="892175" cy="502920"/>
          <wp:effectExtent l="0" t="0" r="0" b="0"/>
          <wp:wrapNone/>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2175" cy="502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7A9E">
      <w:rPr>
        <w:noProof/>
        <w:sz w:val="20"/>
        <w:szCs w:val="16"/>
        <w:lang w:eastAsia="fr-FR"/>
      </w:rPr>
      <w:drawing>
        <wp:anchor distT="0" distB="0" distL="114300" distR="114300" simplePos="0" relativeHeight="251656192" behindDoc="0" locked="0" layoutInCell="1" allowOverlap="1" wp14:anchorId="74BA0CA5" wp14:editId="5640BE62">
          <wp:simplePos x="0" y="0"/>
          <wp:positionH relativeFrom="page">
            <wp:posOffset>3380740</wp:posOffset>
          </wp:positionH>
          <wp:positionV relativeFrom="page">
            <wp:posOffset>188595</wp:posOffset>
          </wp:positionV>
          <wp:extent cx="1000760" cy="455930"/>
          <wp:effectExtent l="0" t="0" r="0" b="0"/>
          <wp:wrapNone/>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0760"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7A9E">
      <w:rPr>
        <w:noProof/>
        <w:sz w:val="20"/>
        <w:szCs w:val="16"/>
        <w:lang w:eastAsia="fr-FR"/>
      </w:rPr>
      <w:drawing>
        <wp:anchor distT="0" distB="0" distL="114300" distR="114300" simplePos="0" relativeHeight="251659264" behindDoc="0" locked="0" layoutInCell="1" allowOverlap="1" wp14:anchorId="53A6F2FA" wp14:editId="27BC5533">
          <wp:simplePos x="0" y="0"/>
          <wp:positionH relativeFrom="margin">
            <wp:posOffset>3582035</wp:posOffset>
          </wp:positionH>
          <wp:positionV relativeFrom="paragraph">
            <wp:posOffset>-333375</wp:posOffset>
          </wp:positionV>
          <wp:extent cx="1062355" cy="635635"/>
          <wp:effectExtent l="0" t="0" r="0" b="0"/>
          <wp:wrapThrough wrapText="bothSides">
            <wp:wrapPolygon edited="0">
              <wp:start x="4648" y="1942"/>
              <wp:lineTo x="1549" y="5179"/>
              <wp:lineTo x="0" y="9063"/>
              <wp:lineTo x="0" y="14242"/>
              <wp:lineTo x="2324" y="16184"/>
              <wp:lineTo x="5810" y="16184"/>
              <wp:lineTo x="6972" y="13594"/>
              <wp:lineTo x="21303" y="12300"/>
              <wp:lineTo x="21303" y="9063"/>
              <wp:lineTo x="6972" y="1942"/>
              <wp:lineTo x="4648" y="1942"/>
            </wp:wrapPolygon>
          </wp:wrapThrough>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235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7A9E">
      <w:rPr>
        <w:noProof/>
        <w:sz w:val="20"/>
        <w:szCs w:val="16"/>
        <w:lang w:eastAsia="fr-FR"/>
      </w:rPr>
      <w:drawing>
        <wp:anchor distT="0" distB="0" distL="114300" distR="114300" simplePos="0" relativeHeight="251657216" behindDoc="0" locked="0" layoutInCell="1" allowOverlap="1" wp14:anchorId="20840CB4" wp14:editId="3D577591">
          <wp:simplePos x="0" y="0"/>
          <wp:positionH relativeFrom="column">
            <wp:posOffset>4741545</wp:posOffset>
          </wp:positionH>
          <wp:positionV relativeFrom="paragraph">
            <wp:posOffset>-346075</wp:posOffset>
          </wp:positionV>
          <wp:extent cx="674370" cy="682625"/>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4370" cy="682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7625"/>
    <w:multiLevelType w:val="hybridMultilevel"/>
    <w:tmpl w:val="5FB637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3D74E5"/>
    <w:multiLevelType w:val="hybridMultilevel"/>
    <w:tmpl w:val="AC6AF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123E29"/>
    <w:multiLevelType w:val="multilevel"/>
    <w:tmpl w:val="DD0EF492"/>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decimal"/>
      <w:pStyle w:val="Titre3"/>
      <w:lvlText w:val="%3."/>
      <w:lvlJc w:val="left"/>
      <w:pPr>
        <w:tabs>
          <w:tab w:val="num" w:pos="720"/>
        </w:tabs>
        <w:ind w:left="720" w:hanging="720"/>
      </w:pPr>
    </w:lvl>
    <w:lvl w:ilvl="3">
      <w:start w:val="1"/>
      <w:numFmt w:val="decimal"/>
      <w:pStyle w:val="Titre4"/>
      <w:lvlText w:val="%1%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 w15:restartNumberingAfterBreak="0">
    <w:nsid w:val="1A2D6B62"/>
    <w:multiLevelType w:val="hybridMultilevel"/>
    <w:tmpl w:val="A55059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496ACD"/>
    <w:multiLevelType w:val="multilevel"/>
    <w:tmpl w:val="298669D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62468"/>
    <w:multiLevelType w:val="multilevel"/>
    <w:tmpl w:val="D6AE6BD0"/>
    <w:lvl w:ilvl="0">
      <w:start w:val="5"/>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016" w:hanging="1800"/>
      </w:pPr>
      <w:rPr>
        <w:rFonts w:hint="default"/>
      </w:rPr>
    </w:lvl>
  </w:abstractNum>
  <w:abstractNum w:abstractNumId="6" w15:restartNumberingAfterBreak="0">
    <w:nsid w:val="27E238DC"/>
    <w:multiLevelType w:val="multilevel"/>
    <w:tmpl w:val="2D207972"/>
    <w:lvl w:ilvl="0">
      <w:start w:val="2"/>
      <w:numFmt w:val="decimal"/>
      <w:lvlText w:val="%1"/>
      <w:lvlJc w:val="left"/>
      <w:pPr>
        <w:ind w:left="360" w:hanging="360"/>
      </w:pPr>
      <w:rPr>
        <w:rFonts w:hint="default"/>
        <w:b/>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608" w:hanging="1800"/>
      </w:pPr>
      <w:rPr>
        <w:rFonts w:hint="default"/>
        <w:b/>
      </w:rPr>
    </w:lvl>
  </w:abstractNum>
  <w:abstractNum w:abstractNumId="7" w15:restartNumberingAfterBreak="0">
    <w:nsid w:val="288E0C9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6872CD"/>
    <w:multiLevelType w:val="hybridMultilevel"/>
    <w:tmpl w:val="D5EAF0B8"/>
    <w:lvl w:ilvl="0" w:tplc="7FA8E0D2">
      <w:start w:val="1"/>
      <w:numFmt w:val="decimal"/>
      <w:lvlText w:val="%1."/>
      <w:lvlJc w:val="left"/>
      <w:pPr>
        <w:tabs>
          <w:tab w:val="num" w:pos="360"/>
        </w:tabs>
        <w:ind w:left="360" w:hanging="360"/>
      </w:pPr>
      <w:rPr>
        <w:rFonts w:cs="Times New Roman" w:hint="default"/>
        <w:b w:val="0"/>
        <w:bCs/>
      </w:rPr>
    </w:lvl>
    <w:lvl w:ilvl="1" w:tplc="040C0019">
      <w:start w:val="1"/>
      <w:numFmt w:val="lowerLetter"/>
      <w:lvlText w:val="%2."/>
      <w:lvlJc w:val="left"/>
      <w:pPr>
        <w:tabs>
          <w:tab w:val="num" w:pos="360"/>
        </w:tabs>
        <w:ind w:left="360" w:hanging="360"/>
      </w:pPr>
      <w:rPr>
        <w:rFonts w:cs="Times New Roman"/>
      </w:rPr>
    </w:lvl>
    <w:lvl w:ilvl="2" w:tplc="040C001B">
      <w:start w:val="1"/>
      <w:numFmt w:val="lowerRoman"/>
      <w:lvlText w:val="%3."/>
      <w:lvlJc w:val="right"/>
      <w:pPr>
        <w:tabs>
          <w:tab w:val="num" w:pos="1080"/>
        </w:tabs>
        <w:ind w:left="1080" w:hanging="180"/>
      </w:pPr>
      <w:rPr>
        <w:rFonts w:cs="Times New Roman"/>
      </w:rPr>
    </w:lvl>
    <w:lvl w:ilvl="3" w:tplc="040C000F">
      <w:start w:val="1"/>
      <w:numFmt w:val="decimal"/>
      <w:lvlText w:val="%4."/>
      <w:lvlJc w:val="left"/>
      <w:pPr>
        <w:tabs>
          <w:tab w:val="num" w:pos="1800"/>
        </w:tabs>
        <w:ind w:left="1800" w:hanging="360"/>
      </w:pPr>
      <w:rPr>
        <w:rFonts w:cs="Times New Roman"/>
      </w:rPr>
    </w:lvl>
    <w:lvl w:ilvl="4" w:tplc="040C0019">
      <w:start w:val="1"/>
      <w:numFmt w:val="lowerLetter"/>
      <w:lvlText w:val="%5."/>
      <w:lvlJc w:val="left"/>
      <w:pPr>
        <w:tabs>
          <w:tab w:val="num" w:pos="2520"/>
        </w:tabs>
        <w:ind w:left="2520" w:hanging="360"/>
      </w:pPr>
      <w:rPr>
        <w:rFonts w:cs="Times New Roman"/>
      </w:rPr>
    </w:lvl>
    <w:lvl w:ilvl="5" w:tplc="040C001B">
      <w:start w:val="1"/>
      <w:numFmt w:val="lowerRoman"/>
      <w:lvlText w:val="%6."/>
      <w:lvlJc w:val="right"/>
      <w:pPr>
        <w:tabs>
          <w:tab w:val="num" w:pos="3240"/>
        </w:tabs>
        <w:ind w:left="3240" w:hanging="180"/>
      </w:pPr>
      <w:rPr>
        <w:rFonts w:cs="Times New Roman"/>
      </w:rPr>
    </w:lvl>
    <w:lvl w:ilvl="6" w:tplc="040C000F">
      <w:start w:val="1"/>
      <w:numFmt w:val="decimal"/>
      <w:lvlText w:val="%7."/>
      <w:lvlJc w:val="left"/>
      <w:pPr>
        <w:tabs>
          <w:tab w:val="num" w:pos="3960"/>
        </w:tabs>
        <w:ind w:left="3960" w:hanging="360"/>
      </w:pPr>
      <w:rPr>
        <w:rFonts w:cs="Times New Roman"/>
      </w:rPr>
    </w:lvl>
    <w:lvl w:ilvl="7" w:tplc="040C0019">
      <w:start w:val="1"/>
      <w:numFmt w:val="lowerLetter"/>
      <w:lvlText w:val="%8."/>
      <w:lvlJc w:val="left"/>
      <w:pPr>
        <w:tabs>
          <w:tab w:val="num" w:pos="4680"/>
        </w:tabs>
        <w:ind w:left="4680" w:hanging="360"/>
      </w:pPr>
      <w:rPr>
        <w:rFonts w:cs="Times New Roman"/>
      </w:rPr>
    </w:lvl>
    <w:lvl w:ilvl="8" w:tplc="040C001B">
      <w:start w:val="1"/>
      <w:numFmt w:val="lowerRoman"/>
      <w:lvlText w:val="%9."/>
      <w:lvlJc w:val="right"/>
      <w:pPr>
        <w:tabs>
          <w:tab w:val="num" w:pos="5400"/>
        </w:tabs>
        <w:ind w:left="5400" w:hanging="180"/>
      </w:pPr>
      <w:rPr>
        <w:rFonts w:cs="Times New Roman"/>
      </w:rPr>
    </w:lvl>
  </w:abstractNum>
  <w:abstractNum w:abstractNumId="9" w15:restartNumberingAfterBreak="0">
    <w:nsid w:val="474034BB"/>
    <w:multiLevelType w:val="multilevel"/>
    <w:tmpl w:val="43986B1C"/>
    <w:lvl w:ilvl="0">
      <w:start w:val="1"/>
      <w:numFmt w:val="decimal"/>
      <w:lvlText w:val="%1."/>
      <w:lvlJc w:val="left"/>
      <w:pPr>
        <w:tabs>
          <w:tab w:val="num" w:pos="360"/>
        </w:tabs>
        <w:ind w:left="360" w:hanging="360"/>
      </w:pPr>
    </w:lvl>
    <w:lvl w:ilvl="1">
      <w:start w:val="1"/>
      <w:numFmt w:val="upperLetter"/>
      <w:lvlText w:val="%2."/>
      <w:legacy w:legacy="1" w:legacySpace="0" w:legacyIndent="397"/>
      <w:lvlJc w:val="left"/>
      <w:pPr>
        <w:ind w:left="794" w:hanging="397"/>
      </w:pPr>
      <w:rPr>
        <w:rFonts w:ascii="Times New Roman" w:hAnsi="Times New Roman" w:hint="default"/>
      </w:rPr>
    </w:lvl>
    <w:lvl w:ilvl="2">
      <w:start w:val="1"/>
      <w:numFmt w:val="decimal"/>
      <w:lvlText w:val="%3."/>
      <w:lvlJc w:val="left"/>
      <w:pPr>
        <w:tabs>
          <w:tab w:val="num" w:pos="-283"/>
        </w:tabs>
        <w:ind w:left="-283" w:firstLine="283"/>
      </w:pPr>
      <w:rPr>
        <w:rFonts w:ascii="Arial" w:hAnsi="Arial" w:hint="default"/>
        <w:b/>
        <w:i w:val="0"/>
        <w:sz w:val="24"/>
        <w:szCs w:val="24"/>
      </w:rPr>
    </w:lvl>
    <w:lvl w:ilvl="3">
      <w:start w:val="1"/>
      <w:numFmt w:val="lowerRoman"/>
      <w:lvlText w:val="%4."/>
      <w:legacy w:legacy="1" w:legacySpace="0" w:legacyIndent="397"/>
      <w:lvlJc w:val="left"/>
      <w:pPr>
        <w:ind w:left="1588" w:hanging="397"/>
      </w:pPr>
      <w:rPr>
        <w:rFonts w:ascii="Times New Roman" w:hAnsi="Times New Roman" w:hint="default"/>
      </w:rPr>
    </w:lvl>
    <w:lvl w:ilvl="4">
      <w:start w:val="1"/>
      <w:numFmt w:val="lowerLetter"/>
      <w:lvlText w:val="%5."/>
      <w:legacy w:legacy="1" w:legacySpace="0" w:legacyIndent="397"/>
      <w:lvlJc w:val="left"/>
      <w:pPr>
        <w:ind w:left="1985" w:hanging="397"/>
      </w:pPr>
      <w:rPr>
        <w:rFonts w:ascii="Times New Roman" w:hAnsi="Times New Roman" w:hint="default"/>
      </w:rPr>
    </w:lvl>
    <w:lvl w:ilvl="5">
      <w:start w:val="1"/>
      <w:numFmt w:val="decimal"/>
      <w:lvlText w:val="%6)"/>
      <w:legacy w:legacy="1" w:legacySpace="0" w:legacyIndent="397"/>
      <w:lvlJc w:val="left"/>
      <w:pPr>
        <w:ind w:left="2382" w:hanging="397"/>
      </w:pPr>
      <w:rPr>
        <w:rFonts w:ascii="Times New Roman" w:hAnsi="Times New Roman" w:hint="default"/>
      </w:rPr>
    </w:lvl>
    <w:lvl w:ilvl="6">
      <w:start w:val="1"/>
      <w:numFmt w:val="lowerRoman"/>
      <w:lvlText w:val="%7)"/>
      <w:legacy w:legacy="1" w:legacySpace="0" w:legacyIndent="397"/>
      <w:lvlJc w:val="left"/>
      <w:pPr>
        <w:ind w:left="2779" w:hanging="397"/>
      </w:pPr>
      <w:rPr>
        <w:rFonts w:ascii="Times New Roman" w:hAnsi="Times New Roman" w:hint="default"/>
      </w:rPr>
    </w:lvl>
    <w:lvl w:ilvl="7">
      <w:start w:val="1"/>
      <w:numFmt w:val="lowerLetter"/>
      <w:lvlText w:val="%8)"/>
      <w:legacy w:legacy="1" w:legacySpace="0" w:legacyIndent="397"/>
      <w:lvlJc w:val="left"/>
      <w:pPr>
        <w:ind w:left="3176" w:hanging="397"/>
      </w:pPr>
      <w:rPr>
        <w:rFonts w:ascii="Times New Roman" w:hAnsi="Times New Roman" w:hint="default"/>
      </w:rPr>
    </w:lvl>
    <w:lvl w:ilvl="8">
      <w:start w:val="1"/>
      <w:numFmt w:val="decimal"/>
      <w:lvlText w:val="(%9)"/>
      <w:legacy w:legacy="1" w:legacySpace="0" w:legacyIndent="397"/>
      <w:lvlJc w:val="left"/>
      <w:pPr>
        <w:ind w:left="3573" w:hanging="397"/>
      </w:pPr>
      <w:rPr>
        <w:rFonts w:ascii="Times New Roman" w:hAnsi="Times New Roman" w:hint="default"/>
      </w:rPr>
    </w:lvl>
  </w:abstractNum>
  <w:abstractNum w:abstractNumId="10" w15:restartNumberingAfterBreak="0">
    <w:nsid w:val="54C30EE9"/>
    <w:multiLevelType w:val="multilevel"/>
    <w:tmpl w:val="64E6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DE1067"/>
    <w:multiLevelType w:val="multilevel"/>
    <w:tmpl w:val="D3F612DE"/>
    <w:lvl w:ilvl="0">
      <w:start w:val="1"/>
      <w:numFmt w:val="decimal"/>
      <w:lvlText w:val="%1"/>
      <w:lvlJc w:val="left"/>
      <w:pPr>
        <w:ind w:left="360" w:hanging="360"/>
      </w:pPr>
      <w:rPr>
        <w:rFonts w:cs="Times New Roman" w:hint="default"/>
        <w:color w:val="333333"/>
        <w:sz w:val="22"/>
      </w:rPr>
    </w:lvl>
    <w:lvl w:ilvl="1">
      <w:start w:val="1"/>
      <w:numFmt w:val="decimal"/>
      <w:lvlText w:val="%1.%2"/>
      <w:lvlJc w:val="left"/>
      <w:pPr>
        <w:ind w:left="360" w:hanging="360"/>
      </w:pPr>
      <w:rPr>
        <w:rFonts w:cs="Times New Roman" w:hint="default"/>
        <w:color w:val="333333"/>
        <w:sz w:val="22"/>
      </w:rPr>
    </w:lvl>
    <w:lvl w:ilvl="2">
      <w:start w:val="1"/>
      <w:numFmt w:val="decimal"/>
      <w:lvlText w:val="%1.%2.%3"/>
      <w:lvlJc w:val="left"/>
      <w:pPr>
        <w:ind w:left="720" w:hanging="720"/>
      </w:pPr>
      <w:rPr>
        <w:rFonts w:cs="Times New Roman" w:hint="default"/>
        <w:color w:val="333333"/>
        <w:sz w:val="22"/>
      </w:rPr>
    </w:lvl>
    <w:lvl w:ilvl="3">
      <w:start w:val="1"/>
      <w:numFmt w:val="decimal"/>
      <w:lvlText w:val="%1.%2.%3.%4"/>
      <w:lvlJc w:val="left"/>
      <w:pPr>
        <w:ind w:left="1080" w:hanging="1080"/>
      </w:pPr>
      <w:rPr>
        <w:rFonts w:cs="Times New Roman" w:hint="default"/>
        <w:color w:val="333333"/>
        <w:sz w:val="22"/>
      </w:rPr>
    </w:lvl>
    <w:lvl w:ilvl="4">
      <w:start w:val="1"/>
      <w:numFmt w:val="decimal"/>
      <w:lvlText w:val="%1.%2.%3.%4.%5"/>
      <w:lvlJc w:val="left"/>
      <w:pPr>
        <w:ind w:left="1080" w:hanging="1080"/>
      </w:pPr>
      <w:rPr>
        <w:rFonts w:cs="Times New Roman" w:hint="default"/>
        <w:color w:val="333333"/>
        <w:sz w:val="22"/>
      </w:rPr>
    </w:lvl>
    <w:lvl w:ilvl="5">
      <w:start w:val="1"/>
      <w:numFmt w:val="decimal"/>
      <w:lvlText w:val="%1.%2.%3.%4.%5.%6"/>
      <w:lvlJc w:val="left"/>
      <w:pPr>
        <w:ind w:left="1440" w:hanging="1440"/>
      </w:pPr>
      <w:rPr>
        <w:rFonts w:cs="Times New Roman" w:hint="default"/>
        <w:color w:val="333333"/>
        <w:sz w:val="22"/>
      </w:rPr>
    </w:lvl>
    <w:lvl w:ilvl="6">
      <w:start w:val="1"/>
      <w:numFmt w:val="decimal"/>
      <w:lvlText w:val="%1.%2.%3.%4.%5.%6.%7"/>
      <w:lvlJc w:val="left"/>
      <w:pPr>
        <w:ind w:left="1440" w:hanging="1440"/>
      </w:pPr>
      <w:rPr>
        <w:rFonts w:cs="Times New Roman" w:hint="default"/>
        <w:color w:val="333333"/>
        <w:sz w:val="22"/>
      </w:rPr>
    </w:lvl>
    <w:lvl w:ilvl="7">
      <w:start w:val="1"/>
      <w:numFmt w:val="decimal"/>
      <w:lvlText w:val="%1.%2.%3.%4.%5.%6.%7.%8"/>
      <w:lvlJc w:val="left"/>
      <w:pPr>
        <w:ind w:left="1800" w:hanging="1800"/>
      </w:pPr>
      <w:rPr>
        <w:rFonts w:cs="Times New Roman" w:hint="default"/>
        <w:color w:val="333333"/>
        <w:sz w:val="22"/>
      </w:rPr>
    </w:lvl>
    <w:lvl w:ilvl="8">
      <w:start w:val="1"/>
      <w:numFmt w:val="decimal"/>
      <w:lvlText w:val="%1.%2.%3.%4.%5.%6.%7.%8.%9"/>
      <w:lvlJc w:val="left"/>
      <w:pPr>
        <w:ind w:left="1800" w:hanging="1800"/>
      </w:pPr>
      <w:rPr>
        <w:rFonts w:cs="Times New Roman" w:hint="default"/>
        <w:color w:val="333333"/>
        <w:sz w:val="22"/>
      </w:rPr>
    </w:lvl>
  </w:abstractNum>
  <w:abstractNum w:abstractNumId="12" w15:restartNumberingAfterBreak="0">
    <w:nsid w:val="5E8858E6"/>
    <w:multiLevelType w:val="hybridMultilevel"/>
    <w:tmpl w:val="804A3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AA259F"/>
    <w:multiLevelType w:val="hybridMultilevel"/>
    <w:tmpl w:val="FE827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594032"/>
    <w:multiLevelType w:val="hybridMultilevel"/>
    <w:tmpl w:val="D972A8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0D4233"/>
    <w:multiLevelType w:val="hybridMultilevel"/>
    <w:tmpl w:val="A44A2C42"/>
    <w:lvl w:ilvl="0" w:tplc="ACA6F398">
      <w:start w:val="1"/>
      <w:numFmt w:val="bullet"/>
      <w:lvlText w:val="-"/>
      <w:lvlJc w:val="left"/>
      <w:pPr>
        <w:ind w:left="2520" w:hanging="360"/>
      </w:pPr>
      <w:rPr>
        <w:rFonts w:ascii="Times New Roman" w:hAnsi="Times New Roman"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6" w15:restartNumberingAfterBreak="0">
    <w:nsid w:val="7280610C"/>
    <w:multiLevelType w:val="hybridMultilevel"/>
    <w:tmpl w:val="14402938"/>
    <w:lvl w:ilvl="0" w:tplc="D6EA507A">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30C5A45"/>
    <w:multiLevelType w:val="hybridMultilevel"/>
    <w:tmpl w:val="CA12A800"/>
    <w:lvl w:ilvl="0" w:tplc="0D40C8AA">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16522"/>
    <w:multiLevelType w:val="hybridMultilevel"/>
    <w:tmpl w:val="F83CB852"/>
    <w:lvl w:ilvl="0" w:tplc="D9646DFE">
      <w:start w:val="1"/>
      <w:numFmt w:val="upperLetter"/>
      <w:lvlText w:val="%1)"/>
      <w:lvlJc w:val="left"/>
      <w:pPr>
        <w:ind w:left="502" w:hanging="360"/>
      </w:pPr>
      <w:rPr>
        <w:rFonts w:ascii="Nunito" w:eastAsia="Times New Roman" w:hAnsi="Nunito" w:cs="Segoe UI"/>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C0396A"/>
    <w:multiLevelType w:val="hybridMultilevel"/>
    <w:tmpl w:val="B4DE2C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53844128">
    <w:abstractNumId w:val="9"/>
  </w:num>
  <w:num w:numId="2" w16cid:durableId="641159360">
    <w:abstractNumId w:val="2"/>
  </w:num>
  <w:num w:numId="3" w16cid:durableId="702219205">
    <w:abstractNumId w:val="17"/>
  </w:num>
  <w:num w:numId="4" w16cid:durableId="1114709705">
    <w:abstractNumId w:val="14"/>
  </w:num>
  <w:num w:numId="5" w16cid:durableId="217016831">
    <w:abstractNumId w:val="16"/>
  </w:num>
  <w:num w:numId="6" w16cid:durableId="1349867746">
    <w:abstractNumId w:val="13"/>
  </w:num>
  <w:num w:numId="7" w16cid:durableId="1900089086">
    <w:abstractNumId w:val="18"/>
  </w:num>
  <w:num w:numId="8" w16cid:durableId="492722737">
    <w:abstractNumId w:val="8"/>
  </w:num>
  <w:num w:numId="9" w16cid:durableId="534654834">
    <w:abstractNumId w:val="11"/>
  </w:num>
  <w:num w:numId="10" w16cid:durableId="323045774">
    <w:abstractNumId w:val="5"/>
  </w:num>
  <w:num w:numId="11" w16cid:durableId="1413119751">
    <w:abstractNumId w:val="6"/>
  </w:num>
  <w:num w:numId="12" w16cid:durableId="1790124361">
    <w:abstractNumId w:val="15"/>
  </w:num>
  <w:num w:numId="13" w16cid:durableId="630136389">
    <w:abstractNumId w:val="10"/>
  </w:num>
  <w:num w:numId="14" w16cid:durableId="1284455817">
    <w:abstractNumId w:val="12"/>
  </w:num>
  <w:num w:numId="15" w16cid:durableId="2126120630">
    <w:abstractNumId w:val="3"/>
  </w:num>
  <w:num w:numId="16" w16cid:durableId="2031836016">
    <w:abstractNumId w:val="1"/>
  </w:num>
  <w:num w:numId="17" w16cid:durableId="1805273639">
    <w:abstractNumId w:val="0"/>
  </w:num>
  <w:num w:numId="18" w16cid:durableId="20017183">
    <w:abstractNumId w:val="7"/>
  </w:num>
  <w:num w:numId="19" w16cid:durableId="1528984949">
    <w:abstractNumId w:val="4"/>
  </w:num>
  <w:num w:numId="20" w16cid:durableId="95691378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0Mjc2NTOxtDQFIiUdpeDU4uLM/DyQAqNaANpOnvosAAAA"/>
  </w:docVars>
  <w:rsids>
    <w:rsidRoot w:val="00473532"/>
    <w:rsid w:val="0000268D"/>
    <w:rsid w:val="00011554"/>
    <w:rsid w:val="000136B8"/>
    <w:rsid w:val="0003582A"/>
    <w:rsid w:val="00047A8F"/>
    <w:rsid w:val="00053B1F"/>
    <w:rsid w:val="000553D4"/>
    <w:rsid w:val="00064691"/>
    <w:rsid w:val="00093EC9"/>
    <w:rsid w:val="00095637"/>
    <w:rsid w:val="000A0A34"/>
    <w:rsid w:val="000A14D2"/>
    <w:rsid w:val="000A40BF"/>
    <w:rsid w:val="000B36F9"/>
    <w:rsid w:val="000C7CFC"/>
    <w:rsid w:val="000D2951"/>
    <w:rsid w:val="000E0AE7"/>
    <w:rsid w:val="000E38F1"/>
    <w:rsid w:val="000E6C06"/>
    <w:rsid w:val="000E730E"/>
    <w:rsid w:val="00125139"/>
    <w:rsid w:val="00125B24"/>
    <w:rsid w:val="00126E36"/>
    <w:rsid w:val="001857EB"/>
    <w:rsid w:val="0019580A"/>
    <w:rsid w:val="001A4046"/>
    <w:rsid w:val="001B58D9"/>
    <w:rsid w:val="001C1EB2"/>
    <w:rsid w:val="001C3ED5"/>
    <w:rsid w:val="001D258B"/>
    <w:rsid w:val="001F40DA"/>
    <w:rsid w:val="00201DD7"/>
    <w:rsid w:val="0021144E"/>
    <w:rsid w:val="002337A4"/>
    <w:rsid w:val="002402A5"/>
    <w:rsid w:val="00261A98"/>
    <w:rsid w:val="00273138"/>
    <w:rsid w:val="002B1B39"/>
    <w:rsid w:val="002C2B00"/>
    <w:rsid w:val="002C6567"/>
    <w:rsid w:val="002D2745"/>
    <w:rsid w:val="00304918"/>
    <w:rsid w:val="00320E73"/>
    <w:rsid w:val="003245F8"/>
    <w:rsid w:val="00343CEE"/>
    <w:rsid w:val="00352304"/>
    <w:rsid w:val="0035240B"/>
    <w:rsid w:val="00375D6B"/>
    <w:rsid w:val="00377918"/>
    <w:rsid w:val="00392AD9"/>
    <w:rsid w:val="00396EFB"/>
    <w:rsid w:val="003C2B43"/>
    <w:rsid w:val="003C417A"/>
    <w:rsid w:val="003C74BD"/>
    <w:rsid w:val="003D3740"/>
    <w:rsid w:val="003D5447"/>
    <w:rsid w:val="003E30AB"/>
    <w:rsid w:val="00404695"/>
    <w:rsid w:val="0040686C"/>
    <w:rsid w:val="004450E5"/>
    <w:rsid w:val="004576B5"/>
    <w:rsid w:val="00470475"/>
    <w:rsid w:val="00472E74"/>
    <w:rsid w:val="00473532"/>
    <w:rsid w:val="00480084"/>
    <w:rsid w:val="00486589"/>
    <w:rsid w:val="004B0CDA"/>
    <w:rsid w:val="004B50E8"/>
    <w:rsid w:val="004C3337"/>
    <w:rsid w:val="004C7562"/>
    <w:rsid w:val="004E4B07"/>
    <w:rsid w:val="004E7E85"/>
    <w:rsid w:val="004F0D94"/>
    <w:rsid w:val="00523A24"/>
    <w:rsid w:val="00531D6D"/>
    <w:rsid w:val="00546380"/>
    <w:rsid w:val="0057424F"/>
    <w:rsid w:val="00583279"/>
    <w:rsid w:val="005A4382"/>
    <w:rsid w:val="005A4B3B"/>
    <w:rsid w:val="005D1AC7"/>
    <w:rsid w:val="005E0B9F"/>
    <w:rsid w:val="005F5A92"/>
    <w:rsid w:val="0060278A"/>
    <w:rsid w:val="00602BF8"/>
    <w:rsid w:val="00603F93"/>
    <w:rsid w:val="00617109"/>
    <w:rsid w:val="006639E9"/>
    <w:rsid w:val="00670897"/>
    <w:rsid w:val="0068005F"/>
    <w:rsid w:val="006977C9"/>
    <w:rsid w:val="0070129B"/>
    <w:rsid w:val="0071233C"/>
    <w:rsid w:val="00720FB1"/>
    <w:rsid w:val="007341B9"/>
    <w:rsid w:val="007347AF"/>
    <w:rsid w:val="007410DF"/>
    <w:rsid w:val="00773689"/>
    <w:rsid w:val="0077720C"/>
    <w:rsid w:val="0078248C"/>
    <w:rsid w:val="00793247"/>
    <w:rsid w:val="007A1E66"/>
    <w:rsid w:val="007A35C1"/>
    <w:rsid w:val="007A4C42"/>
    <w:rsid w:val="007C733D"/>
    <w:rsid w:val="008037F9"/>
    <w:rsid w:val="00811EC7"/>
    <w:rsid w:val="00814760"/>
    <w:rsid w:val="0082273E"/>
    <w:rsid w:val="008357AB"/>
    <w:rsid w:val="008402E0"/>
    <w:rsid w:val="008517FE"/>
    <w:rsid w:val="00852F65"/>
    <w:rsid w:val="00864D64"/>
    <w:rsid w:val="008710B9"/>
    <w:rsid w:val="00871649"/>
    <w:rsid w:val="00881310"/>
    <w:rsid w:val="008B7419"/>
    <w:rsid w:val="008F707A"/>
    <w:rsid w:val="00901815"/>
    <w:rsid w:val="009214C2"/>
    <w:rsid w:val="00922354"/>
    <w:rsid w:val="00944718"/>
    <w:rsid w:val="00954024"/>
    <w:rsid w:val="0095550B"/>
    <w:rsid w:val="009636C2"/>
    <w:rsid w:val="00965CAC"/>
    <w:rsid w:val="00975D97"/>
    <w:rsid w:val="00981EEC"/>
    <w:rsid w:val="00993D74"/>
    <w:rsid w:val="009C1AB6"/>
    <w:rsid w:val="009C38F5"/>
    <w:rsid w:val="009D18BB"/>
    <w:rsid w:val="009E4EA4"/>
    <w:rsid w:val="00A03DD6"/>
    <w:rsid w:val="00A102F8"/>
    <w:rsid w:val="00A27B9B"/>
    <w:rsid w:val="00A42EB6"/>
    <w:rsid w:val="00A458CD"/>
    <w:rsid w:val="00A57D0B"/>
    <w:rsid w:val="00A61016"/>
    <w:rsid w:val="00A644EA"/>
    <w:rsid w:val="00A87B8C"/>
    <w:rsid w:val="00AA6F6A"/>
    <w:rsid w:val="00AB7A9E"/>
    <w:rsid w:val="00AF48D0"/>
    <w:rsid w:val="00B12455"/>
    <w:rsid w:val="00B14C39"/>
    <w:rsid w:val="00B15EFE"/>
    <w:rsid w:val="00B5179A"/>
    <w:rsid w:val="00B716F4"/>
    <w:rsid w:val="00B769FE"/>
    <w:rsid w:val="00BC3932"/>
    <w:rsid w:val="00BC6E48"/>
    <w:rsid w:val="00BD64CB"/>
    <w:rsid w:val="00C048AC"/>
    <w:rsid w:val="00C1653C"/>
    <w:rsid w:val="00C374D0"/>
    <w:rsid w:val="00C416FC"/>
    <w:rsid w:val="00C50A18"/>
    <w:rsid w:val="00C53C82"/>
    <w:rsid w:val="00C54275"/>
    <w:rsid w:val="00C602F3"/>
    <w:rsid w:val="00C7137D"/>
    <w:rsid w:val="00C828F6"/>
    <w:rsid w:val="00C90F83"/>
    <w:rsid w:val="00CC1C25"/>
    <w:rsid w:val="00CC3D41"/>
    <w:rsid w:val="00CD1775"/>
    <w:rsid w:val="00CE0354"/>
    <w:rsid w:val="00CE2713"/>
    <w:rsid w:val="00D062C9"/>
    <w:rsid w:val="00D24F46"/>
    <w:rsid w:val="00D36DEC"/>
    <w:rsid w:val="00D37780"/>
    <w:rsid w:val="00D54031"/>
    <w:rsid w:val="00DA4973"/>
    <w:rsid w:val="00DC213C"/>
    <w:rsid w:val="00DE53CC"/>
    <w:rsid w:val="00DE7833"/>
    <w:rsid w:val="00E23A54"/>
    <w:rsid w:val="00E27914"/>
    <w:rsid w:val="00E3294F"/>
    <w:rsid w:val="00E33207"/>
    <w:rsid w:val="00E442A6"/>
    <w:rsid w:val="00E62A1A"/>
    <w:rsid w:val="00E726A1"/>
    <w:rsid w:val="00EB0B93"/>
    <w:rsid w:val="00EC170B"/>
    <w:rsid w:val="00ED0611"/>
    <w:rsid w:val="00ED3DE3"/>
    <w:rsid w:val="00ED6CD1"/>
    <w:rsid w:val="00F0212E"/>
    <w:rsid w:val="00F06112"/>
    <w:rsid w:val="00F27D3C"/>
    <w:rsid w:val="00F4283C"/>
    <w:rsid w:val="00F42B07"/>
    <w:rsid w:val="00F5135E"/>
    <w:rsid w:val="00F76695"/>
    <w:rsid w:val="00F82CCB"/>
    <w:rsid w:val="00F87584"/>
    <w:rsid w:val="00FB1DB6"/>
    <w:rsid w:val="00FD4E81"/>
    <w:rsid w:val="00FD69D5"/>
    <w:rsid w:val="00FE20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98A91"/>
  <w15:chartTrackingRefBased/>
  <w15:docId w15:val="{F3DF0A51-692C-4A9D-9894-E79FBFC0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Body Text Inden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A8F"/>
    <w:rPr>
      <w:sz w:val="24"/>
    </w:rPr>
  </w:style>
  <w:style w:type="paragraph" w:styleId="Titre1">
    <w:name w:val="heading 1"/>
    <w:basedOn w:val="Normal"/>
    <w:next w:val="Normal"/>
    <w:qFormat/>
    <w:rsid w:val="00473532"/>
    <w:pPr>
      <w:keepNext/>
      <w:widowControl w:val="0"/>
      <w:numPr>
        <w:numId w:val="2"/>
      </w:numPr>
      <w:spacing w:after="240"/>
      <w:jc w:val="both"/>
      <w:outlineLvl w:val="0"/>
    </w:pPr>
    <w:rPr>
      <w:b/>
      <w:spacing w:val="-2"/>
      <w:kern w:val="28"/>
      <w:lang w:eastAsia="en-US"/>
    </w:rPr>
  </w:style>
  <w:style w:type="paragraph" w:styleId="Titre2">
    <w:name w:val="heading 2"/>
    <w:basedOn w:val="Normal"/>
    <w:next w:val="Normal"/>
    <w:qFormat/>
    <w:rsid w:val="00473532"/>
    <w:pPr>
      <w:keepNext/>
      <w:numPr>
        <w:ilvl w:val="1"/>
        <w:numId w:val="2"/>
      </w:numPr>
      <w:spacing w:after="120"/>
      <w:jc w:val="both"/>
      <w:outlineLvl w:val="1"/>
    </w:pPr>
    <w:rPr>
      <w:b/>
      <w:lang w:eastAsia="en-US"/>
    </w:rPr>
  </w:style>
  <w:style w:type="paragraph" w:styleId="Titre3">
    <w:name w:val="heading 3"/>
    <w:basedOn w:val="Normal"/>
    <w:next w:val="Normal"/>
    <w:link w:val="Titre3Car"/>
    <w:qFormat/>
    <w:rsid w:val="00473532"/>
    <w:pPr>
      <w:keepNext/>
      <w:widowControl w:val="0"/>
      <w:numPr>
        <w:ilvl w:val="2"/>
        <w:numId w:val="2"/>
      </w:numPr>
      <w:outlineLvl w:val="2"/>
    </w:pPr>
    <w:rPr>
      <w:b/>
      <w:lang w:eastAsia="en-US"/>
    </w:rPr>
  </w:style>
  <w:style w:type="paragraph" w:styleId="Titre4">
    <w:name w:val="heading 4"/>
    <w:basedOn w:val="Normal"/>
    <w:next w:val="Normal"/>
    <w:qFormat/>
    <w:rsid w:val="00473532"/>
    <w:pPr>
      <w:keepNext/>
      <w:widowControl w:val="0"/>
      <w:numPr>
        <w:ilvl w:val="3"/>
        <w:numId w:val="2"/>
      </w:numPr>
      <w:jc w:val="both"/>
      <w:outlineLvl w:val="3"/>
    </w:pPr>
    <w:rPr>
      <w:sz w:val="20"/>
      <w:lang w:eastAsia="en-US"/>
    </w:rPr>
  </w:style>
  <w:style w:type="paragraph" w:styleId="Titre5">
    <w:name w:val="heading 5"/>
    <w:basedOn w:val="Normal"/>
    <w:next w:val="Normal"/>
    <w:qFormat/>
    <w:rsid w:val="00473532"/>
    <w:pPr>
      <w:widowControl w:val="0"/>
      <w:numPr>
        <w:ilvl w:val="4"/>
        <w:numId w:val="2"/>
      </w:numPr>
      <w:jc w:val="both"/>
      <w:outlineLvl w:val="4"/>
    </w:pPr>
    <w:rPr>
      <w:sz w:val="22"/>
      <w:lang w:eastAsia="en-US"/>
    </w:rPr>
  </w:style>
  <w:style w:type="paragraph" w:styleId="Titre6">
    <w:name w:val="heading 6"/>
    <w:basedOn w:val="Normal"/>
    <w:next w:val="Normal"/>
    <w:qFormat/>
    <w:rsid w:val="00473532"/>
    <w:pPr>
      <w:keepNext/>
      <w:widowControl w:val="0"/>
      <w:numPr>
        <w:ilvl w:val="5"/>
        <w:numId w:val="2"/>
      </w:numPr>
      <w:jc w:val="center"/>
      <w:outlineLvl w:val="5"/>
    </w:pPr>
    <w:rPr>
      <w:sz w:val="20"/>
      <w:u w:val="single"/>
      <w:lang w:eastAsia="en-US"/>
    </w:rPr>
  </w:style>
  <w:style w:type="paragraph" w:styleId="Titre7">
    <w:name w:val="heading 7"/>
    <w:basedOn w:val="Normal"/>
    <w:next w:val="Normal"/>
    <w:qFormat/>
    <w:rsid w:val="00473532"/>
    <w:pPr>
      <w:numPr>
        <w:ilvl w:val="6"/>
        <w:numId w:val="2"/>
      </w:numPr>
      <w:spacing w:before="240" w:after="60"/>
      <w:jc w:val="both"/>
      <w:outlineLvl w:val="6"/>
    </w:pPr>
    <w:rPr>
      <w:rFonts w:ascii="Arial" w:hAnsi="Arial"/>
      <w:sz w:val="20"/>
      <w:lang w:eastAsia="en-US"/>
    </w:rPr>
  </w:style>
  <w:style w:type="paragraph" w:styleId="Titre8">
    <w:name w:val="heading 8"/>
    <w:basedOn w:val="Normal"/>
    <w:next w:val="Normal"/>
    <w:qFormat/>
    <w:rsid w:val="00473532"/>
    <w:pPr>
      <w:numPr>
        <w:ilvl w:val="7"/>
        <w:numId w:val="2"/>
      </w:numPr>
      <w:spacing w:before="240" w:after="60"/>
      <w:jc w:val="both"/>
      <w:outlineLvl w:val="7"/>
    </w:pPr>
    <w:rPr>
      <w:rFonts w:ascii="Arial" w:hAnsi="Arial"/>
      <w:i/>
      <w:sz w:val="20"/>
      <w:lang w:eastAsia="en-US"/>
    </w:rPr>
  </w:style>
  <w:style w:type="paragraph" w:styleId="Titre9">
    <w:name w:val="heading 9"/>
    <w:basedOn w:val="Normal"/>
    <w:next w:val="Normal"/>
    <w:qFormat/>
    <w:rsid w:val="00473532"/>
    <w:pPr>
      <w:keepNext/>
      <w:numPr>
        <w:ilvl w:val="8"/>
        <w:numId w:val="2"/>
      </w:numPr>
      <w:jc w:val="center"/>
      <w:outlineLvl w:val="8"/>
    </w:pPr>
    <w:rPr>
      <w:b/>
      <w:color w:val="0000FF"/>
      <w:kern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qFormat/>
    <w:rsid w:val="00473532"/>
    <w:rPr>
      <w:sz w:val="20"/>
    </w:rPr>
  </w:style>
  <w:style w:type="character" w:styleId="Appelnotedebasdep">
    <w:name w:val="footnote reference"/>
    <w:uiPriority w:val="99"/>
    <w:qFormat/>
    <w:rsid w:val="00473532"/>
    <w:rPr>
      <w:vertAlign w:val="superscript"/>
    </w:rPr>
  </w:style>
  <w:style w:type="paragraph" w:styleId="Pieddepage">
    <w:name w:val="footer"/>
    <w:basedOn w:val="Normal"/>
    <w:link w:val="PieddepageCar"/>
    <w:uiPriority w:val="99"/>
    <w:rsid w:val="00473532"/>
    <w:pPr>
      <w:pBdr>
        <w:top w:val="single" w:sz="6" w:space="1" w:color="auto"/>
      </w:pBdr>
      <w:tabs>
        <w:tab w:val="center" w:pos="4320"/>
        <w:tab w:val="right" w:pos="8640"/>
      </w:tabs>
      <w:jc w:val="both"/>
    </w:pPr>
    <w:rPr>
      <w:sz w:val="20"/>
      <w:lang w:eastAsia="en-US"/>
    </w:rPr>
  </w:style>
  <w:style w:type="character" w:styleId="Numrodepage">
    <w:name w:val="page number"/>
    <w:basedOn w:val="Policepardfaut"/>
    <w:rsid w:val="00473532"/>
  </w:style>
  <w:style w:type="paragraph" w:styleId="TM1">
    <w:name w:val="toc 1"/>
    <w:basedOn w:val="Normal"/>
    <w:next w:val="Normal"/>
    <w:semiHidden/>
    <w:rsid w:val="00473532"/>
    <w:pPr>
      <w:widowControl w:val="0"/>
      <w:tabs>
        <w:tab w:val="left" w:pos="567"/>
        <w:tab w:val="left" w:pos="993"/>
        <w:tab w:val="right" w:leader="dot" w:pos="8460"/>
      </w:tabs>
      <w:spacing w:before="60" w:after="60"/>
      <w:ind w:left="567" w:right="567"/>
      <w:jc w:val="both"/>
    </w:pPr>
    <w:rPr>
      <w:b/>
      <w:caps/>
      <w:noProof/>
      <w:sz w:val="20"/>
      <w:lang w:eastAsia="en-US"/>
    </w:rPr>
  </w:style>
  <w:style w:type="paragraph" w:styleId="TM2">
    <w:name w:val="toc 2"/>
    <w:basedOn w:val="Normal"/>
    <w:next w:val="Normal"/>
    <w:semiHidden/>
    <w:rsid w:val="00473532"/>
    <w:pPr>
      <w:widowControl w:val="0"/>
      <w:tabs>
        <w:tab w:val="right" w:leader="dot" w:pos="8460"/>
      </w:tabs>
      <w:ind w:left="1417" w:right="567" w:hanging="425"/>
      <w:jc w:val="both"/>
    </w:pPr>
    <w:rPr>
      <w:b/>
      <w:smallCaps/>
      <w:noProof/>
      <w:sz w:val="20"/>
      <w:lang w:eastAsia="en-US"/>
    </w:rPr>
  </w:style>
  <w:style w:type="paragraph" w:styleId="TM3">
    <w:name w:val="toc 3"/>
    <w:basedOn w:val="Normal"/>
    <w:next w:val="Normal"/>
    <w:semiHidden/>
    <w:rsid w:val="00473532"/>
    <w:pPr>
      <w:widowControl w:val="0"/>
      <w:tabs>
        <w:tab w:val="left" w:pos="851"/>
        <w:tab w:val="right" w:leader="dot" w:pos="8460"/>
      </w:tabs>
      <w:spacing w:before="240"/>
      <w:ind w:left="567" w:right="567"/>
      <w:jc w:val="both"/>
    </w:pPr>
    <w:rPr>
      <w:noProof/>
      <w:sz w:val="20"/>
      <w:lang w:eastAsia="en-US"/>
    </w:rPr>
  </w:style>
  <w:style w:type="paragraph" w:styleId="TM4">
    <w:name w:val="toc 4"/>
    <w:basedOn w:val="Normal"/>
    <w:next w:val="Normal"/>
    <w:semiHidden/>
    <w:rsid w:val="00473532"/>
    <w:pPr>
      <w:widowControl w:val="0"/>
      <w:tabs>
        <w:tab w:val="right" w:leader="dot" w:pos="8460"/>
      </w:tabs>
      <w:ind w:left="1276" w:right="567" w:hanging="425"/>
      <w:jc w:val="both"/>
    </w:pPr>
    <w:rPr>
      <w:i/>
      <w:noProof/>
      <w:sz w:val="18"/>
      <w:lang w:eastAsia="en-US"/>
    </w:rPr>
  </w:style>
  <w:style w:type="paragraph" w:styleId="En-tte">
    <w:name w:val="header"/>
    <w:basedOn w:val="Normal"/>
    <w:rsid w:val="00473532"/>
    <w:pPr>
      <w:widowControl w:val="0"/>
      <w:tabs>
        <w:tab w:val="center" w:pos="4153"/>
        <w:tab w:val="right" w:pos="8306"/>
      </w:tabs>
      <w:jc w:val="both"/>
    </w:pPr>
    <w:rPr>
      <w:lang w:eastAsia="en-US"/>
    </w:rPr>
  </w:style>
  <w:style w:type="table" w:styleId="Grilledutableau">
    <w:name w:val="Table Grid"/>
    <w:basedOn w:val="TableauNormal"/>
    <w:rsid w:val="004C7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link w:val="Titre3"/>
    <w:rsid w:val="00954024"/>
    <w:rPr>
      <w:b/>
      <w:sz w:val="24"/>
      <w:lang w:eastAsia="en-US"/>
    </w:rPr>
  </w:style>
  <w:style w:type="paragraph" w:styleId="Textedebulles">
    <w:name w:val="Balloon Text"/>
    <w:basedOn w:val="Normal"/>
    <w:semiHidden/>
    <w:rsid w:val="00396EFB"/>
    <w:rPr>
      <w:rFonts w:ascii="Tahoma" w:hAnsi="Tahoma" w:cs="Tahoma"/>
      <w:sz w:val="16"/>
      <w:szCs w:val="16"/>
    </w:rPr>
  </w:style>
  <w:style w:type="paragraph" w:customStyle="1" w:styleId="Char1">
    <w:name w:val="Char1"/>
    <w:basedOn w:val="Normal"/>
    <w:rsid w:val="00793247"/>
    <w:pPr>
      <w:widowControl w:val="0"/>
      <w:adjustRightInd w:val="0"/>
      <w:spacing w:after="160" w:line="240" w:lineRule="exact"/>
      <w:jc w:val="both"/>
      <w:textAlignment w:val="baseline"/>
    </w:pPr>
    <w:rPr>
      <w:rFonts w:ascii="Arial" w:hAnsi="Arial" w:cs="Arial"/>
      <w:sz w:val="20"/>
      <w:lang w:val="en-US" w:eastAsia="en-US"/>
    </w:rPr>
  </w:style>
  <w:style w:type="paragraph" w:customStyle="1" w:styleId="Default">
    <w:name w:val="Default"/>
    <w:rsid w:val="00793247"/>
    <w:pPr>
      <w:autoSpaceDE w:val="0"/>
      <w:autoSpaceDN w:val="0"/>
      <w:adjustRightInd w:val="0"/>
    </w:pPr>
    <w:rPr>
      <w:rFonts w:ascii="Arial" w:eastAsia="Calibri" w:hAnsi="Arial" w:cs="Arial"/>
      <w:color w:val="000000"/>
      <w:sz w:val="24"/>
      <w:szCs w:val="24"/>
      <w:lang w:val="fr-CH" w:eastAsia="en-US"/>
    </w:rPr>
  </w:style>
  <w:style w:type="paragraph" w:customStyle="1" w:styleId="BodySingle">
    <w:name w:val="Body Single"/>
    <w:basedOn w:val="Normal"/>
    <w:link w:val="BodySingleChar"/>
    <w:uiPriority w:val="99"/>
    <w:rsid w:val="00793247"/>
    <w:pPr>
      <w:autoSpaceDE w:val="0"/>
      <w:autoSpaceDN w:val="0"/>
      <w:adjustRightInd w:val="0"/>
      <w:jc w:val="both"/>
    </w:pPr>
    <w:rPr>
      <w:rFonts w:ascii="Arial" w:hAnsi="Arial" w:cs="Arial"/>
      <w:sz w:val="20"/>
      <w:lang w:val="en-US" w:eastAsia="en-US"/>
    </w:rPr>
  </w:style>
  <w:style w:type="character" w:customStyle="1" w:styleId="BodySingleChar">
    <w:name w:val="Body Single Char"/>
    <w:link w:val="BodySingle"/>
    <w:uiPriority w:val="99"/>
    <w:rsid w:val="00793247"/>
    <w:rPr>
      <w:rFonts w:ascii="Arial" w:hAnsi="Arial" w:cs="Arial"/>
      <w:lang w:val="en-US" w:eastAsia="en-US"/>
    </w:rPr>
  </w:style>
  <w:style w:type="character" w:customStyle="1" w:styleId="normaltextrun">
    <w:name w:val="normaltextrun"/>
    <w:basedOn w:val="Policepardfaut"/>
    <w:rsid w:val="00793247"/>
  </w:style>
  <w:style w:type="paragraph" w:customStyle="1" w:styleId="paragraph">
    <w:name w:val="paragraph"/>
    <w:basedOn w:val="Normal"/>
    <w:rsid w:val="00793247"/>
    <w:pPr>
      <w:spacing w:before="100" w:beforeAutospacing="1" w:after="100" w:afterAutospacing="1"/>
    </w:pPr>
    <w:rPr>
      <w:szCs w:val="24"/>
    </w:rPr>
  </w:style>
  <w:style w:type="character" w:customStyle="1" w:styleId="eop">
    <w:name w:val="eop"/>
    <w:basedOn w:val="Policepardfaut"/>
    <w:rsid w:val="00793247"/>
  </w:style>
  <w:style w:type="paragraph" w:styleId="Paragraphedeliste">
    <w:name w:val="List Paragraph"/>
    <w:aliases w:val="titulo 3,Table Heading,List Paragraph (numbered (a)),Numbered list,List_Paragraph,Multilevel para_II,Lapis Bulleted List,Citation List,ReferencesCxSpLast,lp1,Normal 2,Colorful List - Accent 12,Main numbered paragraph,Bullet paras,EC"/>
    <w:basedOn w:val="Normal"/>
    <w:link w:val="ParagraphedelisteCar"/>
    <w:uiPriority w:val="34"/>
    <w:qFormat/>
    <w:rsid w:val="00C602F3"/>
    <w:pPr>
      <w:ind w:left="720"/>
      <w:contextualSpacing/>
    </w:pPr>
    <w:rPr>
      <w:szCs w:val="24"/>
    </w:rPr>
  </w:style>
  <w:style w:type="character" w:customStyle="1" w:styleId="ParagraphedelisteCar">
    <w:name w:val="Paragraphe de liste Car"/>
    <w:aliases w:val="titulo 3 Car,Table Heading Car,List Paragraph (numbered (a)) Car,Numbered list Car,List_Paragraph Car,Multilevel para_II Car,Lapis Bulleted List Car,Citation List Car,ReferencesCxSpLast Car,lp1 Car,Normal 2 Car,Bullet paras Car"/>
    <w:link w:val="Paragraphedeliste"/>
    <w:uiPriority w:val="34"/>
    <w:locked/>
    <w:rsid w:val="00C602F3"/>
    <w:rPr>
      <w:sz w:val="24"/>
      <w:szCs w:val="24"/>
    </w:rPr>
  </w:style>
  <w:style w:type="table" w:styleId="Grilleclaire-Accent5">
    <w:name w:val="Light Grid Accent 5"/>
    <w:basedOn w:val="TableauNormal"/>
    <w:uiPriority w:val="62"/>
    <w:rsid w:val="00C602F3"/>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unito" w:eastAsia="Times New Roman" w:hAnsi="Nunito"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unito" w:eastAsia="Times New Roman" w:hAnsi="Nunito"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unito" w:eastAsia="Times New Roman" w:hAnsi="Nunito" w:cs="Times New Roman"/>
        <w:b/>
        <w:bCs/>
      </w:rPr>
    </w:tblStylePr>
    <w:tblStylePr w:type="lastCol">
      <w:rPr>
        <w:rFonts w:ascii="Nunito" w:eastAsia="Times New Roman" w:hAnsi="Nunito"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Lienhypertexte">
    <w:name w:val="Hyperlink"/>
    <w:rsid w:val="00A61016"/>
    <w:rPr>
      <w:color w:val="0563C1"/>
      <w:u w:val="single"/>
    </w:rPr>
  </w:style>
  <w:style w:type="character" w:customStyle="1" w:styleId="Mentionnonrsolue1">
    <w:name w:val="Mention non résolue1"/>
    <w:uiPriority w:val="99"/>
    <w:semiHidden/>
    <w:unhideWhenUsed/>
    <w:rsid w:val="00A61016"/>
    <w:rPr>
      <w:color w:val="605E5C"/>
      <w:shd w:val="clear" w:color="auto" w:fill="E1DFDD"/>
    </w:rPr>
  </w:style>
  <w:style w:type="character" w:styleId="Marquedecommentaire">
    <w:name w:val="annotation reference"/>
    <w:uiPriority w:val="99"/>
    <w:unhideWhenUsed/>
    <w:rsid w:val="008B7419"/>
    <w:rPr>
      <w:sz w:val="16"/>
      <w:szCs w:val="16"/>
    </w:rPr>
  </w:style>
  <w:style w:type="paragraph" w:styleId="Commentaire">
    <w:name w:val="annotation text"/>
    <w:basedOn w:val="Normal"/>
    <w:link w:val="CommentaireCar"/>
    <w:uiPriority w:val="99"/>
    <w:unhideWhenUsed/>
    <w:rsid w:val="008B7419"/>
    <w:pPr>
      <w:spacing w:after="160"/>
    </w:pPr>
    <w:rPr>
      <w:rFonts w:ascii="Calibri" w:eastAsia="Calibri" w:hAnsi="Calibri"/>
      <w:kern w:val="2"/>
      <w:sz w:val="20"/>
      <w:lang w:eastAsia="en-US"/>
    </w:rPr>
  </w:style>
  <w:style w:type="character" w:customStyle="1" w:styleId="CommentaireCar">
    <w:name w:val="Commentaire Car"/>
    <w:link w:val="Commentaire"/>
    <w:uiPriority w:val="99"/>
    <w:rsid w:val="008B7419"/>
    <w:rPr>
      <w:rFonts w:ascii="Calibri" w:eastAsia="Calibri" w:hAnsi="Calibri"/>
      <w:kern w:val="2"/>
      <w:lang w:eastAsia="en-US"/>
    </w:rPr>
  </w:style>
  <w:style w:type="paragraph" w:styleId="Rvision">
    <w:name w:val="Revision"/>
    <w:hidden/>
    <w:uiPriority w:val="99"/>
    <w:semiHidden/>
    <w:rsid w:val="00814760"/>
    <w:rPr>
      <w:sz w:val="24"/>
      <w:lang w:val="en-GB"/>
    </w:rPr>
  </w:style>
  <w:style w:type="paragraph" w:styleId="Objetducommentaire">
    <w:name w:val="annotation subject"/>
    <w:basedOn w:val="Commentaire"/>
    <w:next w:val="Commentaire"/>
    <w:link w:val="ObjetducommentaireCar"/>
    <w:rsid w:val="002C6567"/>
    <w:pPr>
      <w:spacing w:after="0"/>
    </w:pPr>
    <w:rPr>
      <w:rFonts w:ascii="Times New Roman" w:eastAsia="Times New Roman" w:hAnsi="Times New Roman"/>
      <w:b/>
      <w:bCs/>
      <w:kern w:val="0"/>
      <w:lang w:val="en-GB" w:eastAsia="fr-FR"/>
    </w:rPr>
  </w:style>
  <w:style w:type="character" w:customStyle="1" w:styleId="ObjetducommentaireCar">
    <w:name w:val="Objet du commentaire Car"/>
    <w:link w:val="Objetducommentaire"/>
    <w:rsid w:val="002C6567"/>
    <w:rPr>
      <w:rFonts w:ascii="Calibri" w:eastAsia="Calibri" w:hAnsi="Calibri"/>
      <w:b/>
      <w:bCs/>
      <w:kern w:val="2"/>
      <w:lang w:val="en-GB" w:eastAsia="en-US"/>
    </w:rPr>
  </w:style>
  <w:style w:type="table" w:styleId="Tableausimple1">
    <w:name w:val="Plain Table 1"/>
    <w:basedOn w:val="TableauNormal"/>
    <w:uiPriority w:val="41"/>
    <w:rsid w:val="008037F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Retraitcorpsdetexte">
    <w:name w:val="Body Text Indent"/>
    <w:basedOn w:val="Normal"/>
    <w:link w:val="RetraitcorpsdetexteCar"/>
    <w:uiPriority w:val="99"/>
    <w:rsid w:val="005A4382"/>
    <w:pPr>
      <w:spacing w:line="360" w:lineRule="auto"/>
      <w:ind w:right="-6"/>
      <w:jc w:val="both"/>
    </w:pPr>
    <w:rPr>
      <w:rFonts w:ascii="Book Antiqua" w:hAnsi="Book Antiqua"/>
      <w:b/>
      <w:bCs/>
      <w:szCs w:val="24"/>
      <w:lang w:eastAsia="ar-SA"/>
    </w:rPr>
  </w:style>
  <w:style w:type="character" w:customStyle="1" w:styleId="RetraitcorpsdetexteCar">
    <w:name w:val="Retrait corps de texte Car"/>
    <w:link w:val="Retraitcorpsdetexte"/>
    <w:uiPriority w:val="99"/>
    <w:rsid w:val="005A4382"/>
    <w:rPr>
      <w:rFonts w:ascii="Book Antiqua" w:hAnsi="Book Antiqua"/>
      <w:b/>
      <w:bCs/>
      <w:sz w:val="24"/>
      <w:szCs w:val="24"/>
      <w:lang w:eastAsia="ar-SA"/>
    </w:rPr>
  </w:style>
  <w:style w:type="paragraph" w:styleId="NormalWeb">
    <w:name w:val="Normal (Web)"/>
    <w:basedOn w:val="Normal"/>
    <w:uiPriority w:val="99"/>
    <w:unhideWhenUsed/>
    <w:rsid w:val="000A0A34"/>
    <w:pPr>
      <w:spacing w:before="100" w:beforeAutospacing="1" w:after="100" w:afterAutospacing="1"/>
    </w:pPr>
    <w:rPr>
      <w:szCs w:val="24"/>
    </w:rPr>
  </w:style>
  <w:style w:type="character" w:styleId="lev">
    <w:name w:val="Strong"/>
    <w:uiPriority w:val="22"/>
    <w:qFormat/>
    <w:rsid w:val="000A0A34"/>
    <w:rPr>
      <w:b/>
      <w:bCs/>
    </w:rPr>
  </w:style>
  <w:style w:type="character" w:customStyle="1" w:styleId="NotedebasdepageCar">
    <w:name w:val="Note de bas de page Car"/>
    <w:link w:val="Notedebasdepage"/>
    <w:uiPriority w:val="99"/>
    <w:rsid w:val="000A0A34"/>
  </w:style>
  <w:style w:type="character" w:customStyle="1" w:styleId="PieddepageCar">
    <w:name w:val="Pied de page Car"/>
    <w:link w:val="Pieddepage"/>
    <w:uiPriority w:val="99"/>
    <w:rsid w:val="00AB7A9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53408">
      <w:bodyDiv w:val="1"/>
      <w:marLeft w:val="0"/>
      <w:marRight w:val="0"/>
      <w:marTop w:val="0"/>
      <w:marBottom w:val="0"/>
      <w:divBdr>
        <w:top w:val="none" w:sz="0" w:space="0" w:color="auto"/>
        <w:left w:val="none" w:sz="0" w:space="0" w:color="auto"/>
        <w:bottom w:val="none" w:sz="0" w:space="0" w:color="auto"/>
        <w:right w:val="none" w:sz="0" w:space="0" w:color="auto"/>
      </w:divBdr>
    </w:div>
    <w:div w:id="604197407">
      <w:bodyDiv w:val="1"/>
      <w:marLeft w:val="0"/>
      <w:marRight w:val="0"/>
      <w:marTop w:val="0"/>
      <w:marBottom w:val="0"/>
      <w:divBdr>
        <w:top w:val="none" w:sz="0" w:space="0" w:color="auto"/>
        <w:left w:val="none" w:sz="0" w:space="0" w:color="auto"/>
        <w:bottom w:val="none" w:sz="0" w:space="0" w:color="auto"/>
        <w:right w:val="none" w:sz="0" w:space="0" w:color="auto"/>
      </w:divBdr>
      <w:divsChild>
        <w:div w:id="229120750">
          <w:marLeft w:val="0"/>
          <w:marRight w:val="0"/>
          <w:marTop w:val="0"/>
          <w:marBottom w:val="0"/>
          <w:divBdr>
            <w:top w:val="none" w:sz="0" w:space="0" w:color="auto"/>
            <w:left w:val="none" w:sz="0" w:space="0" w:color="auto"/>
            <w:bottom w:val="none" w:sz="0" w:space="0" w:color="auto"/>
            <w:right w:val="none" w:sz="0" w:space="0" w:color="auto"/>
          </w:divBdr>
        </w:div>
        <w:div w:id="1002127461">
          <w:marLeft w:val="0"/>
          <w:marRight w:val="0"/>
          <w:marTop w:val="0"/>
          <w:marBottom w:val="0"/>
          <w:divBdr>
            <w:top w:val="none" w:sz="0" w:space="0" w:color="auto"/>
            <w:left w:val="none" w:sz="0" w:space="0" w:color="auto"/>
            <w:bottom w:val="none" w:sz="0" w:space="0" w:color="auto"/>
            <w:right w:val="none" w:sz="0" w:space="0" w:color="auto"/>
          </w:divBdr>
        </w:div>
        <w:div w:id="1681810223">
          <w:marLeft w:val="0"/>
          <w:marRight w:val="0"/>
          <w:marTop w:val="0"/>
          <w:marBottom w:val="0"/>
          <w:divBdr>
            <w:top w:val="none" w:sz="0" w:space="0" w:color="auto"/>
            <w:left w:val="none" w:sz="0" w:space="0" w:color="auto"/>
            <w:bottom w:val="none" w:sz="0" w:space="0" w:color="auto"/>
            <w:right w:val="none" w:sz="0" w:space="0" w:color="auto"/>
          </w:divBdr>
        </w:div>
        <w:div w:id="1938978140">
          <w:marLeft w:val="0"/>
          <w:marRight w:val="0"/>
          <w:marTop w:val="0"/>
          <w:marBottom w:val="0"/>
          <w:divBdr>
            <w:top w:val="none" w:sz="0" w:space="0" w:color="auto"/>
            <w:left w:val="none" w:sz="0" w:space="0" w:color="auto"/>
            <w:bottom w:val="none" w:sz="0" w:space="0" w:color="auto"/>
            <w:right w:val="none" w:sz="0" w:space="0" w:color="auto"/>
          </w:divBdr>
        </w:div>
      </w:divsChild>
    </w:div>
    <w:div w:id="968360674">
      <w:bodyDiv w:val="1"/>
      <w:marLeft w:val="0"/>
      <w:marRight w:val="0"/>
      <w:marTop w:val="0"/>
      <w:marBottom w:val="0"/>
      <w:divBdr>
        <w:top w:val="none" w:sz="0" w:space="0" w:color="auto"/>
        <w:left w:val="none" w:sz="0" w:space="0" w:color="auto"/>
        <w:bottom w:val="none" w:sz="0" w:space="0" w:color="auto"/>
        <w:right w:val="none" w:sz="0" w:space="0" w:color="auto"/>
      </w:divBdr>
      <w:divsChild>
        <w:div w:id="415786681">
          <w:marLeft w:val="0"/>
          <w:marRight w:val="0"/>
          <w:marTop w:val="0"/>
          <w:marBottom w:val="0"/>
          <w:divBdr>
            <w:top w:val="none" w:sz="0" w:space="0" w:color="auto"/>
            <w:left w:val="none" w:sz="0" w:space="0" w:color="auto"/>
            <w:bottom w:val="none" w:sz="0" w:space="0" w:color="auto"/>
            <w:right w:val="none" w:sz="0" w:space="0" w:color="auto"/>
          </w:divBdr>
        </w:div>
        <w:div w:id="1285423650">
          <w:marLeft w:val="0"/>
          <w:marRight w:val="0"/>
          <w:marTop w:val="0"/>
          <w:marBottom w:val="0"/>
          <w:divBdr>
            <w:top w:val="none" w:sz="0" w:space="0" w:color="auto"/>
            <w:left w:val="none" w:sz="0" w:space="0" w:color="auto"/>
            <w:bottom w:val="none" w:sz="0" w:space="0" w:color="auto"/>
            <w:right w:val="none" w:sz="0" w:space="0" w:color="auto"/>
          </w:divBdr>
        </w:div>
        <w:div w:id="1757483433">
          <w:marLeft w:val="0"/>
          <w:marRight w:val="0"/>
          <w:marTop w:val="0"/>
          <w:marBottom w:val="0"/>
          <w:divBdr>
            <w:top w:val="none" w:sz="0" w:space="0" w:color="auto"/>
            <w:left w:val="none" w:sz="0" w:space="0" w:color="auto"/>
            <w:bottom w:val="none" w:sz="0" w:space="0" w:color="auto"/>
            <w:right w:val="none" w:sz="0" w:space="0" w:color="auto"/>
          </w:divBdr>
        </w:div>
        <w:div w:id="1826166397">
          <w:marLeft w:val="0"/>
          <w:marRight w:val="0"/>
          <w:marTop w:val="0"/>
          <w:marBottom w:val="0"/>
          <w:divBdr>
            <w:top w:val="none" w:sz="0" w:space="0" w:color="auto"/>
            <w:left w:val="none" w:sz="0" w:space="0" w:color="auto"/>
            <w:bottom w:val="none" w:sz="0" w:space="0" w:color="auto"/>
            <w:right w:val="none" w:sz="0" w:space="0" w:color="auto"/>
          </w:divBdr>
        </w:div>
      </w:divsChild>
    </w:div>
    <w:div w:id="1625118922">
      <w:bodyDiv w:val="1"/>
      <w:marLeft w:val="0"/>
      <w:marRight w:val="0"/>
      <w:marTop w:val="0"/>
      <w:marBottom w:val="0"/>
      <w:divBdr>
        <w:top w:val="none" w:sz="0" w:space="0" w:color="auto"/>
        <w:left w:val="none" w:sz="0" w:space="0" w:color="auto"/>
        <w:bottom w:val="none" w:sz="0" w:space="0" w:color="auto"/>
        <w:right w:val="none" w:sz="0" w:space="0" w:color="auto"/>
      </w:divBdr>
      <w:divsChild>
        <w:div w:id="421997483">
          <w:marLeft w:val="0"/>
          <w:marRight w:val="0"/>
          <w:marTop w:val="0"/>
          <w:marBottom w:val="0"/>
          <w:divBdr>
            <w:top w:val="none" w:sz="0" w:space="0" w:color="auto"/>
            <w:left w:val="none" w:sz="0" w:space="0" w:color="auto"/>
            <w:bottom w:val="none" w:sz="0" w:space="0" w:color="auto"/>
            <w:right w:val="none" w:sz="0" w:space="0" w:color="auto"/>
          </w:divBdr>
        </w:div>
        <w:div w:id="455024782">
          <w:marLeft w:val="0"/>
          <w:marRight w:val="0"/>
          <w:marTop w:val="0"/>
          <w:marBottom w:val="0"/>
          <w:divBdr>
            <w:top w:val="none" w:sz="0" w:space="0" w:color="auto"/>
            <w:left w:val="none" w:sz="0" w:space="0" w:color="auto"/>
            <w:bottom w:val="none" w:sz="0" w:space="0" w:color="auto"/>
            <w:right w:val="none" w:sz="0" w:space="0" w:color="auto"/>
          </w:divBdr>
        </w:div>
        <w:div w:id="530218991">
          <w:marLeft w:val="0"/>
          <w:marRight w:val="0"/>
          <w:marTop w:val="0"/>
          <w:marBottom w:val="0"/>
          <w:divBdr>
            <w:top w:val="none" w:sz="0" w:space="0" w:color="auto"/>
            <w:left w:val="none" w:sz="0" w:space="0" w:color="auto"/>
            <w:bottom w:val="none" w:sz="0" w:space="0" w:color="auto"/>
            <w:right w:val="none" w:sz="0" w:space="0" w:color="auto"/>
          </w:divBdr>
        </w:div>
        <w:div w:id="1418743550">
          <w:marLeft w:val="0"/>
          <w:marRight w:val="0"/>
          <w:marTop w:val="0"/>
          <w:marBottom w:val="0"/>
          <w:divBdr>
            <w:top w:val="none" w:sz="0" w:space="0" w:color="auto"/>
            <w:left w:val="none" w:sz="0" w:space="0" w:color="auto"/>
            <w:bottom w:val="none" w:sz="0" w:space="0" w:color="auto"/>
            <w:right w:val="none" w:sz="0" w:space="0" w:color="auto"/>
          </w:divBdr>
        </w:div>
        <w:div w:id="1797529413">
          <w:marLeft w:val="0"/>
          <w:marRight w:val="0"/>
          <w:marTop w:val="0"/>
          <w:marBottom w:val="0"/>
          <w:divBdr>
            <w:top w:val="none" w:sz="0" w:space="0" w:color="auto"/>
            <w:left w:val="none" w:sz="0" w:space="0" w:color="auto"/>
            <w:bottom w:val="none" w:sz="0" w:space="0" w:color="auto"/>
            <w:right w:val="none" w:sz="0" w:space="0" w:color="auto"/>
          </w:divBdr>
        </w:div>
        <w:div w:id="2007390815">
          <w:marLeft w:val="0"/>
          <w:marRight w:val="0"/>
          <w:marTop w:val="0"/>
          <w:marBottom w:val="0"/>
          <w:divBdr>
            <w:top w:val="none" w:sz="0" w:space="0" w:color="auto"/>
            <w:left w:val="none" w:sz="0" w:space="0" w:color="auto"/>
            <w:bottom w:val="none" w:sz="0" w:space="0" w:color="auto"/>
            <w:right w:val="none" w:sz="0" w:space="0" w:color="auto"/>
          </w:divBdr>
        </w:div>
        <w:div w:id="2073842236">
          <w:marLeft w:val="0"/>
          <w:marRight w:val="0"/>
          <w:marTop w:val="0"/>
          <w:marBottom w:val="0"/>
          <w:divBdr>
            <w:top w:val="none" w:sz="0" w:space="0" w:color="auto"/>
            <w:left w:val="none" w:sz="0" w:space="0" w:color="auto"/>
            <w:bottom w:val="none" w:sz="0" w:space="0" w:color="auto"/>
            <w:right w:val="none" w:sz="0" w:space="0" w:color="auto"/>
          </w:divBdr>
        </w:div>
        <w:div w:id="2125924601">
          <w:marLeft w:val="0"/>
          <w:marRight w:val="0"/>
          <w:marTop w:val="0"/>
          <w:marBottom w:val="0"/>
          <w:divBdr>
            <w:top w:val="none" w:sz="0" w:space="0" w:color="auto"/>
            <w:left w:val="none" w:sz="0" w:space="0" w:color="auto"/>
            <w:bottom w:val="none" w:sz="0" w:space="0" w:color="auto"/>
            <w:right w:val="none" w:sz="0" w:space="0" w:color="auto"/>
          </w:divBdr>
        </w:div>
      </w:divsChild>
    </w:div>
    <w:div w:id="1687366542">
      <w:bodyDiv w:val="1"/>
      <w:marLeft w:val="0"/>
      <w:marRight w:val="0"/>
      <w:marTop w:val="0"/>
      <w:marBottom w:val="0"/>
      <w:divBdr>
        <w:top w:val="none" w:sz="0" w:space="0" w:color="auto"/>
        <w:left w:val="none" w:sz="0" w:space="0" w:color="auto"/>
        <w:bottom w:val="none" w:sz="0" w:space="0" w:color="auto"/>
        <w:right w:val="none" w:sz="0" w:space="0" w:color="auto"/>
      </w:divBdr>
      <w:divsChild>
        <w:div w:id="209537120">
          <w:marLeft w:val="0"/>
          <w:marRight w:val="0"/>
          <w:marTop w:val="0"/>
          <w:marBottom w:val="0"/>
          <w:divBdr>
            <w:top w:val="none" w:sz="0" w:space="0" w:color="auto"/>
            <w:left w:val="none" w:sz="0" w:space="0" w:color="auto"/>
            <w:bottom w:val="none" w:sz="0" w:space="0" w:color="auto"/>
            <w:right w:val="none" w:sz="0" w:space="0" w:color="auto"/>
          </w:divBdr>
        </w:div>
        <w:div w:id="881862240">
          <w:marLeft w:val="0"/>
          <w:marRight w:val="0"/>
          <w:marTop w:val="0"/>
          <w:marBottom w:val="0"/>
          <w:divBdr>
            <w:top w:val="none" w:sz="0" w:space="0" w:color="auto"/>
            <w:left w:val="none" w:sz="0" w:space="0" w:color="auto"/>
            <w:bottom w:val="none" w:sz="0" w:space="0" w:color="auto"/>
            <w:right w:val="none" w:sz="0" w:space="0" w:color="auto"/>
          </w:divBdr>
        </w:div>
        <w:div w:id="1243568130">
          <w:marLeft w:val="0"/>
          <w:marRight w:val="0"/>
          <w:marTop w:val="0"/>
          <w:marBottom w:val="0"/>
          <w:divBdr>
            <w:top w:val="none" w:sz="0" w:space="0" w:color="auto"/>
            <w:left w:val="none" w:sz="0" w:space="0" w:color="auto"/>
            <w:bottom w:val="none" w:sz="0" w:space="0" w:color="auto"/>
            <w:right w:val="none" w:sz="0" w:space="0" w:color="auto"/>
          </w:divBdr>
        </w:div>
        <w:div w:id="1258907565">
          <w:marLeft w:val="0"/>
          <w:marRight w:val="0"/>
          <w:marTop w:val="0"/>
          <w:marBottom w:val="0"/>
          <w:divBdr>
            <w:top w:val="none" w:sz="0" w:space="0" w:color="auto"/>
            <w:left w:val="none" w:sz="0" w:space="0" w:color="auto"/>
            <w:bottom w:val="none" w:sz="0" w:space="0" w:color="auto"/>
            <w:right w:val="none" w:sz="0" w:space="0" w:color="auto"/>
          </w:divBdr>
        </w:div>
        <w:div w:id="1419600221">
          <w:marLeft w:val="0"/>
          <w:marRight w:val="0"/>
          <w:marTop w:val="0"/>
          <w:marBottom w:val="0"/>
          <w:divBdr>
            <w:top w:val="none" w:sz="0" w:space="0" w:color="auto"/>
            <w:left w:val="none" w:sz="0" w:space="0" w:color="auto"/>
            <w:bottom w:val="none" w:sz="0" w:space="0" w:color="auto"/>
            <w:right w:val="none" w:sz="0" w:space="0" w:color="auto"/>
          </w:divBdr>
        </w:div>
        <w:div w:id="1514761146">
          <w:marLeft w:val="0"/>
          <w:marRight w:val="0"/>
          <w:marTop w:val="0"/>
          <w:marBottom w:val="0"/>
          <w:divBdr>
            <w:top w:val="none" w:sz="0" w:space="0" w:color="auto"/>
            <w:left w:val="none" w:sz="0" w:space="0" w:color="auto"/>
            <w:bottom w:val="none" w:sz="0" w:space="0" w:color="auto"/>
            <w:right w:val="none" w:sz="0" w:space="0" w:color="auto"/>
          </w:divBdr>
        </w:div>
        <w:div w:id="1875968777">
          <w:marLeft w:val="0"/>
          <w:marRight w:val="0"/>
          <w:marTop w:val="0"/>
          <w:marBottom w:val="0"/>
          <w:divBdr>
            <w:top w:val="none" w:sz="0" w:space="0" w:color="auto"/>
            <w:left w:val="none" w:sz="0" w:space="0" w:color="auto"/>
            <w:bottom w:val="none" w:sz="0" w:space="0" w:color="auto"/>
            <w:right w:val="none" w:sz="0" w:space="0" w:color="auto"/>
          </w:divBdr>
        </w:div>
        <w:div w:id="189210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pel-offres@tunisie.h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ocial.gov.tn/fr/cr%C3%A9ation-des-sources-de-revenu-au-profit-des-cat%C3%A9gories-d%C3%A9munies-inscrites-au-programme-amen-soci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DD065-0C19-404D-A9A6-DFEC202E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1975</Words>
  <Characters>10864</Characters>
  <Application>Microsoft Office Word</Application>
  <DocSecurity>4</DocSecurity>
  <Lines>90</Lines>
  <Paragraphs>25</Paragraphs>
  <ScaleCrop>false</ScaleCrop>
  <HeadingPairs>
    <vt:vector size="2" baseType="variant">
      <vt:variant>
        <vt:lpstr>Titre</vt:lpstr>
      </vt:variant>
      <vt:variant>
        <vt:i4>1</vt:i4>
      </vt:variant>
    </vt:vector>
  </HeadingPairs>
  <TitlesOfParts>
    <vt:vector size="1" baseType="lpstr">
      <vt:lpstr>TERMES DE REFERENCE</vt:lpstr>
    </vt:vector>
  </TitlesOfParts>
  <Company>Handicap international</Company>
  <LinksUpToDate>false</LinksUpToDate>
  <CharactersWithSpaces>12814</CharactersWithSpaces>
  <SharedDoc>false</SharedDoc>
  <HLinks>
    <vt:vector size="12" baseType="variant">
      <vt:variant>
        <vt:i4>589869</vt:i4>
      </vt:variant>
      <vt:variant>
        <vt:i4>0</vt:i4>
      </vt:variant>
      <vt:variant>
        <vt:i4>0</vt:i4>
      </vt:variant>
      <vt:variant>
        <vt:i4>5</vt:i4>
      </vt:variant>
      <vt:variant>
        <vt:lpwstr>mailto:appel-offres@tunisie.hi.org</vt:lpwstr>
      </vt:variant>
      <vt:variant>
        <vt:lpwstr/>
      </vt:variant>
      <vt:variant>
        <vt:i4>6422655</vt:i4>
      </vt:variant>
      <vt:variant>
        <vt:i4>0</vt:i4>
      </vt:variant>
      <vt:variant>
        <vt:i4>0</vt:i4>
      </vt:variant>
      <vt:variant>
        <vt:i4>5</vt:i4>
      </vt:variant>
      <vt:variant>
        <vt:lpwstr>https://www.social.gov.tn/fr/cr%C3%A9ation-des-sources-de-revenu-au-profit-des-cat%C3%A9gories-d%C3%A9munies-inscrites-au-programme-amen-social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TERMES DE REFERENCE</dc:title>
  <dc:subject/>
  <dc:creator>acarrie</dc:creator>
  <cp:keywords/>
  <dc:description/>
  <cp:lastModifiedBy>Arbi SAIDI</cp:lastModifiedBy>
  <cp:revision>2</cp:revision>
  <dcterms:created xsi:type="dcterms:W3CDTF">2026-04-01T10:58:00Z</dcterms:created>
  <dcterms:modified xsi:type="dcterms:W3CDTF">2026-04-01T10:58:00Z</dcterms:modified>
</cp:coreProperties>
</file>