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AB" w:rsidRDefault="00C005AB" w:rsidP="00212CFF">
      <w:pPr>
        <w:spacing w:after="40" w:line="360" w:lineRule="auto"/>
        <w:jc w:val="center"/>
        <w:rPr>
          <w:b/>
          <w:color w:val="00467F"/>
          <w:sz w:val="26"/>
          <w:lang w:val="fr-FR"/>
        </w:rPr>
      </w:pPr>
      <w:r w:rsidRPr="00C005AB">
        <w:rPr>
          <w:b/>
          <w:noProof/>
          <w:color w:val="00467F"/>
          <w:sz w:val="26"/>
          <w:lang w:val="fr-FR" w:eastAsia="fr-FR"/>
        </w:rPr>
        <w:drawing>
          <wp:anchor distT="0" distB="0" distL="114300" distR="114300" simplePos="0" relativeHeight="251660288" behindDoc="0" locked="0" layoutInCell="1" allowOverlap="1">
            <wp:simplePos x="0" y="0"/>
            <wp:positionH relativeFrom="column">
              <wp:posOffset>1573530</wp:posOffset>
            </wp:positionH>
            <wp:positionV relativeFrom="paragraph">
              <wp:posOffset>101804</wp:posOffset>
            </wp:positionV>
            <wp:extent cx="1018366" cy="792000"/>
            <wp:effectExtent l="0" t="0" r="0" b="0"/>
            <wp:wrapSquare wrapText="bothSides"/>
            <wp:docPr id="1" name="Image 1" descr="Fonds d'investissement pour l'entrepreneuriat agricole (Fonds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onds d'investissement pour l'entrepreneuriat agricole (Fonds A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8366" cy="792000"/>
                    </a:xfrm>
                    <a:prstGeom prst="rect">
                      <a:avLst/>
                    </a:prstGeom>
                    <a:noFill/>
                    <a:ln>
                      <a:noFill/>
                    </a:ln>
                  </pic:spPr>
                </pic:pic>
              </a:graphicData>
            </a:graphic>
          </wp:anchor>
        </w:drawing>
      </w:r>
      <w:r w:rsidRPr="00C005AB">
        <w:rPr>
          <w:b/>
          <w:noProof/>
          <w:color w:val="00467F"/>
          <w:sz w:val="26"/>
          <w:lang w:val="fr-FR" w:eastAsia="fr-FR"/>
        </w:rPr>
        <w:drawing>
          <wp:anchor distT="0" distB="0" distL="114300" distR="114300" simplePos="0" relativeHeight="251654144" behindDoc="1" locked="0" layoutInCell="1" allowOverlap="1">
            <wp:simplePos x="0" y="0"/>
            <wp:positionH relativeFrom="column">
              <wp:posOffset>3027680</wp:posOffset>
            </wp:positionH>
            <wp:positionV relativeFrom="paragraph">
              <wp:posOffset>66675</wp:posOffset>
            </wp:positionV>
            <wp:extent cx="1271998" cy="828000"/>
            <wp:effectExtent l="0" t="0" r="0" b="0"/>
            <wp:wrapNone/>
            <wp:docPr id="5" name="Picture 2" descr="Une image contenant texte, logo,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ne image contenant texte, logo, Police, conception&#10;&#10;Description générée automatiquemen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1998" cy="828000"/>
                    </a:xfrm>
                    <a:prstGeom prst="rect">
                      <a:avLst/>
                    </a:prstGeom>
                    <a:noFill/>
                    <a:ln>
                      <a:noFill/>
                    </a:ln>
                  </pic:spPr>
                </pic:pic>
              </a:graphicData>
            </a:graphic>
          </wp:anchor>
        </w:drawing>
      </w:r>
      <w:r w:rsidRPr="00C005AB">
        <w:rPr>
          <w:b/>
          <w:noProof/>
          <w:color w:val="00467F"/>
          <w:sz w:val="26"/>
          <w:lang w:val="fr-FR" w:eastAsia="fr-FR"/>
        </w:rPr>
        <w:drawing>
          <wp:anchor distT="0" distB="0" distL="114300" distR="114300" simplePos="0" relativeHeight="251658240" behindDoc="1" locked="0" layoutInCell="1" allowOverlap="1">
            <wp:simplePos x="0" y="0"/>
            <wp:positionH relativeFrom="column">
              <wp:posOffset>4904105</wp:posOffset>
            </wp:positionH>
            <wp:positionV relativeFrom="paragraph">
              <wp:posOffset>635</wp:posOffset>
            </wp:positionV>
            <wp:extent cx="899795" cy="899795"/>
            <wp:effectExtent l="0" t="0" r="0" b="0"/>
            <wp:wrapNone/>
            <wp:docPr id="1062172173" name="Picture 4" descr="مزود خدمة مساعد المشروع – UTSS – جامعتي"/>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9795" cy="899795"/>
                    </a:xfrm>
                    <a:prstGeom prst="rect">
                      <a:avLst/>
                    </a:prstGeom>
                    <a:noFill/>
                    <a:ln>
                      <a:noFill/>
                      <a:prstDash/>
                    </a:ln>
                  </pic:spPr>
                </pic:pic>
              </a:graphicData>
            </a:graphic>
          </wp:anchor>
        </w:drawing>
      </w:r>
      <w:r w:rsidRPr="00C005AB">
        <w:rPr>
          <w:b/>
          <w:noProof/>
          <w:color w:val="00467F"/>
          <w:sz w:val="26"/>
          <w:lang w:val="fr-FR" w:eastAsia="fr-FR"/>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900000" cy="900000"/>
            <wp:effectExtent l="0" t="0" r="0" b="0"/>
            <wp:wrapNone/>
            <wp:docPr id="134858355" name="image1.png" descr="صورة تحتوي على نبات، نص، شجرة وصف يتم إنشاؤه تلقائيًا"/>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00000" cy="900000"/>
                    </a:xfrm>
                    <a:prstGeom prst="rect">
                      <a:avLst/>
                    </a:prstGeom>
                    <a:noFill/>
                    <a:ln>
                      <a:noFill/>
                      <a:prstDash/>
                    </a:ln>
                  </pic:spPr>
                </pic:pic>
              </a:graphicData>
            </a:graphic>
          </wp:anchor>
        </w:drawing>
      </w:r>
    </w:p>
    <w:p w:rsidR="00C005AB" w:rsidRDefault="00C005AB" w:rsidP="00212CFF">
      <w:pPr>
        <w:spacing w:after="40" w:line="360" w:lineRule="auto"/>
        <w:jc w:val="center"/>
        <w:rPr>
          <w:b/>
          <w:color w:val="00467F"/>
          <w:sz w:val="26"/>
          <w:lang w:val="fr-FR"/>
        </w:rPr>
      </w:pPr>
    </w:p>
    <w:p w:rsidR="00C005AB" w:rsidRDefault="00C005AB" w:rsidP="00212CFF">
      <w:pPr>
        <w:spacing w:after="40" w:line="360" w:lineRule="auto"/>
        <w:jc w:val="center"/>
        <w:rPr>
          <w:b/>
          <w:color w:val="00467F"/>
          <w:sz w:val="26"/>
          <w:lang w:val="fr-FR"/>
        </w:rPr>
      </w:pPr>
    </w:p>
    <w:p w:rsidR="00C005AB" w:rsidRDefault="00C005AB" w:rsidP="00212CFF">
      <w:pPr>
        <w:spacing w:after="40" w:line="360" w:lineRule="auto"/>
        <w:jc w:val="center"/>
        <w:rPr>
          <w:b/>
          <w:color w:val="00467F"/>
          <w:sz w:val="26"/>
          <w:lang w:val="fr-FR"/>
        </w:rPr>
      </w:pPr>
    </w:p>
    <w:p w:rsidR="00134CE6" w:rsidRPr="005F3537" w:rsidRDefault="00E5657E" w:rsidP="00212CFF">
      <w:pPr>
        <w:spacing w:after="40" w:line="360" w:lineRule="auto"/>
        <w:jc w:val="center"/>
        <w:rPr>
          <w:lang w:val="fr-FR"/>
        </w:rPr>
      </w:pPr>
      <w:r w:rsidRPr="005F3537">
        <w:rPr>
          <w:b/>
          <w:sz w:val="26"/>
          <w:lang w:val="fr-FR"/>
        </w:rPr>
        <w:t>UNION TUNISIENNE DE SOLIDARITÉ SOCIALE (UTSS)</w:t>
      </w:r>
    </w:p>
    <w:p w:rsidR="00134CE6" w:rsidRPr="005F3537" w:rsidRDefault="00E5657E" w:rsidP="00212CFF">
      <w:pPr>
        <w:spacing w:after="40" w:line="360" w:lineRule="auto"/>
        <w:jc w:val="center"/>
        <w:rPr>
          <w:lang w:val="fr-FR"/>
        </w:rPr>
      </w:pPr>
      <w:r w:rsidRPr="005F3537">
        <w:rPr>
          <w:b/>
          <w:lang w:val="fr-FR"/>
        </w:rPr>
        <w:t>Projet d'Insertion Économique, Sociale et Solidaire dans les Collines de Kairouan</w:t>
      </w:r>
    </w:p>
    <w:p w:rsidR="00134CE6" w:rsidRPr="005F3537" w:rsidRDefault="00E5657E" w:rsidP="00212CFF">
      <w:pPr>
        <w:spacing w:after="40" w:line="360" w:lineRule="auto"/>
        <w:jc w:val="center"/>
        <w:rPr>
          <w:lang w:val="fr-FR"/>
        </w:rPr>
      </w:pPr>
      <w:r w:rsidRPr="005F3537">
        <w:rPr>
          <w:b/>
          <w:i/>
          <w:lang w:val="fr-FR"/>
        </w:rPr>
        <w:t>« IESS Kairouan »</w:t>
      </w:r>
    </w:p>
    <w:p w:rsidR="00134CE6" w:rsidRPr="005F3537" w:rsidRDefault="00134CE6">
      <w:pPr>
        <w:pBdr>
          <w:bottom w:val="single" w:sz="12" w:space="1" w:color="00467F"/>
        </w:pBdr>
        <w:spacing w:after="0"/>
        <w:rPr>
          <w:lang w:val="fr-FR"/>
        </w:rPr>
      </w:pPr>
    </w:p>
    <w:p w:rsidR="00134CE6" w:rsidRPr="005F3537" w:rsidRDefault="00134CE6">
      <w:pPr>
        <w:rPr>
          <w:lang w:val="fr-FR"/>
        </w:rPr>
      </w:pPr>
    </w:p>
    <w:p w:rsidR="00134CE6" w:rsidRPr="005F3537" w:rsidRDefault="00E5657E">
      <w:pPr>
        <w:spacing w:after="80"/>
        <w:jc w:val="center"/>
        <w:rPr>
          <w:lang w:val="fr-FR"/>
        </w:rPr>
      </w:pPr>
      <w:r w:rsidRPr="005F3537">
        <w:rPr>
          <w:b/>
          <w:sz w:val="32"/>
          <w:lang w:val="fr-FR"/>
        </w:rPr>
        <w:t>APPEL À MANIFESTATION D'INTÉRÊT</w:t>
      </w:r>
      <w:r w:rsidR="005F3537">
        <w:rPr>
          <w:b/>
          <w:sz w:val="32"/>
          <w:lang w:val="fr-FR"/>
        </w:rPr>
        <w:t xml:space="preserve"> N°01/2026</w:t>
      </w:r>
    </w:p>
    <w:p w:rsidR="00134CE6" w:rsidRPr="005F3537" w:rsidRDefault="00E5657E">
      <w:pPr>
        <w:spacing w:after="240"/>
        <w:jc w:val="center"/>
        <w:rPr>
          <w:lang w:val="fr-FR"/>
        </w:rPr>
      </w:pPr>
      <w:r w:rsidRPr="005F3537">
        <w:rPr>
          <w:b/>
          <w:i/>
          <w:sz w:val="26"/>
          <w:lang w:val="fr-FR"/>
        </w:rPr>
        <w:t>(Consultants individuels)</w:t>
      </w:r>
    </w:p>
    <w:tbl>
      <w:tblPr>
        <w:tblStyle w:val="Grilledutableau"/>
        <w:tblW w:w="0" w:type="auto"/>
        <w:jc w:val="center"/>
        <w:tblLook w:val="04A0" w:firstRow="1" w:lastRow="0" w:firstColumn="1" w:lastColumn="0" w:noHBand="0" w:noVBand="1"/>
      </w:tblPr>
      <w:tblGrid>
        <w:gridCol w:w="2536"/>
        <w:gridCol w:w="6503"/>
      </w:tblGrid>
      <w:tr w:rsidR="00134CE6" w:rsidRPr="00C005AB" w:rsidTr="00A6080D">
        <w:trPr>
          <w:jc w:val="center"/>
        </w:trPr>
        <w:tc>
          <w:tcPr>
            <w:tcW w:w="2536" w:type="dxa"/>
            <w:shd w:val="clear" w:color="auto" w:fill="D9E2F3"/>
          </w:tcPr>
          <w:p w:rsidR="00134CE6" w:rsidRPr="00C005AB" w:rsidRDefault="00C005AB" w:rsidP="00C005AB">
            <w:pPr>
              <w:spacing w:before="120" w:after="120"/>
              <w:rPr>
                <w:lang w:val="fr-FR"/>
              </w:rPr>
            </w:pPr>
            <w:r w:rsidRPr="00C005AB">
              <w:rPr>
                <w:b/>
                <w:sz w:val="20"/>
                <w:lang w:val="fr-FR"/>
              </w:rPr>
              <w:t>Pays :</w:t>
            </w:r>
          </w:p>
        </w:tc>
        <w:tc>
          <w:tcPr>
            <w:tcW w:w="6503" w:type="dxa"/>
          </w:tcPr>
          <w:p w:rsidR="00134CE6" w:rsidRPr="00C005AB" w:rsidRDefault="00E5657E" w:rsidP="00C005AB">
            <w:pPr>
              <w:spacing w:before="120" w:after="120"/>
              <w:rPr>
                <w:lang w:val="fr-FR"/>
              </w:rPr>
            </w:pPr>
            <w:r w:rsidRPr="00C005AB">
              <w:rPr>
                <w:sz w:val="20"/>
                <w:lang w:val="fr-FR"/>
              </w:rPr>
              <w:t>Tunisie</w:t>
            </w:r>
          </w:p>
        </w:tc>
      </w:tr>
      <w:tr w:rsidR="00134CE6" w:rsidRPr="00C005AB" w:rsidTr="00A6080D">
        <w:trPr>
          <w:jc w:val="center"/>
        </w:trPr>
        <w:tc>
          <w:tcPr>
            <w:tcW w:w="2536" w:type="dxa"/>
            <w:shd w:val="clear" w:color="auto" w:fill="D9E2F3"/>
          </w:tcPr>
          <w:p w:rsidR="00134CE6" w:rsidRPr="00C005AB" w:rsidRDefault="00E5657E" w:rsidP="00C005AB">
            <w:pPr>
              <w:spacing w:before="120" w:after="120"/>
              <w:rPr>
                <w:lang w:val="fr-FR"/>
              </w:rPr>
            </w:pPr>
            <w:r w:rsidRPr="00C005AB">
              <w:rPr>
                <w:b/>
                <w:sz w:val="20"/>
                <w:lang w:val="fr-FR"/>
              </w:rPr>
              <w:t>Intitulé du projet :</w:t>
            </w:r>
          </w:p>
        </w:tc>
        <w:tc>
          <w:tcPr>
            <w:tcW w:w="6503" w:type="dxa"/>
          </w:tcPr>
          <w:p w:rsidR="00134CE6" w:rsidRPr="00C005AB" w:rsidRDefault="00E5657E" w:rsidP="00C005AB">
            <w:pPr>
              <w:spacing w:before="120" w:after="120"/>
              <w:rPr>
                <w:lang w:val="fr-FR"/>
              </w:rPr>
            </w:pPr>
            <w:r w:rsidRPr="00C005AB">
              <w:rPr>
                <w:sz w:val="20"/>
                <w:lang w:val="fr-FR"/>
              </w:rPr>
              <w:t>Projet d'Insertion Économique, Sociale et Solidaire dans les Collines de Kairouan (IESS Kairouan)</w:t>
            </w:r>
          </w:p>
        </w:tc>
      </w:tr>
      <w:tr w:rsidR="00F55F7B" w:rsidRPr="00C005AB" w:rsidTr="00A6080D">
        <w:trPr>
          <w:jc w:val="center"/>
        </w:trPr>
        <w:tc>
          <w:tcPr>
            <w:tcW w:w="2536" w:type="dxa"/>
            <w:shd w:val="clear" w:color="auto" w:fill="D9E2F3"/>
          </w:tcPr>
          <w:p w:rsidR="00F55F7B" w:rsidRPr="00C005AB" w:rsidRDefault="00F55F7B" w:rsidP="00C005AB">
            <w:pPr>
              <w:spacing w:before="120" w:after="120"/>
              <w:rPr>
                <w:b/>
                <w:sz w:val="20"/>
                <w:lang w:val="fr-FR"/>
              </w:rPr>
            </w:pPr>
            <w:r w:rsidRPr="00C005AB">
              <w:rPr>
                <w:b/>
                <w:bCs/>
                <w:sz w:val="20"/>
                <w:lang w:val="fr-FR"/>
              </w:rPr>
              <w:t>Financement :</w:t>
            </w:r>
          </w:p>
        </w:tc>
        <w:tc>
          <w:tcPr>
            <w:tcW w:w="6503" w:type="dxa"/>
          </w:tcPr>
          <w:p w:rsidR="00F55F7B" w:rsidRPr="00C005AB" w:rsidRDefault="00F55F7B" w:rsidP="00C005AB">
            <w:pPr>
              <w:spacing w:before="120" w:after="120"/>
              <w:rPr>
                <w:sz w:val="20"/>
                <w:lang w:val="fr-FR"/>
              </w:rPr>
            </w:pPr>
            <w:r w:rsidRPr="00C005AB">
              <w:rPr>
                <w:sz w:val="20"/>
                <w:lang w:val="fr-FR"/>
              </w:rPr>
              <w:t>Financé par le Fonds International de Développement Agricole (FIDA) et le Fonds d'adaptation au changement climatique (FACC) </w:t>
            </w:r>
          </w:p>
        </w:tc>
      </w:tr>
      <w:tr w:rsidR="00134CE6" w:rsidRPr="00C005AB" w:rsidTr="00A6080D">
        <w:trPr>
          <w:jc w:val="center"/>
        </w:trPr>
        <w:tc>
          <w:tcPr>
            <w:tcW w:w="2536" w:type="dxa"/>
            <w:shd w:val="clear" w:color="auto" w:fill="D9E2F3"/>
          </w:tcPr>
          <w:p w:rsidR="00134CE6" w:rsidRPr="00C005AB" w:rsidRDefault="00E5657E" w:rsidP="00C005AB">
            <w:pPr>
              <w:spacing w:before="120" w:after="120"/>
              <w:rPr>
                <w:lang w:val="fr-FR"/>
              </w:rPr>
            </w:pPr>
            <w:r w:rsidRPr="00C005AB">
              <w:rPr>
                <w:b/>
                <w:sz w:val="20"/>
                <w:lang w:val="fr-FR"/>
              </w:rPr>
              <w:t xml:space="preserve">Intitulé de la </w:t>
            </w:r>
            <w:r w:rsidR="00C005AB" w:rsidRPr="00C005AB">
              <w:rPr>
                <w:b/>
                <w:sz w:val="20"/>
                <w:lang w:val="fr-FR"/>
              </w:rPr>
              <w:t>mission :</w:t>
            </w:r>
          </w:p>
        </w:tc>
        <w:tc>
          <w:tcPr>
            <w:tcW w:w="6503" w:type="dxa"/>
          </w:tcPr>
          <w:p w:rsidR="00134CE6" w:rsidRPr="00C005AB" w:rsidRDefault="00E5657E" w:rsidP="00C005AB">
            <w:pPr>
              <w:spacing w:before="120" w:after="120"/>
              <w:rPr>
                <w:sz w:val="20"/>
                <w:lang w:val="fr-FR"/>
              </w:rPr>
            </w:pPr>
            <w:r w:rsidRPr="00C005AB">
              <w:rPr>
                <w:sz w:val="20"/>
                <w:lang w:val="fr-FR"/>
              </w:rPr>
              <w:t xml:space="preserve">Consultant individuel pour l'appui à </w:t>
            </w:r>
            <w:r w:rsidR="00EC6679" w:rsidRPr="00C005AB">
              <w:rPr>
                <w:sz w:val="20"/>
                <w:lang w:val="fr-FR"/>
              </w:rPr>
              <w:t>la coordination pour la gestion de la convention de partenariat entre l’UTSS et l’IESS au niveau stratégique</w:t>
            </w:r>
          </w:p>
        </w:tc>
      </w:tr>
      <w:tr w:rsidR="008C1479" w:rsidRPr="00C005AB" w:rsidTr="00A6080D">
        <w:trPr>
          <w:jc w:val="center"/>
        </w:trPr>
        <w:tc>
          <w:tcPr>
            <w:tcW w:w="2536" w:type="dxa"/>
            <w:shd w:val="clear" w:color="auto" w:fill="D9E2F3"/>
          </w:tcPr>
          <w:p w:rsidR="008C1479" w:rsidRPr="00C005AB" w:rsidRDefault="008C1479" w:rsidP="00C005AB">
            <w:pPr>
              <w:spacing w:before="120" w:after="120"/>
              <w:rPr>
                <w:b/>
                <w:sz w:val="20"/>
                <w:lang w:val="fr-FR"/>
              </w:rPr>
            </w:pPr>
            <w:r w:rsidRPr="00C005AB">
              <w:rPr>
                <w:b/>
                <w:bCs/>
                <w:sz w:val="20"/>
                <w:lang w:val="fr-FR"/>
              </w:rPr>
              <w:t>Entité acheteuse :</w:t>
            </w:r>
          </w:p>
        </w:tc>
        <w:tc>
          <w:tcPr>
            <w:tcW w:w="6503" w:type="dxa"/>
          </w:tcPr>
          <w:p w:rsidR="008C1479" w:rsidRPr="00C005AB" w:rsidRDefault="00A835D5" w:rsidP="00A835D5">
            <w:pPr>
              <w:spacing w:before="120" w:after="120"/>
              <w:rPr>
                <w:sz w:val="20"/>
                <w:lang w:val="fr-FR"/>
              </w:rPr>
            </w:pPr>
            <w:r>
              <w:rPr>
                <w:sz w:val="20"/>
                <w:lang w:val="fr-FR"/>
              </w:rPr>
              <w:t xml:space="preserve">Comité Régional </w:t>
            </w:r>
            <w:r w:rsidR="008C1479" w:rsidRPr="00C005AB">
              <w:rPr>
                <w:sz w:val="20"/>
                <w:lang w:val="fr-FR"/>
              </w:rPr>
              <w:t xml:space="preserve"> de Solidarité Sociale</w:t>
            </w:r>
            <w:r>
              <w:rPr>
                <w:sz w:val="20"/>
                <w:lang w:val="fr-FR"/>
              </w:rPr>
              <w:t xml:space="preserve"> de Kairouan </w:t>
            </w:r>
            <w:r w:rsidR="008C1479" w:rsidRPr="00C005AB">
              <w:rPr>
                <w:sz w:val="20"/>
                <w:lang w:val="fr-FR"/>
              </w:rPr>
              <w:t xml:space="preserve"> </w:t>
            </w:r>
            <w:r w:rsidR="00F55F7B" w:rsidRPr="00C005AB">
              <w:rPr>
                <w:sz w:val="20"/>
                <w:lang w:val="fr-FR"/>
              </w:rPr>
              <w:t>(</w:t>
            </w:r>
            <w:r>
              <w:rPr>
                <w:sz w:val="20"/>
                <w:lang w:val="fr-FR"/>
              </w:rPr>
              <w:t>CRSS Kairouan</w:t>
            </w:r>
            <w:r w:rsidR="00F55F7B" w:rsidRPr="00C005AB">
              <w:rPr>
                <w:sz w:val="20"/>
                <w:lang w:val="fr-FR"/>
              </w:rPr>
              <w:t>)</w:t>
            </w:r>
          </w:p>
        </w:tc>
      </w:tr>
    </w:tbl>
    <w:p w:rsidR="00134CE6" w:rsidRPr="00C005AB" w:rsidRDefault="00E5657E" w:rsidP="00A6080D">
      <w:pPr>
        <w:spacing w:before="240" w:after="120" w:line="360" w:lineRule="auto"/>
        <w:rPr>
          <w:lang w:val="fr-FR"/>
        </w:rPr>
      </w:pPr>
      <w:r w:rsidRPr="00C005AB">
        <w:rPr>
          <w:b/>
          <w:color w:val="00467F"/>
          <w:sz w:val="26"/>
          <w:lang w:val="fr-FR"/>
        </w:rPr>
        <w:t>1. CONTEXTE ET JUSTIFICATION</w:t>
      </w:r>
    </w:p>
    <w:p w:rsidR="00134CE6" w:rsidRPr="00C005AB" w:rsidRDefault="00A62E8C" w:rsidP="00A62E8C">
      <w:pPr>
        <w:spacing w:after="120" w:line="360" w:lineRule="auto"/>
        <w:jc w:val="both"/>
        <w:rPr>
          <w:lang w:val="fr-FR"/>
        </w:rPr>
      </w:pPr>
      <w:r w:rsidRPr="00C005AB">
        <w:rPr>
          <w:lang w:val="fr-FR"/>
        </w:rPr>
        <w:t>Le Projet d’Insertion économique, sociale de solidaire (IESS) dans le gouvernorat de Kairouan est financé par un prêt du FIDA. Le projet est entré en vigueur en mai 2021 et s’étalera sur une période de 6 ans avec une date de clôture prévue fin juin 202</w:t>
      </w:r>
      <w:r w:rsidR="00E2778F" w:rsidRPr="00C005AB">
        <w:rPr>
          <w:lang w:val="fr-FR"/>
        </w:rPr>
        <w:t>8</w:t>
      </w:r>
      <w:r w:rsidRPr="00C005AB">
        <w:rPr>
          <w:lang w:val="fr-FR"/>
        </w:rPr>
        <w:t>. Le projet intervient dans 40 secteurs répartis dans 7 délégations du Gouvernorat de Kairouan, ciblant 16 800 ménages ruraux pauvres, soit environ 84 000 personnes, avec un accent particulier sur les femmes et les jeunes.</w:t>
      </w:r>
    </w:p>
    <w:p w:rsidR="00134CE6" w:rsidRPr="00C005AB" w:rsidRDefault="00E5657E" w:rsidP="00A835D5">
      <w:pPr>
        <w:spacing w:after="120" w:line="360" w:lineRule="auto"/>
        <w:jc w:val="both"/>
        <w:rPr>
          <w:lang w:val="fr-FR"/>
        </w:rPr>
      </w:pPr>
      <w:r w:rsidRPr="00C005AB">
        <w:rPr>
          <w:lang w:val="fr-FR"/>
        </w:rPr>
        <w:t>L'UTSS est partenaire d'exécution de</w:t>
      </w:r>
      <w:r w:rsidR="00A835D5">
        <w:rPr>
          <w:lang w:val="fr-FR"/>
        </w:rPr>
        <w:t xml:space="preserve"> deux sous composantes 1.2 et 1.3  de </w:t>
      </w:r>
      <w:r w:rsidRPr="00C005AB">
        <w:rPr>
          <w:lang w:val="fr-FR"/>
        </w:rPr>
        <w:t xml:space="preserve"> la Composante1 du projet </w:t>
      </w:r>
      <w:r w:rsidR="00A835D5">
        <w:rPr>
          <w:lang w:val="fr-FR"/>
        </w:rPr>
        <w:t>« </w:t>
      </w:r>
      <w:r w:rsidRPr="00C005AB">
        <w:rPr>
          <w:lang w:val="fr-FR"/>
        </w:rPr>
        <w:t>Mobilité sociale et économique des ménages ruraux pauvres</w:t>
      </w:r>
      <w:r w:rsidR="00A835D5">
        <w:rPr>
          <w:lang w:val="fr-FR"/>
        </w:rPr>
        <w:t> »</w:t>
      </w:r>
      <w:r w:rsidRPr="00C005AB">
        <w:rPr>
          <w:lang w:val="fr-FR"/>
        </w:rPr>
        <w:t xml:space="preserve">, dans le cadre d'une convention tripartite conclue avec le CRDA de Kairouan et la Direction Régionale des Affaires Sociales (DRAS). À ce titre, l'UTSS mobilise une équipe d'animation de terrain et assure la coordination avec l'Unité de Gestion </w:t>
      </w:r>
      <w:r w:rsidR="00E2778F" w:rsidRPr="00C005AB">
        <w:rPr>
          <w:lang w:val="fr-FR"/>
        </w:rPr>
        <w:t xml:space="preserve">par Objectif </w:t>
      </w:r>
      <w:r w:rsidRPr="00C005AB">
        <w:rPr>
          <w:lang w:val="fr-FR"/>
        </w:rPr>
        <w:t>(UG</w:t>
      </w:r>
      <w:r w:rsidR="00E2778F" w:rsidRPr="00C005AB">
        <w:rPr>
          <w:lang w:val="fr-FR"/>
        </w:rPr>
        <w:t>O</w:t>
      </w:r>
      <w:r w:rsidRPr="00C005AB">
        <w:rPr>
          <w:lang w:val="fr-FR"/>
        </w:rPr>
        <w:t xml:space="preserve">).Le projet est actuellement dans sa phase de consolidation et de préparation à la clôture. Il reste </w:t>
      </w:r>
      <w:r w:rsidRPr="00C005AB">
        <w:rPr>
          <w:lang w:val="fr-FR"/>
        </w:rPr>
        <w:lastRenderedPageBreak/>
        <w:t>approximativement deux (2) ans et trois (3) mois de mise en œuvre. Cette phase critique exige un appui stratégique de haut niveau pour garantir la finalisation des activités, la capitalisation des acquis, la qualité du reporting institutionnel et la valorisation des résultats auprès du bailleur de fonds et des partenaires nationaux.</w:t>
      </w:r>
    </w:p>
    <w:p w:rsidR="00134CE6" w:rsidRPr="00C005AB" w:rsidRDefault="00E5657E" w:rsidP="003E3E1F">
      <w:pPr>
        <w:spacing w:after="120" w:line="360" w:lineRule="auto"/>
        <w:jc w:val="both"/>
        <w:rPr>
          <w:lang w:val="fr-FR"/>
        </w:rPr>
      </w:pPr>
      <w:r w:rsidRPr="00C005AB">
        <w:rPr>
          <w:lang w:val="fr-FR"/>
        </w:rPr>
        <w:t>Dans ce contexte, et conformément aux exigences du chef de file (</w:t>
      </w:r>
      <w:r w:rsidR="00E2778F" w:rsidRPr="00C005AB">
        <w:rPr>
          <w:lang w:val="fr-FR"/>
        </w:rPr>
        <w:t>CRDA</w:t>
      </w:r>
      <w:r w:rsidRPr="00C005AB">
        <w:rPr>
          <w:lang w:val="fr-FR"/>
        </w:rPr>
        <w:t xml:space="preserve">), </w:t>
      </w:r>
      <w:r w:rsidR="003E3E1F">
        <w:rPr>
          <w:lang w:val="fr-FR"/>
        </w:rPr>
        <w:t xml:space="preserve">le CRSS Kairouan </w:t>
      </w:r>
      <w:r w:rsidRPr="00C005AB">
        <w:rPr>
          <w:lang w:val="fr-FR"/>
        </w:rPr>
        <w:t>lance le présent Appel à Manifestation d'Intérêt (AMI) pour le recrutement d'un consultant individuel chargé de l'appui à la coordination stratégique du projet, principalement au niveau central (siège de l'UTSS à Tunis), avec des déplacements ponctuels sur le terrain à Kairouan selon les besoins opérationnels.</w:t>
      </w:r>
    </w:p>
    <w:p w:rsidR="00134CE6" w:rsidRPr="00C005AB" w:rsidRDefault="00E5657E">
      <w:pPr>
        <w:spacing w:before="240" w:after="120"/>
        <w:rPr>
          <w:lang w:val="fr-FR"/>
        </w:rPr>
      </w:pPr>
      <w:r w:rsidRPr="00C005AB">
        <w:rPr>
          <w:b/>
          <w:color w:val="00467F"/>
          <w:sz w:val="26"/>
          <w:lang w:val="fr-FR"/>
        </w:rPr>
        <w:t>2. DESCRIPTION DES SERVICES</w:t>
      </w:r>
    </w:p>
    <w:p w:rsidR="007B1B62" w:rsidRPr="00C005AB" w:rsidRDefault="00E5657E" w:rsidP="00C005AB">
      <w:pPr>
        <w:spacing w:after="120" w:line="360" w:lineRule="auto"/>
        <w:jc w:val="both"/>
        <w:rPr>
          <w:lang w:val="fr-FR"/>
        </w:rPr>
      </w:pPr>
      <w:r w:rsidRPr="00C005AB">
        <w:rPr>
          <w:lang w:val="fr-FR"/>
        </w:rPr>
        <w:t>Les services de conseil (« les services ») comprennent un appui stratégique, méthodologique et opérationnel à la coordination du projet IESS Kairouan, pour la période restante du projet (environ 2 ans et 3 mois). La prestation est évaluée à dix (10) jours de travail par mois, principalement au siège de l'UTSS à Tunis, avec des déplacements ponctuels sur le terrain à Kairouan en cas de besoin opérationnel.</w:t>
      </w:r>
    </w:p>
    <w:p w:rsidR="00134CE6" w:rsidRPr="00C005AB" w:rsidRDefault="00E5657E" w:rsidP="007B1B62">
      <w:pPr>
        <w:spacing w:after="120" w:line="360" w:lineRule="auto"/>
        <w:jc w:val="both"/>
        <w:rPr>
          <w:lang w:val="fr-FR"/>
        </w:rPr>
      </w:pPr>
      <w:r w:rsidRPr="00C005AB">
        <w:rPr>
          <w:b/>
          <w:lang w:val="fr-FR"/>
        </w:rPr>
        <w:t>Le consultant aura à accomplir les tâches suivantes, regroupées en cinq axes :</w:t>
      </w:r>
    </w:p>
    <w:p w:rsidR="00134CE6" w:rsidRPr="00C005AB" w:rsidRDefault="00E5657E" w:rsidP="007B1B62">
      <w:pPr>
        <w:spacing w:after="60" w:line="360" w:lineRule="auto"/>
        <w:rPr>
          <w:lang w:val="fr-FR"/>
        </w:rPr>
      </w:pPr>
      <w:r w:rsidRPr="00C005AB">
        <w:rPr>
          <w:b/>
          <w:color w:val="00467F"/>
          <w:lang w:val="fr-FR"/>
        </w:rPr>
        <w:t>2.1</w:t>
      </w:r>
      <w:r w:rsidR="007B1B62" w:rsidRPr="00C005AB">
        <w:rPr>
          <w:b/>
          <w:color w:val="00467F"/>
          <w:lang w:val="fr-FR"/>
        </w:rPr>
        <w:t>-</w:t>
      </w:r>
      <w:r w:rsidRPr="00C005AB">
        <w:rPr>
          <w:b/>
          <w:color w:val="00467F"/>
          <w:lang w:val="fr-FR"/>
        </w:rPr>
        <w:t>Coordination stratégique et continuité opérationnelle</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Assurer la continuité et l'efficacité du dispositif de coordination entre l'UTSS, l'UG</w:t>
      </w:r>
      <w:r w:rsidR="00432EF4" w:rsidRPr="00C005AB">
        <w:rPr>
          <w:lang w:val="fr-FR"/>
        </w:rPr>
        <w:t>O</w:t>
      </w:r>
      <w:r w:rsidRPr="00C005AB">
        <w:rPr>
          <w:lang w:val="fr-FR"/>
        </w:rPr>
        <w:t>, le CRDA de Kairouan et la DRAS.</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Appuyer l'organisation et la supervision du travail de l'équipe d'animation durant la phase finale du projet.</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Veiller à la cohérence globale des interventions avec les exigences et standards du bailleur de fonds (FIDA).</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Contribuer à la préparation et au suivi des réunions de coordination institutionnelle et des missions de supervision.</w:t>
      </w:r>
    </w:p>
    <w:p w:rsidR="00134CE6" w:rsidRPr="00C005AB" w:rsidRDefault="00E5657E" w:rsidP="00432EF4">
      <w:pPr>
        <w:spacing w:after="60" w:line="360" w:lineRule="auto"/>
        <w:rPr>
          <w:lang w:val="fr-FR"/>
        </w:rPr>
      </w:pPr>
      <w:r w:rsidRPr="00C005AB">
        <w:rPr>
          <w:b/>
          <w:color w:val="00467F"/>
          <w:lang w:val="fr-FR"/>
        </w:rPr>
        <w:t>2.2</w:t>
      </w:r>
      <w:r w:rsidR="00432EF4" w:rsidRPr="00C005AB">
        <w:rPr>
          <w:b/>
          <w:color w:val="00467F"/>
          <w:lang w:val="fr-FR"/>
        </w:rPr>
        <w:t>-</w:t>
      </w:r>
      <w:r w:rsidRPr="00C005AB">
        <w:rPr>
          <w:b/>
          <w:color w:val="00467F"/>
          <w:lang w:val="fr-FR"/>
        </w:rPr>
        <w:t>Suivi technique et reporting institutionnel</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Assurer le suivi technique du processus de graduation et proposer les ajustements stratégiques nécessaires.</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Consolider, analyser et valoriser les données issues du système de suivi pour alimenter la prise de décision.</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Préparer, structurer et rédiger les rapports de performance (mensuels</w:t>
      </w:r>
      <w:r w:rsidR="00AC2035" w:rsidRPr="00C005AB">
        <w:rPr>
          <w:lang w:val="fr-FR"/>
        </w:rPr>
        <w:t xml:space="preserve"> et</w:t>
      </w:r>
      <w:r w:rsidRPr="00C005AB">
        <w:rPr>
          <w:lang w:val="fr-FR"/>
        </w:rPr>
        <w:t xml:space="preserve"> annuels) et les rapports de clôture du projet.</w:t>
      </w:r>
    </w:p>
    <w:p w:rsidR="00134CE6" w:rsidRPr="00C005AB" w:rsidRDefault="00E5657E" w:rsidP="00B730F4">
      <w:pPr>
        <w:pStyle w:val="Listepuces"/>
        <w:numPr>
          <w:ilvl w:val="0"/>
          <w:numId w:val="10"/>
        </w:numPr>
        <w:spacing w:after="60" w:line="360" w:lineRule="auto"/>
        <w:jc w:val="both"/>
        <w:rPr>
          <w:lang w:val="fr-FR"/>
        </w:rPr>
      </w:pPr>
      <w:r w:rsidRPr="00C005AB">
        <w:rPr>
          <w:lang w:val="fr-FR"/>
        </w:rPr>
        <w:t>Appuyer la préparation des réponses aux requêtes du bailleur et des partenaires institutionnels.</w:t>
      </w:r>
    </w:p>
    <w:p w:rsidR="00134CE6" w:rsidRPr="00C005AB" w:rsidRDefault="00E5657E" w:rsidP="00B730F4">
      <w:pPr>
        <w:spacing w:after="60" w:line="360" w:lineRule="auto"/>
        <w:jc w:val="both"/>
        <w:rPr>
          <w:lang w:val="fr-FR"/>
        </w:rPr>
      </w:pPr>
      <w:r w:rsidRPr="00C005AB">
        <w:rPr>
          <w:b/>
          <w:color w:val="00467F"/>
          <w:lang w:val="fr-FR"/>
        </w:rPr>
        <w:t>2.3</w:t>
      </w:r>
      <w:r w:rsidR="00432EF4" w:rsidRPr="00C005AB">
        <w:rPr>
          <w:b/>
          <w:color w:val="00467F"/>
          <w:lang w:val="fr-FR"/>
        </w:rPr>
        <w:t>-</w:t>
      </w:r>
      <w:r w:rsidRPr="00C005AB">
        <w:rPr>
          <w:b/>
          <w:color w:val="00467F"/>
          <w:lang w:val="fr-FR"/>
        </w:rPr>
        <w:t>Capitalisation et gestion des connaissances</w:t>
      </w:r>
    </w:p>
    <w:p w:rsidR="00134CE6" w:rsidRPr="00C005AB" w:rsidRDefault="00E5657E" w:rsidP="00AC2035">
      <w:pPr>
        <w:pStyle w:val="Listepuces"/>
        <w:numPr>
          <w:ilvl w:val="0"/>
          <w:numId w:val="10"/>
        </w:numPr>
        <w:spacing w:after="60" w:line="360" w:lineRule="auto"/>
        <w:jc w:val="both"/>
        <w:rPr>
          <w:lang w:val="fr-FR"/>
        </w:rPr>
      </w:pPr>
      <w:r w:rsidRPr="00C005AB">
        <w:rPr>
          <w:lang w:val="fr-FR"/>
        </w:rPr>
        <w:t>Piloter la finalisation, la validation et la diffusion du Guide Méthodologique de l'Approche « Graduation », produit de connaissance phare du projet.</w:t>
      </w:r>
    </w:p>
    <w:p w:rsidR="00134CE6" w:rsidRPr="00C005AB" w:rsidRDefault="00E5657E" w:rsidP="00AC2035">
      <w:pPr>
        <w:pStyle w:val="Listepuces"/>
        <w:numPr>
          <w:ilvl w:val="0"/>
          <w:numId w:val="10"/>
        </w:numPr>
        <w:spacing w:after="60" w:line="360" w:lineRule="auto"/>
        <w:jc w:val="both"/>
        <w:rPr>
          <w:lang w:val="fr-FR"/>
        </w:rPr>
      </w:pPr>
      <w:r w:rsidRPr="00C005AB">
        <w:rPr>
          <w:lang w:val="fr-FR"/>
        </w:rPr>
        <w:t>Accompagner le consultant externe chargé du test terrain du guide et intégrer les retours pour la version finale validée.</w:t>
      </w:r>
    </w:p>
    <w:p w:rsidR="00134CE6" w:rsidRPr="00C005AB" w:rsidRDefault="00E5657E" w:rsidP="00AC2035">
      <w:pPr>
        <w:pStyle w:val="Listepuces"/>
        <w:numPr>
          <w:ilvl w:val="0"/>
          <w:numId w:val="10"/>
        </w:numPr>
        <w:spacing w:after="60" w:line="360" w:lineRule="auto"/>
        <w:jc w:val="both"/>
        <w:rPr>
          <w:lang w:val="fr-FR"/>
        </w:rPr>
      </w:pPr>
      <w:r w:rsidRPr="00C005AB">
        <w:rPr>
          <w:lang w:val="fr-FR"/>
        </w:rPr>
        <w:t>Capitaliser les apprentissages, les bonnes pratiques et les résultats du projet pour en assurer la pérennité et la réplicabilité.</w:t>
      </w:r>
    </w:p>
    <w:p w:rsidR="00134CE6" w:rsidRPr="00C005AB" w:rsidRDefault="00E5657E" w:rsidP="00AC2035">
      <w:pPr>
        <w:pStyle w:val="Listepuces"/>
        <w:numPr>
          <w:ilvl w:val="0"/>
          <w:numId w:val="10"/>
        </w:numPr>
        <w:spacing w:after="60" w:line="360" w:lineRule="auto"/>
        <w:jc w:val="both"/>
        <w:rPr>
          <w:lang w:val="fr-FR"/>
        </w:rPr>
      </w:pPr>
      <w:r w:rsidRPr="00C005AB">
        <w:rPr>
          <w:lang w:val="fr-FR"/>
        </w:rPr>
        <w:t>Contribuer à la production de tout autre produit de gestion des connaissances (notes de synthèse, études de cas, fiches de leçons apprises).</w:t>
      </w:r>
    </w:p>
    <w:p w:rsidR="00134CE6" w:rsidRPr="00C005AB" w:rsidRDefault="00E5657E" w:rsidP="00432EF4">
      <w:pPr>
        <w:spacing w:after="60" w:line="360" w:lineRule="auto"/>
        <w:rPr>
          <w:lang w:val="fr-FR"/>
        </w:rPr>
      </w:pPr>
      <w:r w:rsidRPr="00C005AB">
        <w:rPr>
          <w:b/>
          <w:color w:val="00467F"/>
          <w:lang w:val="fr-FR"/>
        </w:rPr>
        <w:t>2.4</w:t>
      </w:r>
      <w:r w:rsidR="00432EF4" w:rsidRPr="00C005AB">
        <w:rPr>
          <w:b/>
          <w:color w:val="00467F"/>
          <w:lang w:val="fr-FR"/>
        </w:rPr>
        <w:t>-</w:t>
      </w:r>
      <w:r w:rsidRPr="00C005AB">
        <w:rPr>
          <w:b/>
          <w:color w:val="00467F"/>
          <w:lang w:val="fr-FR"/>
        </w:rPr>
        <w:t>Appui méthodologique et institutionnel</w:t>
      </w:r>
    </w:p>
    <w:p w:rsidR="00134CE6" w:rsidRPr="00C005AB" w:rsidRDefault="00E5657E" w:rsidP="00B762D6">
      <w:pPr>
        <w:pStyle w:val="Listepuces"/>
        <w:numPr>
          <w:ilvl w:val="0"/>
          <w:numId w:val="10"/>
        </w:numPr>
        <w:spacing w:after="60" w:line="360" w:lineRule="auto"/>
        <w:jc w:val="both"/>
        <w:rPr>
          <w:lang w:val="fr-FR"/>
        </w:rPr>
      </w:pPr>
      <w:r w:rsidRPr="00C005AB">
        <w:rPr>
          <w:lang w:val="fr-FR"/>
        </w:rPr>
        <w:t>Appuyer la finalisation des documents techniques, conventions et outils de gestion de projet.</w:t>
      </w:r>
    </w:p>
    <w:p w:rsidR="00134CE6" w:rsidRPr="00C005AB" w:rsidRDefault="00E5657E" w:rsidP="00B762D6">
      <w:pPr>
        <w:pStyle w:val="Listepuces"/>
        <w:numPr>
          <w:ilvl w:val="0"/>
          <w:numId w:val="10"/>
        </w:numPr>
        <w:spacing w:after="60" w:line="360" w:lineRule="auto"/>
        <w:jc w:val="both"/>
        <w:rPr>
          <w:lang w:val="fr-FR"/>
        </w:rPr>
      </w:pPr>
      <w:r w:rsidRPr="00C005AB">
        <w:rPr>
          <w:lang w:val="fr-FR"/>
        </w:rPr>
        <w:t>Rédiger des termes de référence (TdR) pour des consultations externes et assurer le suivi de leur mise en œuvre.</w:t>
      </w:r>
    </w:p>
    <w:p w:rsidR="00134CE6" w:rsidRPr="00C005AB" w:rsidRDefault="00E5657E" w:rsidP="00B762D6">
      <w:pPr>
        <w:pStyle w:val="Listepuces"/>
        <w:numPr>
          <w:ilvl w:val="0"/>
          <w:numId w:val="10"/>
        </w:numPr>
        <w:spacing w:after="60" w:line="360" w:lineRule="auto"/>
        <w:jc w:val="both"/>
        <w:rPr>
          <w:lang w:val="fr-FR"/>
        </w:rPr>
      </w:pPr>
      <w:r w:rsidRPr="00C005AB">
        <w:rPr>
          <w:lang w:val="fr-FR"/>
        </w:rPr>
        <w:t>Assurer l'alignement méthodologique des outils de suivi, de planification et de reporting.</w:t>
      </w:r>
    </w:p>
    <w:p w:rsidR="00134CE6" w:rsidRPr="00C005AB" w:rsidRDefault="00E5657E" w:rsidP="00B762D6">
      <w:pPr>
        <w:pStyle w:val="Listepuces"/>
        <w:numPr>
          <w:ilvl w:val="0"/>
          <w:numId w:val="10"/>
        </w:numPr>
        <w:spacing w:after="60" w:line="360" w:lineRule="auto"/>
        <w:jc w:val="both"/>
        <w:rPr>
          <w:lang w:val="fr-FR"/>
        </w:rPr>
      </w:pPr>
      <w:r w:rsidRPr="00C005AB">
        <w:rPr>
          <w:lang w:val="fr-FR"/>
        </w:rPr>
        <w:t>Renforcer les capacités des équipes UTSS et des animateurs sur les outils et méthodologies développés.</w:t>
      </w:r>
    </w:p>
    <w:p w:rsidR="00134CE6" w:rsidRPr="00C005AB" w:rsidRDefault="00E5657E" w:rsidP="00432EF4">
      <w:pPr>
        <w:spacing w:after="60" w:line="360" w:lineRule="auto"/>
        <w:rPr>
          <w:lang w:val="fr-FR"/>
        </w:rPr>
      </w:pPr>
      <w:r w:rsidRPr="00C005AB">
        <w:rPr>
          <w:b/>
          <w:color w:val="00467F"/>
          <w:lang w:val="fr-FR"/>
        </w:rPr>
        <w:t>2.5</w:t>
      </w:r>
      <w:r w:rsidR="00432EF4" w:rsidRPr="00C005AB">
        <w:rPr>
          <w:b/>
          <w:color w:val="00467F"/>
          <w:lang w:val="fr-FR"/>
        </w:rPr>
        <w:t>-</w:t>
      </w:r>
      <w:r w:rsidRPr="00C005AB">
        <w:rPr>
          <w:b/>
          <w:color w:val="00467F"/>
          <w:lang w:val="fr-FR"/>
        </w:rPr>
        <w:t>Clôture du projet et valorisation des résultats</w:t>
      </w:r>
    </w:p>
    <w:p w:rsidR="00134CE6" w:rsidRPr="00C005AB" w:rsidRDefault="00E5657E" w:rsidP="00AD7A4F">
      <w:pPr>
        <w:pStyle w:val="Listepuces"/>
        <w:numPr>
          <w:ilvl w:val="0"/>
          <w:numId w:val="10"/>
        </w:numPr>
        <w:spacing w:after="60" w:line="360" w:lineRule="auto"/>
        <w:jc w:val="both"/>
        <w:rPr>
          <w:lang w:val="fr-FR"/>
        </w:rPr>
      </w:pPr>
      <w:r w:rsidRPr="00C005AB">
        <w:rPr>
          <w:lang w:val="fr-FR"/>
        </w:rPr>
        <w:t>Contribuer activement à la préparation de la clôture technique de la Composante 1 du projet.</w:t>
      </w:r>
    </w:p>
    <w:p w:rsidR="00134CE6" w:rsidRPr="00C005AB" w:rsidRDefault="00E5657E" w:rsidP="00AD7A4F">
      <w:pPr>
        <w:pStyle w:val="Listepuces"/>
        <w:numPr>
          <w:ilvl w:val="0"/>
          <w:numId w:val="10"/>
        </w:numPr>
        <w:spacing w:after="60" w:line="360" w:lineRule="auto"/>
        <w:jc w:val="both"/>
        <w:rPr>
          <w:lang w:val="fr-FR"/>
        </w:rPr>
      </w:pPr>
      <w:r w:rsidRPr="00C005AB">
        <w:rPr>
          <w:lang w:val="fr-FR"/>
        </w:rPr>
        <w:t>Appuyer la synthèse finale des performances et résultats du projet.</w:t>
      </w:r>
    </w:p>
    <w:p w:rsidR="00134CE6" w:rsidRPr="00C005AB" w:rsidRDefault="00E5657E" w:rsidP="00AD7A4F">
      <w:pPr>
        <w:pStyle w:val="Listepuces"/>
        <w:numPr>
          <w:ilvl w:val="0"/>
          <w:numId w:val="10"/>
        </w:numPr>
        <w:spacing w:after="60" w:line="360" w:lineRule="auto"/>
        <w:jc w:val="both"/>
        <w:rPr>
          <w:lang w:val="fr-FR"/>
        </w:rPr>
      </w:pPr>
      <w:r w:rsidRPr="00C005AB">
        <w:rPr>
          <w:lang w:val="fr-FR"/>
        </w:rPr>
        <w:t>Assurer la traçabilité, l'archivage structuré et la transmission des acquis du projet.</w:t>
      </w:r>
    </w:p>
    <w:p w:rsidR="00092681" w:rsidRPr="00C005AB" w:rsidRDefault="00E5657E" w:rsidP="00C005AB">
      <w:pPr>
        <w:pStyle w:val="Listepuces"/>
        <w:numPr>
          <w:ilvl w:val="0"/>
          <w:numId w:val="10"/>
        </w:numPr>
        <w:spacing w:after="60" w:line="360" w:lineRule="auto"/>
        <w:jc w:val="both"/>
        <w:rPr>
          <w:lang w:val="fr-FR"/>
        </w:rPr>
      </w:pPr>
      <w:r w:rsidRPr="00C005AB">
        <w:rPr>
          <w:lang w:val="fr-FR"/>
        </w:rPr>
        <w:t>Appuyer la préparation du rapport final de clôture et des documents de restitution aux partenaires.</w:t>
      </w:r>
    </w:p>
    <w:p w:rsidR="00134CE6" w:rsidRPr="00C005AB" w:rsidRDefault="00E5657E">
      <w:pPr>
        <w:spacing w:before="240" w:after="120"/>
        <w:rPr>
          <w:lang w:val="fr-FR"/>
        </w:rPr>
      </w:pPr>
      <w:r w:rsidRPr="00C005AB">
        <w:rPr>
          <w:b/>
          <w:color w:val="00467F"/>
          <w:sz w:val="26"/>
          <w:lang w:val="fr-FR"/>
        </w:rPr>
        <w:t>3. LIVRABLES ATTENDUS</w:t>
      </w:r>
    </w:p>
    <w:p w:rsidR="00134CE6" w:rsidRPr="00C005AB" w:rsidRDefault="00E5657E">
      <w:pPr>
        <w:spacing w:after="120"/>
        <w:jc w:val="both"/>
        <w:rPr>
          <w:lang w:val="fr-FR"/>
        </w:rPr>
      </w:pPr>
      <w:r w:rsidRPr="00C005AB">
        <w:rPr>
          <w:lang w:val="fr-FR"/>
        </w:rPr>
        <w:t>Les principaux livrables attendus du consultant sont les suivants :</w:t>
      </w:r>
    </w:p>
    <w:tbl>
      <w:tblPr>
        <w:tblStyle w:val="Grilledutableau"/>
        <w:tblW w:w="0" w:type="auto"/>
        <w:jc w:val="center"/>
        <w:tblLook w:val="04A0" w:firstRow="1" w:lastRow="0" w:firstColumn="1" w:lastColumn="0" w:noHBand="0" w:noVBand="1"/>
      </w:tblPr>
      <w:tblGrid>
        <w:gridCol w:w="692"/>
        <w:gridCol w:w="5933"/>
        <w:gridCol w:w="2413"/>
      </w:tblGrid>
      <w:tr w:rsidR="00134CE6" w:rsidRPr="00C005AB" w:rsidTr="001942F2">
        <w:trPr>
          <w:jc w:val="center"/>
        </w:trPr>
        <w:tc>
          <w:tcPr>
            <w:tcW w:w="692" w:type="dxa"/>
            <w:shd w:val="clear" w:color="auto" w:fill="00467F"/>
          </w:tcPr>
          <w:p w:rsidR="00134CE6" w:rsidRPr="00C005AB" w:rsidRDefault="00E5657E" w:rsidP="00B762D6">
            <w:pPr>
              <w:spacing w:line="360" w:lineRule="auto"/>
              <w:jc w:val="center"/>
              <w:rPr>
                <w:lang w:val="fr-FR"/>
              </w:rPr>
            </w:pPr>
            <w:r w:rsidRPr="00C005AB">
              <w:rPr>
                <w:b/>
                <w:color w:val="FFFFFF"/>
                <w:sz w:val="20"/>
                <w:lang w:val="fr-FR"/>
              </w:rPr>
              <w:t>N°</w:t>
            </w:r>
          </w:p>
        </w:tc>
        <w:tc>
          <w:tcPr>
            <w:tcW w:w="5933" w:type="dxa"/>
            <w:shd w:val="clear" w:color="auto" w:fill="00467F"/>
          </w:tcPr>
          <w:p w:rsidR="00134CE6" w:rsidRPr="00C005AB" w:rsidRDefault="00E5657E" w:rsidP="00B762D6">
            <w:pPr>
              <w:spacing w:line="360" w:lineRule="auto"/>
              <w:jc w:val="center"/>
              <w:rPr>
                <w:lang w:val="fr-FR"/>
              </w:rPr>
            </w:pPr>
            <w:r w:rsidRPr="00C005AB">
              <w:rPr>
                <w:b/>
                <w:color w:val="FFFFFF"/>
                <w:sz w:val="20"/>
                <w:lang w:val="fr-FR"/>
              </w:rPr>
              <w:t>Livrable</w:t>
            </w:r>
          </w:p>
        </w:tc>
        <w:tc>
          <w:tcPr>
            <w:tcW w:w="2413" w:type="dxa"/>
            <w:shd w:val="clear" w:color="auto" w:fill="00467F"/>
          </w:tcPr>
          <w:p w:rsidR="00134CE6" w:rsidRPr="00C005AB" w:rsidRDefault="00E5657E" w:rsidP="00B762D6">
            <w:pPr>
              <w:spacing w:line="360" w:lineRule="auto"/>
              <w:jc w:val="center"/>
              <w:rPr>
                <w:lang w:val="fr-FR"/>
              </w:rPr>
            </w:pPr>
            <w:r w:rsidRPr="00C005AB">
              <w:rPr>
                <w:b/>
                <w:color w:val="FFFFFF"/>
                <w:sz w:val="20"/>
                <w:lang w:val="fr-FR"/>
              </w:rPr>
              <w:t>Périodicité</w:t>
            </w:r>
          </w:p>
        </w:tc>
      </w:tr>
      <w:tr w:rsidR="00134CE6" w:rsidRPr="00C005AB" w:rsidTr="001942F2">
        <w:trPr>
          <w:jc w:val="center"/>
        </w:trPr>
        <w:tc>
          <w:tcPr>
            <w:tcW w:w="692" w:type="dxa"/>
            <w:shd w:val="clear" w:color="auto" w:fill="EBF0FA"/>
            <w:vAlign w:val="center"/>
          </w:tcPr>
          <w:p w:rsidR="00134CE6" w:rsidRPr="00C005AB" w:rsidRDefault="00E5657E" w:rsidP="002633F3">
            <w:pPr>
              <w:spacing w:line="360" w:lineRule="auto"/>
              <w:jc w:val="center"/>
              <w:rPr>
                <w:lang w:val="fr-FR"/>
              </w:rPr>
            </w:pPr>
            <w:r w:rsidRPr="00C005AB">
              <w:rPr>
                <w:b/>
                <w:sz w:val="20"/>
                <w:lang w:val="fr-FR"/>
              </w:rPr>
              <w:t>1</w:t>
            </w:r>
          </w:p>
        </w:tc>
        <w:tc>
          <w:tcPr>
            <w:tcW w:w="5933" w:type="dxa"/>
            <w:shd w:val="clear" w:color="auto" w:fill="EBF0FA"/>
            <w:vAlign w:val="center"/>
          </w:tcPr>
          <w:p w:rsidR="00134CE6" w:rsidRPr="00C005AB" w:rsidRDefault="00E5657E" w:rsidP="002633F3">
            <w:pPr>
              <w:spacing w:line="360" w:lineRule="auto"/>
              <w:rPr>
                <w:lang w:val="fr-FR"/>
              </w:rPr>
            </w:pPr>
            <w:r w:rsidRPr="00C005AB">
              <w:rPr>
                <w:sz w:val="20"/>
                <w:lang w:val="fr-FR"/>
              </w:rPr>
              <w:t>Plan de travail mensuel précisant les tâches, les responsables, les échéances et les livrables attendus</w:t>
            </w:r>
          </w:p>
        </w:tc>
        <w:tc>
          <w:tcPr>
            <w:tcW w:w="2413" w:type="dxa"/>
            <w:shd w:val="clear" w:color="auto" w:fill="EBF0FA"/>
            <w:vAlign w:val="center"/>
          </w:tcPr>
          <w:p w:rsidR="00134CE6" w:rsidRPr="00C005AB" w:rsidRDefault="00E5657E" w:rsidP="002633F3">
            <w:pPr>
              <w:spacing w:line="360" w:lineRule="auto"/>
              <w:jc w:val="center"/>
              <w:rPr>
                <w:lang w:val="fr-FR"/>
              </w:rPr>
            </w:pPr>
            <w:r w:rsidRPr="00C005AB">
              <w:rPr>
                <w:sz w:val="20"/>
                <w:lang w:val="fr-FR"/>
              </w:rPr>
              <w:t>Mensuelle</w:t>
            </w:r>
          </w:p>
        </w:tc>
      </w:tr>
      <w:tr w:rsidR="00134CE6" w:rsidRPr="00C005AB" w:rsidTr="001942F2">
        <w:trPr>
          <w:jc w:val="center"/>
        </w:trPr>
        <w:tc>
          <w:tcPr>
            <w:tcW w:w="692" w:type="dxa"/>
            <w:vAlign w:val="center"/>
          </w:tcPr>
          <w:p w:rsidR="00134CE6" w:rsidRPr="00C005AB" w:rsidRDefault="00E5657E" w:rsidP="002633F3">
            <w:pPr>
              <w:spacing w:line="360" w:lineRule="auto"/>
              <w:jc w:val="center"/>
              <w:rPr>
                <w:lang w:val="fr-FR"/>
              </w:rPr>
            </w:pPr>
            <w:r w:rsidRPr="00C005AB">
              <w:rPr>
                <w:b/>
                <w:sz w:val="20"/>
                <w:lang w:val="fr-FR"/>
              </w:rPr>
              <w:t>2</w:t>
            </w:r>
          </w:p>
        </w:tc>
        <w:tc>
          <w:tcPr>
            <w:tcW w:w="5933" w:type="dxa"/>
            <w:vAlign w:val="center"/>
          </w:tcPr>
          <w:p w:rsidR="00134CE6" w:rsidRPr="00C005AB" w:rsidRDefault="00E5657E" w:rsidP="002633F3">
            <w:pPr>
              <w:spacing w:line="360" w:lineRule="auto"/>
              <w:rPr>
                <w:lang w:val="fr-FR"/>
              </w:rPr>
            </w:pPr>
            <w:r w:rsidRPr="00C005AB">
              <w:rPr>
                <w:sz w:val="20"/>
                <w:lang w:val="fr-FR"/>
              </w:rPr>
              <w:t>Compte rendu mensuel des réalisations avec time-sheet</w:t>
            </w:r>
          </w:p>
        </w:tc>
        <w:tc>
          <w:tcPr>
            <w:tcW w:w="2413" w:type="dxa"/>
            <w:vAlign w:val="center"/>
          </w:tcPr>
          <w:p w:rsidR="00134CE6" w:rsidRPr="00C005AB" w:rsidRDefault="00E5657E" w:rsidP="002633F3">
            <w:pPr>
              <w:spacing w:line="360" w:lineRule="auto"/>
              <w:jc w:val="center"/>
              <w:rPr>
                <w:lang w:val="fr-FR"/>
              </w:rPr>
            </w:pPr>
            <w:r w:rsidRPr="00C005AB">
              <w:rPr>
                <w:sz w:val="20"/>
                <w:lang w:val="fr-FR"/>
              </w:rPr>
              <w:t>Mensuelle</w:t>
            </w:r>
          </w:p>
        </w:tc>
      </w:tr>
      <w:tr w:rsidR="00134CE6" w:rsidRPr="00C005AB" w:rsidTr="001942F2">
        <w:trPr>
          <w:jc w:val="center"/>
        </w:trPr>
        <w:tc>
          <w:tcPr>
            <w:tcW w:w="692" w:type="dxa"/>
            <w:shd w:val="clear" w:color="auto" w:fill="EBF0FA"/>
            <w:vAlign w:val="center"/>
          </w:tcPr>
          <w:p w:rsidR="00134CE6" w:rsidRPr="00C005AB" w:rsidRDefault="00E5657E" w:rsidP="002633F3">
            <w:pPr>
              <w:spacing w:line="360" w:lineRule="auto"/>
              <w:jc w:val="center"/>
              <w:rPr>
                <w:lang w:val="fr-FR"/>
              </w:rPr>
            </w:pPr>
            <w:r w:rsidRPr="00C005AB">
              <w:rPr>
                <w:b/>
                <w:sz w:val="20"/>
                <w:lang w:val="fr-FR"/>
              </w:rPr>
              <w:t>3</w:t>
            </w:r>
          </w:p>
        </w:tc>
        <w:tc>
          <w:tcPr>
            <w:tcW w:w="5933" w:type="dxa"/>
            <w:shd w:val="clear" w:color="auto" w:fill="EBF0FA"/>
            <w:vAlign w:val="center"/>
          </w:tcPr>
          <w:p w:rsidR="00134CE6" w:rsidRPr="00C005AB" w:rsidRDefault="00E5657E" w:rsidP="002633F3">
            <w:pPr>
              <w:spacing w:line="360" w:lineRule="auto"/>
              <w:rPr>
                <w:lang w:val="fr-FR"/>
              </w:rPr>
            </w:pPr>
            <w:r w:rsidRPr="00C005AB">
              <w:rPr>
                <w:sz w:val="20"/>
                <w:lang w:val="fr-FR"/>
              </w:rPr>
              <w:t>Rapports trimestriels d'avancement de la mise en œuvre de la convention UTSS/IESS (avancement physique et financier)</w:t>
            </w:r>
          </w:p>
        </w:tc>
        <w:tc>
          <w:tcPr>
            <w:tcW w:w="2413" w:type="dxa"/>
            <w:shd w:val="clear" w:color="auto" w:fill="EBF0FA"/>
            <w:vAlign w:val="center"/>
          </w:tcPr>
          <w:p w:rsidR="00134CE6" w:rsidRPr="00C005AB" w:rsidRDefault="00E5657E" w:rsidP="002633F3">
            <w:pPr>
              <w:spacing w:line="360" w:lineRule="auto"/>
              <w:jc w:val="center"/>
              <w:rPr>
                <w:lang w:val="fr-FR"/>
              </w:rPr>
            </w:pPr>
            <w:r w:rsidRPr="00C005AB">
              <w:rPr>
                <w:sz w:val="20"/>
                <w:lang w:val="fr-FR"/>
              </w:rPr>
              <w:t>Trimestrielle</w:t>
            </w:r>
          </w:p>
        </w:tc>
      </w:tr>
      <w:tr w:rsidR="00134CE6" w:rsidRPr="00C005AB" w:rsidTr="001942F2">
        <w:trPr>
          <w:jc w:val="center"/>
        </w:trPr>
        <w:tc>
          <w:tcPr>
            <w:tcW w:w="692" w:type="dxa"/>
            <w:vAlign w:val="center"/>
          </w:tcPr>
          <w:p w:rsidR="00134CE6" w:rsidRPr="00C005AB" w:rsidRDefault="00E5657E" w:rsidP="002633F3">
            <w:pPr>
              <w:spacing w:line="360" w:lineRule="auto"/>
              <w:jc w:val="center"/>
              <w:rPr>
                <w:lang w:val="fr-FR"/>
              </w:rPr>
            </w:pPr>
            <w:r w:rsidRPr="00C005AB">
              <w:rPr>
                <w:b/>
                <w:sz w:val="20"/>
                <w:lang w:val="fr-FR"/>
              </w:rPr>
              <w:t>4</w:t>
            </w:r>
          </w:p>
        </w:tc>
        <w:tc>
          <w:tcPr>
            <w:tcW w:w="5933" w:type="dxa"/>
            <w:vAlign w:val="center"/>
          </w:tcPr>
          <w:p w:rsidR="00134CE6" w:rsidRPr="00C005AB" w:rsidRDefault="00E5657E" w:rsidP="002633F3">
            <w:pPr>
              <w:spacing w:line="360" w:lineRule="auto"/>
              <w:rPr>
                <w:lang w:val="fr-FR"/>
              </w:rPr>
            </w:pPr>
            <w:r w:rsidRPr="00C005AB">
              <w:rPr>
                <w:sz w:val="20"/>
                <w:lang w:val="fr-FR"/>
              </w:rPr>
              <w:t xml:space="preserve">Rapports </w:t>
            </w:r>
            <w:r w:rsidR="00C14E23" w:rsidRPr="00C005AB">
              <w:rPr>
                <w:sz w:val="20"/>
                <w:lang w:val="fr-FR"/>
              </w:rPr>
              <w:t>mensuels</w:t>
            </w:r>
            <w:r w:rsidRPr="00C005AB">
              <w:rPr>
                <w:sz w:val="20"/>
                <w:lang w:val="fr-FR"/>
              </w:rPr>
              <w:t xml:space="preserve"> et annuels de performance du projet</w:t>
            </w:r>
          </w:p>
        </w:tc>
        <w:tc>
          <w:tcPr>
            <w:tcW w:w="2413" w:type="dxa"/>
            <w:vAlign w:val="center"/>
          </w:tcPr>
          <w:p w:rsidR="00134CE6" w:rsidRPr="00C005AB" w:rsidRDefault="00E5657E" w:rsidP="002633F3">
            <w:pPr>
              <w:spacing w:line="360" w:lineRule="auto"/>
              <w:jc w:val="center"/>
              <w:rPr>
                <w:lang w:val="fr-FR"/>
              </w:rPr>
            </w:pPr>
            <w:r w:rsidRPr="00C005AB">
              <w:rPr>
                <w:sz w:val="20"/>
                <w:lang w:val="fr-FR"/>
              </w:rPr>
              <w:t>Semestrielle / Annuelle</w:t>
            </w:r>
          </w:p>
        </w:tc>
      </w:tr>
      <w:tr w:rsidR="00C25465" w:rsidRPr="00C005AB" w:rsidTr="001942F2">
        <w:trPr>
          <w:jc w:val="center"/>
        </w:trPr>
        <w:tc>
          <w:tcPr>
            <w:tcW w:w="692" w:type="dxa"/>
            <w:shd w:val="clear" w:color="auto" w:fill="EBF0FA"/>
            <w:vAlign w:val="center"/>
          </w:tcPr>
          <w:p w:rsidR="00C25465" w:rsidRPr="00C005AB" w:rsidRDefault="00C25465" w:rsidP="00C25465">
            <w:pPr>
              <w:spacing w:line="360" w:lineRule="auto"/>
              <w:jc w:val="center"/>
              <w:rPr>
                <w:b/>
                <w:sz w:val="20"/>
                <w:lang w:val="fr-FR"/>
              </w:rPr>
            </w:pPr>
            <w:r w:rsidRPr="00C005AB">
              <w:rPr>
                <w:b/>
                <w:sz w:val="20"/>
                <w:lang w:val="fr-FR"/>
              </w:rPr>
              <w:t>5</w:t>
            </w:r>
          </w:p>
        </w:tc>
        <w:tc>
          <w:tcPr>
            <w:tcW w:w="5933" w:type="dxa"/>
            <w:shd w:val="clear" w:color="auto" w:fill="EBF0FA"/>
            <w:vAlign w:val="center"/>
          </w:tcPr>
          <w:p w:rsidR="00C25465" w:rsidRPr="00C005AB" w:rsidRDefault="00C25465" w:rsidP="00C25465">
            <w:pPr>
              <w:spacing w:line="360" w:lineRule="auto"/>
              <w:rPr>
                <w:sz w:val="20"/>
                <w:lang w:val="fr-FR"/>
              </w:rPr>
            </w:pPr>
            <w:r w:rsidRPr="00C005AB">
              <w:rPr>
                <w:sz w:val="20"/>
                <w:lang w:val="fr-FR"/>
              </w:rPr>
              <w:t>Procès-verbaux des réunions de coordination et de supervision</w:t>
            </w:r>
          </w:p>
        </w:tc>
        <w:tc>
          <w:tcPr>
            <w:tcW w:w="2413" w:type="dxa"/>
            <w:shd w:val="clear" w:color="auto" w:fill="EBF0FA"/>
            <w:vAlign w:val="center"/>
          </w:tcPr>
          <w:p w:rsidR="00C25465" w:rsidRPr="00C005AB" w:rsidRDefault="00C25465" w:rsidP="00C25465">
            <w:pPr>
              <w:spacing w:line="360" w:lineRule="auto"/>
              <w:jc w:val="center"/>
              <w:rPr>
                <w:sz w:val="20"/>
                <w:lang w:val="fr-FR"/>
              </w:rPr>
            </w:pPr>
            <w:r w:rsidRPr="00C005AB">
              <w:rPr>
                <w:sz w:val="20"/>
                <w:lang w:val="fr-FR"/>
              </w:rPr>
              <w:t>À chaque réunion</w:t>
            </w:r>
          </w:p>
        </w:tc>
      </w:tr>
      <w:tr w:rsidR="00C25465" w:rsidRPr="00C005AB" w:rsidTr="005F3537">
        <w:trPr>
          <w:jc w:val="center"/>
        </w:trPr>
        <w:tc>
          <w:tcPr>
            <w:tcW w:w="692" w:type="dxa"/>
            <w:shd w:val="clear" w:color="auto" w:fill="FFFFFF" w:themeFill="background1"/>
            <w:vAlign w:val="center"/>
          </w:tcPr>
          <w:p w:rsidR="00C25465" w:rsidRPr="00C005AB" w:rsidRDefault="00C25465" w:rsidP="00C25465">
            <w:pPr>
              <w:spacing w:line="360" w:lineRule="auto"/>
              <w:jc w:val="center"/>
              <w:rPr>
                <w:lang w:val="fr-FR"/>
              </w:rPr>
            </w:pPr>
            <w:r w:rsidRPr="00C005AB">
              <w:rPr>
                <w:b/>
                <w:sz w:val="20"/>
                <w:lang w:val="fr-FR"/>
              </w:rPr>
              <w:t>6</w:t>
            </w:r>
          </w:p>
        </w:tc>
        <w:tc>
          <w:tcPr>
            <w:tcW w:w="5933" w:type="dxa"/>
            <w:shd w:val="clear" w:color="auto" w:fill="FFFFFF" w:themeFill="background1"/>
            <w:vAlign w:val="center"/>
          </w:tcPr>
          <w:p w:rsidR="00C25465" w:rsidRPr="00C005AB" w:rsidRDefault="00C25465" w:rsidP="00C25465">
            <w:pPr>
              <w:spacing w:line="360" w:lineRule="auto"/>
              <w:rPr>
                <w:lang w:val="fr-FR"/>
              </w:rPr>
            </w:pPr>
            <w:r w:rsidRPr="00C005AB">
              <w:rPr>
                <w:sz w:val="20"/>
                <w:lang w:val="fr-FR"/>
              </w:rPr>
              <w:t>Guide Méthodologique de l'Approche « Graduation » (version finale validée) et autres produits de gestion des connaissances</w:t>
            </w:r>
          </w:p>
        </w:tc>
        <w:tc>
          <w:tcPr>
            <w:tcW w:w="2413" w:type="dxa"/>
            <w:shd w:val="clear" w:color="auto" w:fill="FFFFFF" w:themeFill="background1"/>
            <w:vAlign w:val="center"/>
          </w:tcPr>
          <w:p w:rsidR="00C25465" w:rsidRPr="00C005AB" w:rsidRDefault="00C25465" w:rsidP="00C25465">
            <w:pPr>
              <w:spacing w:line="360" w:lineRule="auto"/>
              <w:jc w:val="center"/>
              <w:rPr>
                <w:lang w:val="fr-FR"/>
              </w:rPr>
            </w:pPr>
            <w:r w:rsidRPr="00C005AB">
              <w:rPr>
                <w:sz w:val="20"/>
                <w:lang w:val="fr-FR"/>
              </w:rPr>
              <w:t>Selon calendrier du projet</w:t>
            </w:r>
          </w:p>
        </w:tc>
      </w:tr>
    </w:tbl>
    <w:p w:rsidR="00134CE6" w:rsidRPr="00C005AB" w:rsidRDefault="00E5657E">
      <w:pPr>
        <w:spacing w:before="240" w:after="120"/>
        <w:rPr>
          <w:lang w:val="fr-FR"/>
        </w:rPr>
      </w:pPr>
      <w:r w:rsidRPr="00C005AB">
        <w:rPr>
          <w:b/>
          <w:color w:val="00467F"/>
          <w:sz w:val="26"/>
          <w:lang w:val="fr-FR"/>
        </w:rPr>
        <w:t>4. CRITÈRES DE PRÉSÉLECTION</w:t>
      </w:r>
    </w:p>
    <w:p w:rsidR="00134CE6" w:rsidRPr="00C005AB" w:rsidRDefault="00E5657E" w:rsidP="008E08AC">
      <w:pPr>
        <w:spacing w:after="120" w:line="360" w:lineRule="auto"/>
        <w:jc w:val="both"/>
        <w:rPr>
          <w:lang w:val="fr-FR"/>
        </w:rPr>
      </w:pPr>
      <w:r w:rsidRPr="00C005AB">
        <w:rPr>
          <w:lang w:val="fr-FR"/>
        </w:rPr>
        <w:t>Les consultants intéressés sont tenus de fournir, sous la forme d'un curriculum vitæ détaillé, des informations attestant qu'ils possèdent les qualifications requises et l'expérience nécessaire pour dispenser ces services. Les critères de présélection sont les suivants :</w:t>
      </w:r>
    </w:p>
    <w:tbl>
      <w:tblPr>
        <w:tblStyle w:val="Grilledutableau"/>
        <w:tblW w:w="0" w:type="auto"/>
        <w:jc w:val="center"/>
        <w:tblLook w:val="04A0" w:firstRow="1" w:lastRow="0" w:firstColumn="1" w:lastColumn="0" w:noHBand="0" w:noVBand="1"/>
      </w:tblPr>
      <w:tblGrid>
        <w:gridCol w:w="3227"/>
        <w:gridCol w:w="4819"/>
        <w:gridCol w:w="993"/>
      </w:tblGrid>
      <w:tr w:rsidR="00084EAF" w:rsidRPr="00C005AB" w:rsidTr="00084EAF">
        <w:trPr>
          <w:jc w:val="center"/>
        </w:trPr>
        <w:tc>
          <w:tcPr>
            <w:tcW w:w="3227" w:type="dxa"/>
            <w:shd w:val="clear" w:color="auto" w:fill="00467F"/>
          </w:tcPr>
          <w:p w:rsidR="00084EAF" w:rsidRPr="00C005AB" w:rsidRDefault="00084EAF" w:rsidP="00084EAF">
            <w:pPr>
              <w:spacing w:line="276" w:lineRule="auto"/>
              <w:jc w:val="center"/>
              <w:rPr>
                <w:lang w:val="fr-FR"/>
              </w:rPr>
            </w:pPr>
            <w:r w:rsidRPr="00C005AB">
              <w:rPr>
                <w:b/>
                <w:color w:val="FFFFFF"/>
                <w:sz w:val="20"/>
                <w:lang w:val="fr-FR"/>
              </w:rPr>
              <w:t>Critère d'évaluation</w:t>
            </w:r>
          </w:p>
        </w:tc>
        <w:tc>
          <w:tcPr>
            <w:tcW w:w="4819" w:type="dxa"/>
            <w:shd w:val="clear" w:color="auto" w:fill="00467F"/>
          </w:tcPr>
          <w:p w:rsidR="00084EAF" w:rsidRPr="00C005AB" w:rsidRDefault="00084EAF" w:rsidP="00084EAF">
            <w:pPr>
              <w:spacing w:line="276" w:lineRule="auto"/>
              <w:jc w:val="center"/>
              <w:rPr>
                <w:lang w:val="fr-FR"/>
              </w:rPr>
            </w:pPr>
            <w:r w:rsidRPr="00C005AB">
              <w:rPr>
                <w:b/>
                <w:color w:val="FFFFFF"/>
                <w:sz w:val="20"/>
                <w:lang w:val="fr-FR"/>
              </w:rPr>
              <w:t>Sous-critères</w:t>
            </w:r>
          </w:p>
        </w:tc>
        <w:tc>
          <w:tcPr>
            <w:tcW w:w="993" w:type="dxa"/>
            <w:shd w:val="clear" w:color="auto" w:fill="00467F"/>
          </w:tcPr>
          <w:p w:rsidR="00084EAF" w:rsidRPr="00C005AB" w:rsidRDefault="00084EAF" w:rsidP="00084EAF">
            <w:pPr>
              <w:spacing w:line="276" w:lineRule="auto"/>
              <w:jc w:val="center"/>
              <w:rPr>
                <w:lang w:val="fr-FR"/>
              </w:rPr>
            </w:pPr>
            <w:r w:rsidRPr="00C005AB">
              <w:rPr>
                <w:b/>
                <w:color w:val="FFFFFF"/>
                <w:sz w:val="20"/>
                <w:lang w:val="fr-FR"/>
              </w:rPr>
              <w:t>Points</w:t>
            </w:r>
          </w:p>
        </w:tc>
      </w:tr>
      <w:tr w:rsidR="00084EAF" w:rsidRPr="00C005AB" w:rsidTr="00084EAF">
        <w:trPr>
          <w:jc w:val="center"/>
        </w:trPr>
        <w:tc>
          <w:tcPr>
            <w:tcW w:w="3227" w:type="dxa"/>
            <w:vMerge w:val="restart"/>
            <w:shd w:val="clear" w:color="auto" w:fill="D9E2F3"/>
          </w:tcPr>
          <w:p w:rsidR="00084EAF" w:rsidRPr="00C005AB" w:rsidRDefault="00084EAF" w:rsidP="00D40A8C">
            <w:pPr>
              <w:spacing w:line="360" w:lineRule="auto"/>
              <w:rPr>
                <w:lang w:val="fr-FR"/>
              </w:rPr>
            </w:pPr>
            <w:r w:rsidRPr="00C005AB">
              <w:rPr>
                <w:b/>
                <w:lang w:val="fr-FR"/>
              </w:rPr>
              <w:t>1. Niveau académique</w:t>
            </w:r>
          </w:p>
        </w:tc>
        <w:tc>
          <w:tcPr>
            <w:tcW w:w="4819" w:type="dxa"/>
            <w:shd w:val="clear" w:color="auto" w:fill="D9E2F3"/>
          </w:tcPr>
          <w:p w:rsidR="00084EAF" w:rsidRPr="00C005AB" w:rsidRDefault="00084EAF" w:rsidP="00084EAF">
            <w:pPr>
              <w:spacing w:line="276" w:lineRule="auto"/>
              <w:rPr>
                <w:lang w:val="fr-FR"/>
              </w:rPr>
            </w:pPr>
          </w:p>
        </w:tc>
        <w:tc>
          <w:tcPr>
            <w:tcW w:w="993" w:type="dxa"/>
            <w:vMerge w:val="restart"/>
            <w:shd w:val="clear" w:color="auto" w:fill="D9E2F3"/>
            <w:vAlign w:val="center"/>
          </w:tcPr>
          <w:p w:rsidR="00084EAF" w:rsidRPr="00C005AB" w:rsidRDefault="00084EAF" w:rsidP="00084EAF">
            <w:pPr>
              <w:spacing w:line="276" w:lineRule="auto"/>
              <w:jc w:val="center"/>
              <w:rPr>
                <w:lang w:val="fr-FR"/>
              </w:rPr>
            </w:pPr>
            <w:r w:rsidRPr="00C005AB">
              <w:rPr>
                <w:b/>
                <w:lang w:val="fr-FR"/>
              </w:rPr>
              <w:t>25</w:t>
            </w:r>
          </w:p>
          <w:p w:rsidR="00084EAF" w:rsidRPr="00C005AB" w:rsidRDefault="00084EAF" w:rsidP="00084EAF">
            <w:pPr>
              <w:spacing w:line="276" w:lineRule="auto"/>
              <w:jc w:val="center"/>
              <w:rPr>
                <w:lang w:val="fr-FR"/>
              </w:rPr>
            </w:pPr>
            <w:r w:rsidRPr="00C005AB">
              <w:rPr>
                <w:lang w:val="fr-FR"/>
              </w:rPr>
              <w:t>0</w:t>
            </w:r>
          </w:p>
          <w:p w:rsidR="00084EAF" w:rsidRPr="00C005AB" w:rsidRDefault="00D40A8C" w:rsidP="00084EAF">
            <w:pPr>
              <w:spacing w:line="276" w:lineRule="auto"/>
              <w:jc w:val="center"/>
              <w:rPr>
                <w:lang w:val="fr-FR"/>
              </w:rPr>
            </w:pPr>
            <w:r w:rsidRPr="00C005AB">
              <w:rPr>
                <w:lang w:val="fr-FR"/>
              </w:rPr>
              <w:t>15</w:t>
            </w:r>
          </w:p>
          <w:p w:rsidR="00084EAF" w:rsidRPr="00C005AB" w:rsidRDefault="00084EAF" w:rsidP="00084EAF">
            <w:pPr>
              <w:spacing w:line="276" w:lineRule="auto"/>
              <w:jc w:val="center"/>
              <w:rPr>
                <w:lang w:val="fr-FR"/>
              </w:rPr>
            </w:pPr>
            <w:r w:rsidRPr="00C005AB">
              <w:rPr>
                <w:lang w:val="fr-FR"/>
              </w:rPr>
              <w:t>25</w:t>
            </w: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Bac+4 (Licence ou équivalent)</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Bac+5 (Master ou équivalent)</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Bac+5 et plus (Doctorat)</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val="restart"/>
            <w:shd w:val="clear" w:color="auto" w:fill="D9E2F3"/>
          </w:tcPr>
          <w:p w:rsidR="00084EAF" w:rsidRPr="00C005AB" w:rsidRDefault="00084EAF" w:rsidP="00084EAF">
            <w:pPr>
              <w:spacing w:line="360" w:lineRule="auto"/>
              <w:rPr>
                <w:lang w:val="fr-FR"/>
              </w:rPr>
            </w:pPr>
            <w:r w:rsidRPr="00C005AB">
              <w:rPr>
                <w:b/>
                <w:lang w:val="fr-FR"/>
              </w:rPr>
              <w:t>2. Expérience professionnelle générale</w:t>
            </w:r>
          </w:p>
          <w:p w:rsidR="00084EAF" w:rsidRPr="00C005AB" w:rsidRDefault="00084EAF" w:rsidP="00084EAF">
            <w:pPr>
              <w:spacing w:line="360" w:lineRule="auto"/>
              <w:rPr>
                <w:lang w:val="fr-FR"/>
              </w:rPr>
            </w:pPr>
          </w:p>
        </w:tc>
        <w:tc>
          <w:tcPr>
            <w:tcW w:w="4819" w:type="dxa"/>
            <w:shd w:val="clear" w:color="auto" w:fill="D9E2F3"/>
          </w:tcPr>
          <w:p w:rsidR="00084EAF" w:rsidRPr="00C005AB" w:rsidRDefault="00084EAF" w:rsidP="00084EAF">
            <w:pPr>
              <w:spacing w:line="276" w:lineRule="auto"/>
              <w:rPr>
                <w:lang w:val="fr-FR"/>
              </w:rPr>
            </w:pPr>
          </w:p>
        </w:tc>
        <w:tc>
          <w:tcPr>
            <w:tcW w:w="993" w:type="dxa"/>
            <w:vMerge w:val="restart"/>
            <w:shd w:val="clear" w:color="auto" w:fill="D9E2F3"/>
            <w:vAlign w:val="center"/>
          </w:tcPr>
          <w:p w:rsidR="00084EAF" w:rsidRPr="00C005AB" w:rsidRDefault="00084EAF" w:rsidP="00084EAF">
            <w:pPr>
              <w:spacing w:line="276" w:lineRule="auto"/>
              <w:jc w:val="center"/>
              <w:rPr>
                <w:lang w:val="fr-FR"/>
              </w:rPr>
            </w:pPr>
            <w:r w:rsidRPr="00C005AB">
              <w:rPr>
                <w:b/>
                <w:lang w:val="fr-FR"/>
              </w:rPr>
              <w:t>15</w:t>
            </w:r>
          </w:p>
          <w:p w:rsidR="00084EAF" w:rsidRPr="00C005AB" w:rsidRDefault="00084EAF" w:rsidP="00084EAF">
            <w:pPr>
              <w:spacing w:line="276" w:lineRule="auto"/>
              <w:jc w:val="center"/>
              <w:rPr>
                <w:lang w:val="fr-FR"/>
              </w:rPr>
            </w:pPr>
            <w:r w:rsidRPr="00C005AB">
              <w:rPr>
                <w:lang w:val="fr-FR"/>
              </w:rPr>
              <w:t>0</w:t>
            </w:r>
          </w:p>
          <w:p w:rsidR="00084EAF" w:rsidRPr="00C005AB" w:rsidRDefault="00084EAF" w:rsidP="00084EAF">
            <w:pPr>
              <w:spacing w:line="276" w:lineRule="auto"/>
              <w:jc w:val="center"/>
              <w:rPr>
                <w:lang w:val="fr-FR"/>
              </w:rPr>
            </w:pPr>
            <w:r w:rsidRPr="00C005AB">
              <w:rPr>
                <w:lang w:val="fr-FR"/>
              </w:rPr>
              <w:t>10</w:t>
            </w:r>
          </w:p>
          <w:p w:rsidR="00084EAF" w:rsidRPr="00C005AB" w:rsidRDefault="00084EAF" w:rsidP="00084EAF">
            <w:pPr>
              <w:spacing w:line="276" w:lineRule="auto"/>
              <w:jc w:val="center"/>
              <w:rPr>
                <w:lang w:val="fr-FR"/>
              </w:rPr>
            </w:pPr>
            <w:r w:rsidRPr="00C005AB">
              <w:rPr>
                <w:lang w:val="fr-FR"/>
              </w:rPr>
              <w:t>15</w:t>
            </w: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Moins de 5 ans</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Entre 5 et 8 ans</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trHeight w:val="312"/>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8 ans et plus</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val="restart"/>
            <w:shd w:val="clear" w:color="auto" w:fill="D9E2F3"/>
          </w:tcPr>
          <w:p w:rsidR="00084EAF" w:rsidRPr="00C005AB" w:rsidRDefault="00084EAF" w:rsidP="00084EAF">
            <w:pPr>
              <w:spacing w:line="360" w:lineRule="auto"/>
              <w:rPr>
                <w:lang w:val="fr-FR"/>
              </w:rPr>
            </w:pPr>
            <w:r w:rsidRPr="00C005AB">
              <w:rPr>
                <w:b/>
                <w:lang w:val="fr-FR"/>
              </w:rPr>
              <w:t>3. Expérience en coordination de projets / partenariats complexes</w:t>
            </w:r>
          </w:p>
        </w:tc>
        <w:tc>
          <w:tcPr>
            <w:tcW w:w="4819" w:type="dxa"/>
            <w:shd w:val="clear" w:color="auto" w:fill="D9E2F3"/>
          </w:tcPr>
          <w:p w:rsidR="00084EAF" w:rsidRPr="00C005AB" w:rsidRDefault="00084EAF" w:rsidP="00084EAF">
            <w:pPr>
              <w:spacing w:line="276" w:lineRule="auto"/>
              <w:rPr>
                <w:lang w:val="fr-FR"/>
              </w:rPr>
            </w:pPr>
          </w:p>
        </w:tc>
        <w:tc>
          <w:tcPr>
            <w:tcW w:w="993" w:type="dxa"/>
            <w:vMerge w:val="restart"/>
            <w:shd w:val="clear" w:color="auto" w:fill="D9E2F3"/>
            <w:vAlign w:val="center"/>
          </w:tcPr>
          <w:p w:rsidR="00084EAF" w:rsidRPr="00C005AB" w:rsidRDefault="00084EAF" w:rsidP="00084EAF">
            <w:pPr>
              <w:spacing w:line="276" w:lineRule="auto"/>
              <w:jc w:val="center"/>
              <w:rPr>
                <w:lang w:val="fr-FR"/>
              </w:rPr>
            </w:pPr>
            <w:r w:rsidRPr="00C005AB">
              <w:rPr>
                <w:b/>
                <w:lang w:val="fr-FR"/>
              </w:rPr>
              <w:t>25</w:t>
            </w:r>
          </w:p>
          <w:p w:rsidR="00084EAF" w:rsidRPr="00C005AB" w:rsidRDefault="00084EAF" w:rsidP="00084EAF">
            <w:pPr>
              <w:spacing w:line="276" w:lineRule="auto"/>
              <w:jc w:val="center"/>
              <w:rPr>
                <w:lang w:val="fr-FR"/>
              </w:rPr>
            </w:pPr>
            <w:r w:rsidRPr="00C005AB">
              <w:rPr>
                <w:lang w:val="fr-FR"/>
              </w:rPr>
              <w:t>0</w:t>
            </w:r>
          </w:p>
          <w:p w:rsidR="00084EAF" w:rsidRPr="00C005AB" w:rsidRDefault="00084EAF" w:rsidP="00084EAF">
            <w:pPr>
              <w:spacing w:line="276" w:lineRule="auto"/>
              <w:jc w:val="center"/>
              <w:rPr>
                <w:lang w:val="fr-FR"/>
              </w:rPr>
            </w:pPr>
            <w:r w:rsidRPr="00C005AB">
              <w:rPr>
                <w:lang w:val="fr-FR"/>
              </w:rPr>
              <w:t>15</w:t>
            </w:r>
          </w:p>
          <w:p w:rsidR="00084EAF" w:rsidRPr="00C005AB" w:rsidRDefault="00084EAF" w:rsidP="00084EAF">
            <w:pPr>
              <w:spacing w:line="276" w:lineRule="auto"/>
              <w:jc w:val="center"/>
              <w:rPr>
                <w:lang w:val="fr-FR"/>
              </w:rPr>
            </w:pPr>
            <w:r w:rsidRPr="00C005AB">
              <w:rPr>
                <w:lang w:val="fr-FR"/>
              </w:rPr>
              <w:t>25</w:t>
            </w: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Moins de 2 missions justifiées</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2 à 3 missions justifiées</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trHeight w:val="352"/>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3 missions et plus justifiées</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val="restart"/>
            <w:shd w:val="clear" w:color="auto" w:fill="D9E2F3"/>
          </w:tcPr>
          <w:p w:rsidR="00084EAF" w:rsidRPr="00C005AB" w:rsidRDefault="00084EAF" w:rsidP="00084EAF">
            <w:pPr>
              <w:spacing w:line="360" w:lineRule="auto"/>
              <w:rPr>
                <w:lang w:val="fr-FR"/>
              </w:rPr>
            </w:pPr>
            <w:r w:rsidRPr="00C005AB">
              <w:rPr>
                <w:b/>
                <w:lang w:val="fr-FR"/>
              </w:rPr>
              <w:t>4. Maîtrise de la rédaction institutionnelle et technique</w:t>
            </w:r>
          </w:p>
          <w:p w:rsidR="00084EAF" w:rsidRPr="00C005AB" w:rsidRDefault="00084EAF" w:rsidP="00084EAF">
            <w:pPr>
              <w:spacing w:line="360" w:lineRule="auto"/>
              <w:rPr>
                <w:lang w:val="fr-FR"/>
              </w:rPr>
            </w:pPr>
          </w:p>
        </w:tc>
        <w:tc>
          <w:tcPr>
            <w:tcW w:w="4819" w:type="dxa"/>
            <w:shd w:val="clear" w:color="auto" w:fill="D9E2F3"/>
          </w:tcPr>
          <w:p w:rsidR="00084EAF" w:rsidRPr="00C005AB" w:rsidRDefault="00084EAF" w:rsidP="00084EAF">
            <w:pPr>
              <w:spacing w:line="276" w:lineRule="auto"/>
              <w:rPr>
                <w:lang w:val="fr-FR"/>
              </w:rPr>
            </w:pPr>
          </w:p>
        </w:tc>
        <w:tc>
          <w:tcPr>
            <w:tcW w:w="993" w:type="dxa"/>
            <w:vMerge w:val="restart"/>
            <w:shd w:val="clear" w:color="auto" w:fill="D9E2F3"/>
            <w:vAlign w:val="center"/>
          </w:tcPr>
          <w:p w:rsidR="00084EAF" w:rsidRPr="00C005AB" w:rsidRDefault="00084EAF" w:rsidP="00084EAF">
            <w:pPr>
              <w:spacing w:line="276" w:lineRule="auto"/>
              <w:jc w:val="center"/>
              <w:rPr>
                <w:lang w:val="fr-FR"/>
              </w:rPr>
            </w:pPr>
            <w:r w:rsidRPr="00C005AB">
              <w:rPr>
                <w:b/>
                <w:lang w:val="fr-FR"/>
              </w:rPr>
              <w:t>15</w:t>
            </w:r>
          </w:p>
          <w:p w:rsidR="00084EAF" w:rsidRPr="00C005AB" w:rsidRDefault="00084EAF" w:rsidP="00084EAF">
            <w:pPr>
              <w:spacing w:line="276" w:lineRule="auto"/>
              <w:jc w:val="center"/>
              <w:rPr>
                <w:lang w:val="fr-FR"/>
              </w:rPr>
            </w:pPr>
            <w:r w:rsidRPr="00C005AB">
              <w:rPr>
                <w:lang w:val="fr-FR"/>
              </w:rPr>
              <w:t>0</w:t>
            </w:r>
          </w:p>
          <w:p w:rsidR="00084EAF" w:rsidRPr="00C005AB" w:rsidRDefault="00084EAF" w:rsidP="00084EAF">
            <w:pPr>
              <w:spacing w:line="276" w:lineRule="auto"/>
              <w:jc w:val="center"/>
              <w:rPr>
                <w:lang w:val="fr-FR"/>
              </w:rPr>
            </w:pPr>
            <w:r w:rsidRPr="00C005AB">
              <w:rPr>
                <w:lang w:val="fr-FR"/>
              </w:rPr>
              <w:t>8</w:t>
            </w:r>
          </w:p>
          <w:p w:rsidR="00084EAF" w:rsidRPr="00C005AB" w:rsidRDefault="00084EAF" w:rsidP="00084EAF">
            <w:pPr>
              <w:spacing w:line="276" w:lineRule="auto"/>
              <w:jc w:val="center"/>
              <w:rPr>
                <w:lang w:val="fr-FR"/>
              </w:rPr>
            </w:pPr>
            <w:r w:rsidRPr="00C005AB">
              <w:rPr>
                <w:lang w:val="fr-FR"/>
              </w:rPr>
              <w:t>15</w:t>
            </w: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Expérience non justifiée</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Expérience partiellement justifiée</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Expérience confirmée et justifiée</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val="restart"/>
            <w:shd w:val="clear" w:color="auto" w:fill="D9E2F3"/>
          </w:tcPr>
          <w:p w:rsidR="00084EAF" w:rsidRPr="00C005AB" w:rsidRDefault="00084EAF" w:rsidP="00084EAF">
            <w:pPr>
              <w:spacing w:line="360" w:lineRule="auto"/>
              <w:rPr>
                <w:lang w:val="fr-FR"/>
              </w:rPr>
            </w:pPr>
            <w:r w:rsidRPr="00C005AB">
              <w:rPr>
                <w:b/>
                <w:lang w:val="fr-FR"/>
              </w:rPr>
              <w:t>5. Qualité de la note méthodologique</w:t>
            </w:r>
          </w:p>
          <w:p w:rsidR="00084EAF" w:rsidRPr="00C005AB" w:rsidRDefault="00084EAF" w:rsidP="00084EAF">
            <w:pPr>
              <w:spacing w:line="360" w:lineRule="auto"/>
              <w:rPr>
                <w:lang w:val="fr-FR"/>
              </w:rPr>
            </w:pPr>
          </w:p>
        </w:tc>
        <w:tc>
          <w:tcPr>
            <w:tcW w:w="4819" w:type="dxa"/>
            <w:shd w:val="clear" w:color="auto" w:fill="D9E2F3"/>
          </w:tcPr>
          <w:p w:rsidR="00084EAF" w:rsidRPr="00C005AB" w:rsidRDefault="00084EAF" w:rsidP="00084EAF">
            <w:pPr>
              <w:spacing w:line="276" w:lineRule="auto"/>
              <w:rPr>
                <w:lang w:val="fr-FR"/>
              </w:rPr>
            </w:pPr>
          </w:p>
        </w:tc>
        <w:tc>
          <w:tcPr>
            <w:tcW w:w="993" w:type="dxa"/>
            <w:vMerge w:val="restart"/>
            <w:shd w:val="clear" w:color="auto" w:fill="D9E2F3"/>
            <w:vAlign w:val="center"/>
          </w:tcPr>
          <w:p w:rsidR="00084EAF" w:rsidRPr="00C005AB" w:rsidRDefault="00084EAF" w:rsidP="00084EAF">
            <w:pPr>
              <w:spacing w:line="276" w:lineRule="auto"/>
              <w:jc w:val="center"/>
              <w:rPr>
                <w:lang w:val="fr-FR"/>
              </w:rPr>
            </w:pPr>
            <w:r w:rsidRPr="00C005AB">
              <w:rPr>
                <w:b/>
                <w:lang w:val="fr-FR"/>
              </w:rPr>
              <w:t>15</w:t>
            </w:r>
          </w:p>
          <w:p w:rsidR="00084EAF" w:rsidRPr="00C005AB" w:rsidRDefault="00084EAF" w:rsidP="00084EAF">
            <w:pPr>
              <w:spacing w:line="276" w:lineRule="auto"/>
              <w:jc w:val="center"/>
              <w:rPr>
                <w:lang w:val="fr-FR"/>
              </w:rPr>
            </w:pPr>
            <w:r w:rsidRPr="00C005AB">
              <w:rPr>
                <w:lang w:val="fr-FR"/>
              </w:rPr>
              <w:t>5</w:t>
            </w:r>
          </w:p>
          <w:p w:rsidR="00084EAF" w:rsidRPr="00C005AB" w:rsidRDefault="00084EAF" w:rsidP="00084EAF">
            <w:pPr>
              <w:spacing w:line="276" w:lineRule="auto"/>
              <w:jc w:val="center"/>
              <w:rPr>
                <w:lang w:val="fr-FR"/>
              </w:rPr>
            </w:pPr>
            <w:r w:rsidRPr="00C005AB">
              <w:rPr>
                <w:lang w:val="fr-FR"/>
              </w:rPr>
              <w:t>5</w:t>
            </w:r>
          </w:p>
          <w:p w:rsidR="00084EAF" w:rsidRPr="00C005AB" w:rsidRDefault="00084EAF" w:rsidP="00084EAF">
            <w:pPr>
              <w:spacing w:line="276" w:lineRule="auto"/>
              <w:jc w:val="center"/>
              <w:rPr>
                <w:lang w:val="fr-FR"/>
              </w:rPr>
            </w:pPr>
            <w:r w:rsidRPr="00C005AB">
              <w:rPr>
                <w:lang w:val="fr-FR"/>
              </w:rPr>
              <w:t>5</w:t>
            </w: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Pertinence de la compréhension de la mission</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Qualité et cohérence de l'approche proposée</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tcPr>
          <w:p w:rsidR="00084EAF" w:rsidRPr="00C005AB" w:rsidRDefault="00084EAF" w:rsidP="00084EAF">
            <w:pPr>
              <w:spacing w:line="360" w:lineRule="auto"/>
              <w:rPr>
                <w:lang w:val="fr-FR"/>
              </w:rPr>
            </w:pPr>
          </w:p>
        </w:tc>
        <w:tc>
          <w:tcPr>
            <w:tcW w:w="4819" w:type="dxa"/>
          </w:tcPr>
          <w:p w:rsidR="00084EAF" w:rsidRPr="00C005AB" w:rsidRDefault="00084EAF" w:rsidP="00084EAF">
            <w:pPr>
              <w:spacing w:line="276" w:lineRule="auto"/>
              <w:rPr>
                <w:lang w:val="fr-FR"/>
              </w:rPr>
            </w:pPr>
            <w:r w:rsidRPr="00C005AB">
              <w:rPr>
                <w:lang w:val="fr-FR"/>
              </w:rPr>
              <w:t>Réalisme du plan d'intervention</w:t>
            </w:r>
          </w:p>
        </w:tc>
        <w:tc>
          <w:tcPr>
            <w:tcW w:w="993" w:type="dxa"/>
            <w:vMerge/>
            <w:vAlign w:val="center"/>
          </w:tcPr>
          <w:p w:rsidR="00084EAF" w:rsidRPr="00C005AB" w:rsidRDefault="00084EAF" w:rsidP="00084EAF">
            <w:pPr>
              <w:spacing w:line="276" w:lineRule="auto"/>
              <w:jc w:val="center"/>
              <w:rPr>
                <w:lang w:val="fr-FR"/>
              </w:rPr>
            </w:pPr>
          </w:p>
        </w:tc>
      </w:tr>
      <w:tr w:rsidR="00084EAF" w:rsidRPr="00C005AB" w:rsidTr="00084EAF">
        <w:trPr>
          <w:jc w:val="center"/>
        </w:trPr>
        <w:tc>
          <w:tcPr>
            <w:tcW w:w="3227" w:type="dxa"/>
            <w:vMerge w:val="restart"/>
            <w:shd w:val="clear" w:color="auto" w:fill="D9E2F3"/>
          </w:tcPr>
          <w:p w:rsidR="00084EAF" w:rsidRPr="00C005AB" w:rsidRDefault="00084EAF" w:rsidP="00084EAF">
            <w:pPr>
              <w:spacing w:line="360" w:lineRule="auto"/>
              <w:rPr>
                <w:lang w:val="fr-FR"/>
              </w:rPr>
            </w:pPr>
            <w:r w:rsidRPr="00C005AB">
              <w:rPr>
                <w:b/>
                <w:lang w:val="fr-FR"/>
              </w:rPr>
              <w:t xml:space="preserve">6. Connaissance </w:t>
            </w:r>
            <w:r w:rsidR="00C656D6" w:rsidRPr="00C005AB">
              <w:rPr>
                <w:b/>
                <w:lang w:val="fr-FR"/>
              </w:rPr>
              <w:t xml:space="preserve">démontré </w:t>
            </w:r>
            <w:r w:rsidRPr="00C005AB">
              <w:rPr>
                <w:b/>
                <w:lang w:val="fr-FR"/>
              </w:rPr>
              <w:t>de l'approche de graduation</w:t>
            </w:r>
          </w:p>
        </w:tc>
        <w:tc>
          <w:tcPr>
            <w:tcW w:w="4819" w:type="dxa"/>
            <w:shd w:val="clear" w:color="auto" w:fill="D9E2F3"/>
          </w:tcPr>
          <w:p w:rsidR="00084EAF" w:rsidRPr="00C005AB" w:rsidRDefault="00084EAF" w:rsidP="00084EAF">
            <w:pPr>
              <w:spacing w:line="276" w:lineRule="auto"/>
              <w:rPr>
                <w:lang w:val="fr-FR"/>
              </w:rPr>
            </w:pPr>
          </w:p>
        </w:tc>
        <w:tc>
          <w:tcPr>
            <w:tcW w:w="993" w:type="dxa"/>
            <w:vMerge w:val="restart"/>
            <w:shd w:val="clear" w:color="auto" w:fill="D9E2F3"/>
            <w:vAlign w:val="center"/>
          </w:tcPr>
          <w:p w:rsidR="00084EAF" w:rsidRPr="00C005AB" w:rsidRDefault="00084EAF" w:rsidP="00084EAF">
            <w:pPr>
              <w:spacing w:line="276" w:lineRule="auto"/>
              <w:jc w:val="center"/>
              <w:rPr>
                <w:lang w:val="fr-FR"/>
              </w:rPr>
            </w:pPr>
            <w:r w:rsidRPr="00C005AB">
              <w:rPr>
                <w:b/>
                <w:lang w:val="fr-FR"/>
              </w:rPr>
              <w:t>5</w:t>
            </w:r>
          </w:p>
          <w:p w:rsidR="00084EAF" w:rsidRPr="00C005AB" w:rsidRDefault="00084EAF" w:rsidP="00084EAF">
            <w:pPr>
              <w:spacing w:line="276" w:lineRule="auto"/>
              <w:jc w:val="center"/>
              <w:rPr>
                <w:lang w:val="fr-FR"/>
              </w:rPr>
            </w:pPr>
            <w:r w:rsidRPr="00C005AB">
              <w:rPr>
                <w:lang w:val="fr-FR"/>
              </w:rPr>
              <w:t>0</w:t>
            </w:r>
          </w:p>
          <w:p w:rsidR="00084EAF" w:rsidRPr="00C005AB" w:rsidRDefault="00084EAF" w:rsidP="00084EAF">
            <w:pPr>
              <w:spacing w:line="276" w:lineRule="auto"/>
              <w:jc w:val="center"/>
              <w:rPr>
                <w:lang w:val="fr-FR"/>
              </w:rPr>
            </w:pPr>
            <w:r w:rsidRPr="00C005AB">
              <w:rPr>
                <w:lang w:val="fr-FR"/>
              </w:rPr>
              <w:t>5</w:t>
            </w:r>
          </w:p>
        </w:tc>
      </w:tr>
      <w:tr w:rsidR="00084EAF" w:rsidRPr="00C005AB" w:rsidTr="00084EAF">
        <w:trPr>
          <w:jc w:val="center"/>
        </w:trPr>
        <w:tc>
          <w:tcPr>
            <w:tcW w:w="3227" w:type="dxa"/>
            <w:vMerge/>
          </w:tcPr>
          <w:p w:rsidR="00084EAF" w:rsidRPr="00C005AB" w:rsidRDefault="00084EAF" w:rsidP="00084EAF">
            <w:pPr>
              <w:spacing w:line="276" w:lineRule="auto"/>
              <w:rPr>
                <w:lang w:val="fr-FR"/>
              </w:rPr>
            </w:pPr>
          </w:p>
        </w:tc>
        <w:tc>
          <w:tcPr>
            <w:tcW w:w="4819" w:type="dxa"/>
          </w:tcPr>
          <w:p w:rsidR="00084EAF" w:rsidRPr="00C005AB" w:rsidRDefault="00084EAF" w:rsidP="00084EAF">
            <w:pPr>
              <w:spacing w:line="276" w:lineRule="auto"/>
              <w:rPr>
                <w:lang w:val="fr-FR"/>
              </w:rPr>
            </w:pPr>
            <w:r w:rsidRPr="00C005AB">
              <w:rPr>
                <w:lang w:val="fr-FR"/>
              </w:rPr>
              <w:t>Non démontré</w:t>
            </w:r>
          </w:p>
        </w:tc>
        <w:tc>
          <w:tcPr>
            <w:tcW w:w="993" w:type="dxa"/>
            <w:vMerge/>
          </w:tcPr>
          <w:p w:rsidR="00084EAF" w:rsidRPr="00C005AB" w:rsidRDefault="00084EAF" w:rsidP="00084EAF">
            <w:pPr>
              <w:spacing w:line="276" w:lineRule="auto"/>
              <w:rPr>
                <w:lang w:val="fr-FR"/>
              </w:rPr>
            </w:pPr>
          </w:p>
        </w:tc>
      </w:tr>
      <w:tr w:rsidR="00084EAF" w:rsidRPr="00C005AB" w:rsidTr="00084EAF">
        <w:trPr>
          <w:jc w:val="center"/>
        </w:trPr>
        <w:tc>
          <w:tcPr>
            <w:tcW w:w="3227" w:type="dxa"/>
            <w:vMerge/>
          </w:tcPr>
          <w:p w:rsidR="00084EAF" w:rsidRPr="00C005AB" w:rsidRDefault="00084EAF" w:rsidP="00084EAF">
            <w:pPr>
              <w:spacing w:line="276" w:lineRule="auto"/>
              <w:rPr>
                <w:lang w:val="fr-FR"/>
              </w:rPr>
            </w:pPr>
          </w:p>
        </w:tc>
        <w:tc>
          <w:tcPr>
            <w:tcW w:w="4819" w:type="dxa"/>
          </w:tcPr>
          <w:p w:rsidR="00084EAF" w:rsidRPr="00C005AB" w:rsidRDefault="00084EAF" w:rsidP="00084EAF">
            <w:pPr>
              <w:spacing w:line="276" w:lineRule="auto"/>
              <w:rPr>
                <w:lang w:val="fr-FR"/>
              </w:rPr>
            </w:pPr>
            <w:r w:rsidRPr="00C005AB">
              <w:rPr>
                <w:lang w:val="fr-FR"/>
              </w:rPr>
              <w:t xml:space="preserve">Démontré </w:t>
            </w:r>
          </w:p>
        </w:tc>
        <w:tc>
          <w:tcPr>
            <w:tcW w:w="993" w:type="dxa"/>
            <w:vMerge/>
          </w:tcPr>
          <w:p w:rsidR="00084EAF" w:rsidRPr="00C005AB" w:rsidRDefault="00084EAF" w:rsidP="00084EAF">
            <w:pPr>
              <w:spacing w:line="276" w:lineRule="auto"/>
              <w:rPr>
                <w:lang w:val="fr-FR"/>
              </w:rPr>
            </w:pPr>
          </w:p>
        </w:tc>
      </w:tr>
      <w:tr w:rsidR="00D40A8C" w:rsidRPr="00C005AB" w:rsidTr="00D87004">
        <w:trPr>
          <w:jc w:val="center"/>
        </w:trPr>
        <w:tc>
          <w:tcPr>
            <w:tcW w:w="8046" w:type="dxa"/>
            <w:gridSpan w:val="2"/>
            <w:shd w:val="clear" w:color="auto" w:fill="D9E2F3"/>
          </w:tcPr>
          <w:p w:rsidR="00D40A8C" w:rsidRPr="00C005AB" w:rsidRDefault="00D40A8C" w:rsidP="00084EAF">
            <w:pPr>
              <w:spacing w:line="276" w:lineRule="auto"/>
              <w:rPr>
                <w:lang w:val="fr-FR"/>
              </w:rPr>
            </w:pPr>
            <w:r w:rsidRPr="00C005AB">
              <w:rPr>
                <w:b/>
                <w:lang w:val="fr-FR"/>
              </w:rPr>
              <w:t>TOTAL</w:t>
            </w:r>
          </w:p>
        </w:tc>
        <w:tc>
          <w:tcPr>
            <w:tcW w:w="993" w:type="dxa"/>
            <w:shd w:val="clear" w:color="auto" w:fill="D9E2F3"/>
          </w:tcPr>
          <w:p w:rsidR="00D40A8C" w:rsidRPr="00C005AB" w:rsidRDefault="00D40A8C" w:rsidP="00D40A8C">
            <w:pPr>
              <w:spacing w:line="276" w:lineRule="auto"/>
              <w:jc w:val="center"/>
              <w:rPr>
                <w:lang w:val="fr-FR"/>
              </w:rPr>
            </w:pPr>
            <w:r w:rsidRPr="00C005AB">
              <w:rPr>
                <w:b/>
                <w:lang w:val="fr-FR"/>
              </w:rPr>
              <w:t>100</w:t>
            </w:r>
          </w:p>
        </w:tc>
      </w:tr>
    </w:tbl>
    <w:p w:rsidR="00134CE6" w:rsidRPr="00C005AB" w:rsidRDefault="00E5657E" w:rsidP="009B77C4">
      <w:pPr>
        <w:spacing w:before="120" w:after="120" w:line="360" w:lineRule="auto"/>
        <w:jc w:val="both"/>
        <w:rPr>
          <w:lang w:val="fr-FR"/>
        </w:rPr>
      </w:pPr>
      <w:r w:rsidRPr="00C005AB">
        <w:rPr>
          <w:lang w:val="fr-FR"/>
        </w:rPr>
        <w:t xml:space="preserve">Les consultants seront sélectionnés selon la méthode de sélection de consultants individuels exposée dans le Guide pratique de passation des marchés du FIDA, consultable à l'adresse : </w:t>
      </w:r>
      <w:hyperlink r:id="rId13" w:history="1">
        <w:r w:rsidR="00DF39F8" w:rsidRPr="00C005AB">
          <w:rPr>
            <w:rStyle w:val="Lienhypertexte"/>
            <w:lang w:val="fr-FR"/>
          </w:rPr>
          <w:t>https://www.ifad.org/fr/project-procurement</w:t>
        </w:r>
      </w:hyperlink>
      <w:r w:rsidRPr="00C005AB">
        <w:rPr>
          <w:lang w:val="fr-FR"/>
        </w:rPr>
        <w:t>. Des entretiens pourront être organisés dans le cadre du processus de sélection.</w:t>
      </w:r>
    </w:p>
    <w:p w:rsidR="00134CE6" w:rsidRPr="00C005AB" w:rsidRDefault="00E5657E" w:rsidP="00DF39F8">
      <w:pPr>
        <w:spacing w:before="240" w:after="120" w:line="360" w:lineRule="auto"/>
        <w:rPr>
          <w:lang w:val="fr-FR"/>
        </w:rPr>
      </w:pPr>
      <w:r w:rsidRPr="00C005AB">
        <w:rPr>
          <w:b/>
          <w:color w:val="00467F"/>
          <w:sz w:val="26"/>
          <w:lang w:val="fr-FR"/>
        </w:rPr>
        <w:t>5. DISPOSITIONS ÉTHIQUES ET RÉGLEMENTAIRES</w:t>
      </w:r>
    </w:p>
    <w:p w:rsidR="00134CE6" w:rsidRPr="00C005AB" w:rsidRDefault="00E5657E" w:rsidP="00DF39F8">
      <w:pPr>
        <w:spacing w:after="120" w:line="360" w:lineRule="auto"/>
        <w:jc w:val="both"/>
        <w:rPr>
          <w:lang w:val="fr-FR"/>
        </w:rPr>
      </w:pPr>
      <w:r w:rsidRPr="00C005AB">
        <w:rPr>
          <w:lang w:val="fr-FR"/>
        </w:rPr>
        <w:t>Nous attirons l'attention des consultants intéressés sur la Politique du FIDA en matière de lutte contre le blanchiment de capitaux et le financement du terrorisme ainsi que sur la Politique révisée du FIDA en matière de prévention de la fraude et de la corruption dans ses activités et opérations.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w:t>
      </w:r>
    </w:p>
    <w:p w:rsidR="00134CE6" w:rsidRPr="00C005AB" w:rsidRDefault="00E5657E" w:rsidP="00DF39F8">
      <w:pPr>
        <w:spacing w:after="120" w:line="360" w:lineRule="auto"/>
        <w:jc w:val="both"/>
        <w:rPr>
          <w:lang w:val="fr-FR"/>
        </w:rPr>
      </w:pPr>
      <w:r w:rsidRPr="00C005AB">
        <w:rPr>
          <w:lang w:val="fr-FR"/>
        </w:rPr>
        <w:t>Les consultants intéressés ne peuvent être en situation de conflit d'intérêts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client ou du personnel de ce dernier, avec le Fonds ou ses agents, ou avec quiconque a pris ou pourrait raisonnablement prendre part, directement ou indirectement, à l'établissement du présent appel à manifestation d'intérêt, au processus de sélection pour le marché concerné, ou à l'exécution dudit marché.</w:t>
      </w:r>
    </w:p>
    <w:p w:rsidR="00134CE6" w:rsidRPr="00C005AB" w:rsidRDefault="00E5657E" w:rsidP="00DF39F8">
      <w:pPr>
        <w:spacing w:after="120" w:line="360" w:lineRule="auto"/>
        <w:jc w:val="both"/>
        <w:rPr>
          <w:lang w:val="fr-FR"/>
        </w:rPr>
      </w:pPr>
      <w:r w:rsidRPr="00C005AB">
        <w:rPr>
          <w:lang w:val="fr-FR"/>
        </w:rPr>
        <w:t>Les consultants sont en permanence tenus de faire état de toute situation de conflit d'intérêts réel, potentiel ou raisonnablement perceptible comme tel qui apparaîtrait lors de l'établissement de la manifestation d'intérêt, du processus de sélection ou de l'exécution du marché. La non-divulgation de telles situations peut notamment entraîner l'exclusion du consultant, la résiliation du marché ou toute autre mesure appropriée en application de la Politique du FIDA en matière de prévention de la fraude et de la corruption dans le cadre de ses activités et opérations.</w:t>
      </w:r>
    </w:p>
    <w:p w:rsidR="00134CE6" w:rsidRPr="00C005AB" w:rsidRDefault="00E5657E" w:rsidP="00DF39F8">
      <w:pPr>
        <w:spacing w:after="120" w:line="360" w:lineRule="auto"/>
        <w:jc w:val="both"/>
        <w:rPr>
          <w:lang w:val="fr-FR"/>
        </w:rPr>
      </w:pPr>
      <w:r w:rsidRPr="00C005AB">
        <w:rPr>
          <w:lang w:val="fr-FR"/>
        </w:rPr>
        <w:t>Aucun membre du conseil d'administration du client ni aucun membre du personnel qu'il emploie actuellement ne peut être proposé pour travailler, ni travailler, ni comme consultant ni pour le compte d'un consultant. En soumettant leur manifestation d'intérêt, les consultants certifient avoir lu et compris la Politique de confidentialité du FIDA, et acceptent d'être liés par celle-ci.</w:t>
      </w:r>
    </w:p>
    <w:p w:rsidR="00134CE6" w:rsidRPr="00C005AB" w:rsidRDefault="00E5657E" w:rsidP="00285B45">
      <w:pPr>
        <w:spacing w:before="240" w:after="120" w:line="360" w:lineRule="auto"/>
        <w:rPr>
          <w:lang w:val="fr-FR"/>
        </w:rPr>
      </w:pPr>
      <w:r w:rsidRPr="00C005AB">
        <w:rPr>
          <w:b/>
          <w:color w:val="00467F"/>
          <w:sz w:val="26"/>
          <w:lang w:val="fr-FR"/>
        </w:rPr>
        <w:t>6. MODALITÉS DE SOUMISSION</w:t>
      </w:r>
    </w:p>
    <w:p w:rsidR="00651D73" w:rsidRDefault="00651D73" w:rsidP="00651D73">
      <w:pPr>
        <w:spacing w:after="120" w:line="360" w:lineRule="auto"/>
        <w:jc w:val="both"/>
        <w:rPr>
          <w:lang w:val="fr-FR"/>
        </w:rPr>
      </w:pPr>
      <w:r w:rsidRPr="00651D73">
        <w:rPr>
          <w:lang w:val="fr-FR"/>
        </w:rPr>
        <w:t>Toute demande d’éclaircissements concernant le présent appel à manifestation devra être envoyée par courriel à l’adresse ci-après</w:t>
      </w:r>
      <w:r>
        <w:rPr>
          <w:lang w:val="fr-FR"/>
        </w:rPr>
        <w:t xml:space="preserve"> : </w:t>
      </w:r>
      <w:hyperlink r:id="rId14" w:history="1">
        <w:r w:rsidR="005F3537" w:rsidRPr="00F05912">
          <w:rPr>
            <w:rStyle w:val="Lienhypertexte"/>
            <w:lang w:val="fr-FR"/>
          </w:rPr>
          <w:t>meyadad@gmail.com</w:t>
        </w:r>
      </w:hyperlink>
      <w:r>
        <w:rPr>
          <w:lang w:val="fr-FR"/>
        </w:rPr>
        <w:t xml:space="preserve">le 27/02/2026 </w:t>
      </w:r>
      <w:r w:rsidRPr="00651D73">
        <w:rPr>
          <w:lang w:val="fr-FR"/>
        </w:rPr>
        <w:t xml:space="preserve">au plustard.Le client répondra à toutes les demandes d’éclaircissements avant le </w:t>
      </w:r>
      <w:r>
        <w:rPr>
          <w:lang w:val="fr-FR"/>
        </w:rPr>
        <w:t>03/03/2026.</w:t>
      </w:r>
    </w:p>
    <w:p w:rsidR="00134CE6" w:rsidRDefault="00E5657E" w:rsidP="009B77C4">
      <w:pPr>
        <w:spacing w:after="120" w:line="360" w:lineRule="auto"/>
        <w:jc w:val="both"/>
        <w:rPr>
          <w:lang w:val="fr-FR"/>
        </w:rPr>
      </w:pPr>
      <w:r w:rsidRPr="00C005AB">
        <w:rPr>
          <w:lang w:val="fr-FR"/>
        </w:rPr>
        <w:t xml:space="preserve">Les manifestations d'intérêt, présentées sous la forme d'un curriculum vitæ détaillé accompagné de toutes les pièces justificatives requises, </w:t>
      </w:r>
      <w:r w:rsidR="009B77C4">
        <w:rPr>
          <w:lang w:val="fr-FR"/>
        </w:rPr>
        <w:t xml:space="preserve">doivent </w:t>
      </w:r>
      <w:r w:rsidR="00C005AB" w:rsidRPr="00C005AB">
        <w:rPr>
          <w:lang w:val="fr-FR"/>
        </w:rPr>
        <w:t xml:space="preserve">parvenir à l'UTSS sous pli fermé, par courrier recommandé ou remis directement au Bureau d'Ordre du CRSS Kairouan au plus tard le </w:t>
      </w:r>
      <w:r w:rsidR="009B77C4">
        <w:rPr>
          <w:lang w:val="fr-FR"/>
        </w:rPr>
        <w:t>06</w:t>
      </w:r>
      <w:r w:rsidR="00C005AB" w:rsidRPr="00C005AB">
        <w:rPr>
          <w:lang w:val="fr-FR"/>
        </w:rPr>
        <w:t>/0</w:t>
      </w:r>
      <w:r w:rsidR="009B77C4">
        <w:rPr>
          <w:lang w:val="fr-FR"/>
        </w:rPr>
        <w:t>3</w:t>
      </w:r>
      <w:r w:rsidR="00C005AB" w:rsidRPr="00C005AB">
        <w:rPr>
          <w:lang w:val="fr-FR"/>
        </w:rPr>
        <w:t>/2026 avant 1</w:t>
      </w:r>
      <w:r w:rsidR="009B77C4">
        <w:rPr>
          <w:lang w:val="fr-FR"/>
        </w:rPr>
        <w:t>2</w:t>
      </w:r>
      <w:r w:rsidR="00C005AB" w:rsidRPr="00C005AB">
        <w:rPr>
          <w:lang w:val="fr-FR"/>
        </w:rPr>
        <w:t xml:space="preserve">H00 à l'adresse suivante : </w:t>
      </w:r>
    </w:p>
    <w:p w:rsidR="009B77C4" w:rsidRDefault="009B77C4" w:rsidP="009B77C4">
      <w:pPr>
        <w:spacing w:after="120" w:line="360" w:lineRule="auto"/>
        <w:jc w:val="both"/>
        <w:rPr>
          <w:lang w:val="fr-FR"/>
        </w:rPr>
      </w:pPr>
    </w:p>
    <w:p w:rsidR="009B77C4" w:rsidRPr="00C005AB" w:rsidRDefault="009B77C4" w:rsidP="009B77C4">
      <w:pPr>
        <w:spacing w:after="120" w:line="360" w:lineRule="auto"/>
        <w:jc w:val="both"/>
        <w:rPr>
          <w:lang w:val="fr-FR"/>
        </w:rPr>
      </w:pPr>
    </w:p>
    <w:tbl>
      <w:tblPr>
        <w:tblStyle w:val="Grilledutableau"/>
        <w:tblW w:w="0" w:type="auto"/>
        <w:jc w:val="center"/>
        <w:tblLook w:val="04A0" w:firstRow="1" w:lastRow="0" w:firstColumn="1" w:lastColumn="0" w:noHBand="0" w:noVBand="1"/>
      </w:tblPr>
      <w:tblGrid>
        <w:gridCol w:w="9072"/>
      </w:tblGrid>
      <w:tr w:rsidR="00134CE6" w:rsidRPr="00C005AB">
        <w:trPr>
          <w:jc w:val="center"/>
        </w:trPr>
        <w:tc>
          <w:tcPr>
            <w:tcW w:w="9072" w:type="dxa"/>
            <w:shd w:val="clear" w:color="auto" w:fill="EBF0FA"/>
          </w:tcPr>
          <w:p w:rsidR="00134CE6" w:rsidRDefault="009B77C4" w:rsidP="009B77C4">
            <w:pPr>
              <w:spacing w:before="120" w:after="120" w:line="360" w:lineRule="auto"/>
              <w:jc w:val="center"/>
              <w:rPr>
                <w:b/>
                <w:lang w:val="fr-FR"/>
              </w:rPr>
            </w:pPr>
            <w:r>
              <w:rPr>
                <w:b/>
                <w:lang w:val="fr-FR"/>
              </w:rPr>
              <w:t>Comité</w:t>
            </w:r>
            <w:r w:rsidR="00285B45" w:rsidRPr="00C005AB">
              <w:rPr>
                <w:b/>
                <w:lang w:val="fr-FR"/>
              </w:rPr>
              <w:t xml:space="preserve"> Régional de Solidarité Sociale </w:t>
            </w:r>
            <w:r>
              <w:rPr>
                <w:b/>
                <w:lang w:val="fr-FR"/>
              </w:rPr>
              <w:t>de</w:t>
            </w:r>
            <w:r w:rsidR="00285B45" w:rsidRPr="00C005AB">
              <w:rPr>
                <w:b/>
                <w:lang w:val="fr-FR"/>
              </w:rPr>
              <w:t xml:space="preserve"> Kairouan (CRSS</w:t>
            </w:r>
            <w:r>
              <w:rPr>
                <w:b/>
                <w:lang w:val="fr-FR"/>
              </w:rPr>
              <w:t xml:space="preserve"> Kairouan</w:t>
            </w:r>
            <w:r w:rsidR="00285B45" w:rsidRPr="00C005AB">
              <w:rPr>
                <w:b/>
                <w:lang w:val="fr-FR"/>
              </w:rPr>
              <w:t>)</w:t>
            </w:r>
          </w:p>
          <w:p w:rsidR="00134CE6" w:rsidRPr="00C005AB" w:rsidRDefault="00E5657E" w:rsidP="009B77C4">
            <w:pPr>
              <w:spacing w:before="120" w:after="120" w:line="360" w:lineRule="auto"/>
              <w:jc w:val="center"/>
              <w:rPr>
                <w:lang w:val="fr-FR"/>
              </w:rPr>
            </w:pPr>
            <w:r w:rsidRPr="00C005AB">
              <w:rPr>
                <w:lang w:val="fr-FR"/>
              </w:rPr>
              <w:t xml:space="preserve">À l'attention de : </w:t>
            </w:r>
            <w:r w:rsidR="009B77C4">
              <w:rPr>
                <w:lang w:val="fr-FR"/>
              </w:rPr>
              <w:t>M. L’administrateur Régional</w:t>
            </w:r>
          </w:p>
          <w:p w:rsidR="00134CE6" w:rsidRDefault="00E5657E" w:rsidP="009B77C4">
            <w:pPr>
              <w:spacing w:before="120" w:after="120" w:line="360" w:lineRule="auto"/>
              <w:jc w:val="center"/>
              <w:rPr>
                <w:lang w:val="fr-FR"/>
              </w:rPr>
            </w:pPr>
            <w:r w:rsidRPr="00C005AB">
              <w:rPr>
                <w:lang w:val="fr-FR"/>
              </w:rPr>
              <w:t xml:space="preserve">Adresse : </w:t>
            </w:r>
            <w:r w:rsidR="009B77C4" w:rsidRPr="00C005AB">
              <w:rPr>
                <w:lang w:val="fr-FR"/>
              </w:rPr>
              <w:t>Avenue Abi Zamaa El Balaoui Kairouan 3100 BP 89.</w:t>
            </w:r>
          </w:p>
          <w:p w:rsidR="00651D73" w:rsidRDefault="00651D73" w:rsidP="00651D73">
            <w:pPr>
              <w:spacing w:before="120" w:after="120" w:line="360" w:lineRule="auto"/>
              <w:jc w:val="center"/>
              <w:rPr>
                <w:lang w:val="fr-FR"/>
              </w:rPr>
            </w:pPr>
            <w:r>
              <w:rPr>
                <w:lang w:val="fr-FR"/>
              </w:rPr>
              <w:t>Téléphone : 58 315 620</w:t>
            </w:r>
          </w:p>
          <w:p w:rsidR="005F3537" w:rsidRPr="00C005AB" w:rsidRDefault="00651D73" w:rsidP="003E3E1F">
            <w:pPr>
              <w:spacing w:before="120" w:after="120" w:line="360" w:lineRule="auto"/>
              <w:jc w:val="center"/>
              <w:rPr>
                <w:lang w:val="fr-FR"/>
              </w:rPr>
            </w:pPr>
            <w:r>
              <w:rPr>
                <w:lang w:val="fr-FR"/>
              </w:rPr>
              <w:t>Fax : 77 226 521</w:t>
            </w:r>
            <w:bookmarkStart w:id="0" w:name="_GoBack"/>
            <w:bookmarkEnd w:id="0"/>
          </w:p>
        </w:tc>
      </w:tr>
    </w:tbl>
    <w:p w:rsidR="00134CE6" w:rsidRPr="00C005AB" w:rsidRDefault="00134CE6">
      <w:pPr>
        <w:rPr>
          <w:lang w:val="fr-FR"/>
        </w:rPr>
      </w:pPr>
    </w:p>
    <w:p w:rsidR="00134CE6" w:rsidRPr="00C005AB" w:rsidRDefault="00E5657E" w:rsidP="00285B45">
      <w:pPr>
        <w:spacing w:before="240" w:after="120" w:line="360" w:lineRule="auto"/>
        <w:jc w:val="both"/>
        <w:rPr>
          <w:lang w:val="fr-FR"/>
        </w:rPr>
      </w:pPr>
      <w:r w:rsidRPr="00C005AB">
        <w:rPr>
          <w:b/>
          <w:color w:val="00467F"/>
          <w:sz w:val="26"/>
          <w:lang w:val="fr-FR"/>
        </w:rPr>
        <w:t>7. DOCUMENTS À FOURNIR PAR LES CANDIDATS</w:t>
      </w:r>
    </w:p>
    <w:p w:rsidR="00134CE6" w:rsidRPr="00C005AB" w:rsidRDefault="00E5657E" w:rsidP="009B77C4">
      <w:pPr>
        <w:spacing w:after="120" w:line="360" w:lineRule="auto"/>
        <w:jc w:val="both"/>
        <w:rPr>
          <w:lang w:val="fr-FR"/>
        </w:rPr>
      </w:pPr>
      <w:r w:rsidRPr="00C005AB">
        <w:rPr>
          <w:lang w:val="fr-FR"/>
        </w:rPr>
        <w:t>Les candidats sont invités à soumettre un dossier complet comprenant les documents suivants :</w:t>
      </w:r>
    </w:p>
    <w:p w:rsidR="00134CE6" w:rsidRPr="00C005AB" w:rsidRDefault="00E5657E" w:rsidP="009B77C4">
      <w:pPr>
        <w:pStyle w:val="Listepuces"/>
        <w:numPr>
          <w:ilvl w:val="0"/>
          <w:numId w:val="10"/>
        </w:numPr>
        <w:spacing w:after="60" w:line="360" w:lineRule="auto"/>
        <w:jc w:val="both"/>
        <w:rPr>
          <w:lang w:val="fr-FR"/>
        </w:rPr>
      </w:pPr>
      <w:r w:rsidRPr="00C005AB">
        <w:rPr>
          <w:lang w:val="fr-FR"/>
        </w:rPr>
        <w:t>Un curriculum vitæ détaillé et signé, présentant les qualifications académiques, l'expérience professionnelle générale et les missions spécifiques pertinentes.</w:t>
      </w:r>
    </w:p>
    <w:p w:rsidR="002D6C81" w:rsidRPr="00C005AB" w:rsidRDefault="002D6C81" w:rsidP="009B77C4">
      <w:pPr>
        <w:pStyle w:val="Listepuces"/>
        <w:numPr>
          <w:ilvl w:val="0"/>
          <w:numId w:val="10"/>
        </w:numPr>
        <w:spacing w:after="60" w:line="360" w:lineRule="auto"/>
        <w:jc w:val="both"/>
        <w:rPr>
          <w:lang w:val="fr-FR"/>
        </w:rPr>
      </w:pPr>
      <w:r w:rsidRPr="00C005AB">
        <w:rPr>
          <w:lang w:val="fr-FR"/>
        </w:rPr>
        <w:t>Une note méthodologique (5 à 10 pages maximum) présentant la compréhension du candidat de la mission, son approche proposée pour la phase de consolidation et de clôture du projet, ainsi que son plan d'intervention pour les principaux axes de la mission.</w:t>
      </w:r>
    </w:p>
    <w:p w:rsidR="00134CE6" w:rsidRPr="00C005AB" w:rsidRDefault="00E5657E" w:rsidP="009B77C4">
      <w:pPr>
        <w:pStyle w:val="Listepuces"/>
        <w:numPr>
          <w:ilvl w:val="0"/>
          <w:numId w:val="10"/>
        </w:numPr>
        <w:spacing w:after="60" w:line="360" w:lineRule="auto"/>
        <w:jc w:val="both"/>
        <w:rPr>
          <w:lang w:val="fr-FR"/>
        </w:rPr>
      </w:pPr>
      <w:r w:rsidRPr="00C005AB">
        <w:rPr>
          <w:lang w:val="fr-FR"/>
        </w:rPr>
        <w:t>Les copies des diplômes et attestations de formation.</w:t>
      </w:r>
    </w:p>
    <w:p w:rsidR="00134CE6" w:rsidRPr="00C005AB" w:rsidRDefault="00E5657E" w:rsidP="009B77C4">
      <w:pPr>
        <w:pStyle w:val="Listepuces"/>
        <w:numPr>
          <w:ilvl w:val="0"/>
          <w:numId w:val="10"/>
        </w:numPr>
        <w:spacing w:after="60" w:line="360" w:lineRule="auto"/>
        <w:jc w:val="both"/>
        <w:rPr>
          <w:lang w:val="fr-FR"/>
        </w:rPr>
      </w:pPr>
      <w:r w:rsidRPr="00C005AB">
        <w:rPr>
          <w:lang w:val="fr-FR"/>
        </w:rPr>
        <w:t>La liste des références de missions similaires, accompagnée des pièces justificatives (contrats, attestations de bonne exécution, bons de commande).</w:t>
      </w:r>
    </w:p>
    <w:p w:rsidR="00134CE6" w:rsidRPr="00C005AB" w:rsidRDefault="00E5657E" w:rsidP="009B77C4">
      <w:pPr>
        <w:pStyle w:val="Listepuces"/>
        <w:numPr>
          <w:ilvl w:val="0"/>
          <w:numId w:val="10"/>
        </w:numPr>
        <w:spacing w:after="60" w:line="360" w:lineRule="auto"/>
        <w:jc w:val="both"/>
        <w:rPr>
          <w:lang w:val="fr-FR"/>
        </w:rPr>
      </w:pPr>
      <w:r w:rsidRPr="00C005AB">
        <w:rPr>
          <w:lang w:val="fr-FR"/>
        </w:rPr>
        <w:t>Toute autre pièce jugée utile pour attester des compétences et de l'expérience du candidat.</w:t>
      </w:r>
    </w:p>
    <w:p w:rsidR="00C656D6" w:rsidRPr="00C005AB" w:rsidRDefault="00C656D6" w:rsidP="00C656D6">
      <w:pPr>
        <w:pStyle w:val="Listepuces"/>
        <w:numPr>
          <w:ilvl w:val="0"/>
          <w:numId w:val="0"/>
        </w:numPr>
        <w:spacing w:after="60" w:line="360" w:lineRule="auto"/>
        <w:ind w:left="720"/>
        <w:jc w:val="both"/>
        <w:rPr>
          <w:lang w:val="fr-FR"/>
        </w:rPr>
      </w:pPr>
    </w:p>
    <w:p w:rsidR="009B77C4" w:rsidRDefault="009B77C4" w:rsidP="005F3537">
      <w:pPr>
        <w:pStyle w:val="Listepuces"/>
        <w:numPr>
          <w:ilvl w:val="0"/>
          <w:numId w:val="0"/>
        </w:numPr>
        <w:spacing w:after="60" w:line="360" w:lineRule="auto"/>
        <w:jc w:val="both"/>
        <w:rPr>
          <w:lang w:val="fr-FR"/>
        </w:rPr>
      </w:pPr>
    </w:p>
    <w:p w:rsidR="009B77C4" w:rsidRPr="00C005AB" w:rsidRDefault="009B77C4" w:rsidP="00C656D6">
      <w:pPr>
        <w:pStyle w:val="Listepuces"/>
        <w:numPr>
          <w:ilvl w:val="0"/>
          <w:numId w:val="0"/>
        </w:numPr>
        <w:spacing w:after="60" w:line="360" w:lineRule="auto"/>
        <w:ind w:left="720"/>
        <w:jc w:val="both"/>
        <w:rPr>
          <w:lang w:val="fr-FR"/>
        </w:rPr>
      </w:pPr>
    </w:p>
    <w:p w:rsidR="00134CE6" w:rsidRPr="00C005AB" w:rsidRDefault="00E5657E">
      <w:pPr>
        <w:pBdr>
          <w:top w:val="single" w:sz="6" w:space="1" w:color="00467F"/>
        </w:pBdr>
        <w:spacing w:before="360"/>
        <w:jc w:val="center"/>
        <w:rPr>
          <w:lang w:val="fr-FR"/>
        </w:rPr>
      </w:pPr>
      <w:r w:rsidRPr="00C005AB">
        <w:rPr>
          <w:i/>
          <w:color w:val="646464"/>
          <w:sz w:val="18"/>
          <w:lang w:val="fr-FR"/>
        </w:rPr>
        <w:t>L'UTSS se réserve le droit de ne pas donner suite au présent appel à manifestation d'intérêt ou de modifier les conditions de la présente consultation sans préavis ni obligation d'en justifier les motifs.</w:t>
      </w:r>
    </w:p>
    <w:sectPr w:rsidR="00134CE6" w:rsidRPr="00C005AB" w:rsidSect="00DE1C97">
      <w:headerReference w:type="default" r:id="rId15"/>
      <w:footerReference w:type="default" r:id="rId16"/>
      <w:pgSz w:w="11906" w:h="16838"/>
      <w:pgMar w:top="1417" w:right="1417" w:bottom="1417" w:left="1417"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04" w:rsidRDefault="00F47304" w:rsidP="00DE1C97">
      <w:pPr>
        <w:spacing w:after="0" w:line="240" w:lineRule="auto"/>
      </w:pPr>
      <w:r>
        <w:separator/>
      </w:r>
    </w:p>
  </w:endnote>
  <w:endnote w:type="continuationSeparator" w:id="0">
    <w:p w:rsidR="00F47304" w:rsidRDefault="00F47304" w:rsidP="00DE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88440"/>
      <w:docPartObj>
        <w:docPartGallery w:val="Page Numbers (Bottom of Page)"/>
        <w:docPartUnique/>
      </w:docPartObj>
    </w:sdtPr>
    <w:sdtEndPr/>
    <w:sdtContent>
      <w:p w:rsidR="00DE1C97" w:rsidRDefault="00A34DDB">
        <w:pPr>
          <w:pStyle w:val="Pieddepage"/>
          <w:jc w:val="center"/>
        </w:pPr>
        <w:r>
          <w:fldChar w:fldCharType="begin"/>
        </w:r>
        <w:r w:rsidR="00DE1C97">
          <w:instrText>PAGE   \* MERGEFORMAT</w:instrText>
        </w:r>
        <w:r>
          <w:fldChar w:fldCharType="separate"/>
        </w:r>
        <w:r w:rsidR="00F47304" w:rsidRPr="00F47304">
          <w:rPr>
            <w:noProof/>
            <w:lang w:val="fr-FR"/>
          </w:rPr>
          <w:t>1</w:t>
        </w:r>
        <w:r>
          <w:fldChar w:fldCharType="end"/>
        </w:r>
      </w:p>
    </w:sdtContent>
  </w:sdt>
  <w:p w:rsidR="00DE1C97" w:rsidRDefault="00DE1C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04" w:rsidRDefault="00F47304" w:rsidP="00DE1C97">
      <w:pPr>
        <w:spacing w:after="0" w:line="240" w:lineRule="auto"/>
      </w:pPr>
      <w:r>
        <w:separator/>
      </w:r>
    </w:p>
  </w:footnote>
  <w:footnote w:type="continuationSeparator" w:id="0">
    <w:p w:rsidR="00F47304" w:rsidRDefault="00F47304" w:rsidP="00DE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AB" w:rsidRDefault="00C005AB">
    <w:pPr>
      <w:pStyle w:val="En-tte"/>
    </w:pPr>
    <w:r>
      <w:rPr>
        <w:noProof/>
        <w:lang w:val="fr-FR" w:eastAsia="fr-FR"/>
      </w:rPr>
      <w:drawing>
        <wp:anchor distT="0" distB="0" distL="114300" distR="114300" simplePos="0" relativeHeight="251660288" behindDoc="0" locked="0" layoutInCell="1" allowOverlap="1">
          <wp:simplePos x="0" y="0"/>
          <wp:positionH relativeFrom="column">
            <wp:posOffset>2521585</wp:posOffset>
          </wp:positionH>
          <wp:positionV relativeFrom="paragraph">
            <wp:posOffset>-373380</wp:posOffset>
          </wp:positionV>
          <wp:extent cx="601980" cy="658495"/>
          <wp:effectExtent l="0" t="0" r="7620" b="8255"/>
          <wp:wrapSquare wrapText="bothSides"/>
          <wp:docPr id="1534769207" name="Image 1" descr="Une image contenant texte, graphism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69207" name="Image 1" descr="Une image contenant texte, graphism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01980" cy="658495"/>
                  </a:xfrm>
                  <a:prstGeom prst="rect">
                    <a:avLst/>
                  </a:prstGeom>
                </pic:spPr>
              </pic:pic>
            </a:graphicData>
          </a:graphic>
        </wp:anchor>
      </w:drawing>
    </w:r>
    <w:r w:rsidR="00F47304">
      <w:rPr>
        <w:rFonts w:ascii="Calibri" w:eastAsia="Calibri" w:hAnsi="Calibri" w:cs="Calibri"/>
        <w:noProof/>
        <w:lang w:val="fr-FR" w:eastAsia="fr-FR"/>
      </w:rPr>
      <w:pict>
        <v:rect id="Rectangle 2" o:spid="_x0000_s2049" style="position:absolute;margin-left:-70.2pt;margin-top:-37.8pt;width:593.4pt;height:67.2pt;z-index:25165619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Ej0wEAAKIDAAAOAAAAZHJzL2Uyb0RvYy54bWysU9tu2zAMfR+wfxD0vthx0zYw4hTD0g4D&#10;urVYtw9gZPmC6QZRjZO/HyXbWbe9FX0RKJI6JA+PNjdHrdhBeuytqfhykXMmjbB1b9qK//xx92HN&#10;GQYwNShrZMVPEvnN9v27zeBKWdjOqlp6RiAGy8FVvAvBlVmGopMacGGdNBRsrNcQ6OrbrPYwELpW&#10;WZHnV9lgfe28FRKRvLsxyLcJv2mkCA9NgzIwVXHqLaTTp3Mfz2y7gbL14LpeTG3AK7rQ0Bsqeoba&#10;QQD27Pv/oHQvvEXbhIWwOrNN0wuZZqBplvk/0zx14GSahchBd6YJ3w5WfDs8etbXFS84M6BpRd+J&#10;NDCtkqyI9AwOS8p6co8+Doju3opfSIHsr0i84JRzbLyOuTQeOyauT2eu5TEwQc7ry4ur5ZpWIii2&#10;vrxYrdIyMijn185j+CytZtGouKe2EsVwuMcQ60M5p6TGrOrru16pdPHt/pPy7AC099Xtx+viNr1V&#10;z/qrrUc3ySefBEBuksnoXs9uwscRJtXCl/jKMAEk10bB2JSxsXRSU2xqB9iNcOlZ5JHglJlYG4mK&#10;lO1tfaIFqC+GlhoFOht+NvaTMTNOQkhgk2ij0l7eU4U/X2v7GwAA//8DAFBLAwQUAAYACAAAACEA&#10;PEL4R98AAAAMAQAADwAAAGRycy9kb3ducmV2LnhtbEyPTW7CMBBG95V6B2sqdQc2bUiiEAfRSqxY&#10;VIUcwMQmibDHUWxIevsOq3Y3P0/fvCm3s7PsbsbQe5SwWgpgBhuve2wl1Kf9IgcWokKtrEcj4ccE&#10;2FbPT6UqtJ/w29yPsWUUgqFQEroYh4Lz0HTGqbD0g0HaXfzoVKR2bLke1UThzvI3IVLuVI90oVOD&#10;+exMcz3enIT9kH3UOM3vdX/Y4delP9gsz6R8fZl3G2DRzPEPhoc+qUNFTmd/Qx2YlbBYJSIhlqps&#10;nQJ7ICJJaXSWsM5z4FXJ/z9R/QIAAP//AwBQSwECLQAUAAYACAAAACEAtoM4kv4AAADhAQAAEwAA&#10;AAAAAAAAAAAAAAAAAAAAW0NvbnRlbnRfVHlwZXNdLnhtbFBLAQItABQABgAIAAAAIQA4/SH/1gAA&#10;AJQBAAALAAAAAAAAAAAAAAAAAC8BAABfcmVscy8ucmVsc1BLAQItABQABgAIAAAAIQC5DCEj0wEA&#10;AKIDAAAOAAAAAAAAAAAAAAAAAC4CAABkcnMvZTJvRG9jLnhtbFBLAQItABQABgAIAAAAIQA8QvhH&#10;3wAAAAwBAAAPAAAAAAAAAAAAAAAAAC0EAABkcnMvZG93bnJldi54bWxQSwUGAAAAAAQABADzAAAA&#10;OQUAAAAA&#10;" fillcolor="#d9f2d0" stroked="f">
          <v:path arrowok="t"/>
          <v:textbox inset="0,0,0,0"/>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34A1486A"/>
    <w:multiLevelType w:val="hybridMultilevel"/>
    <w:tmpl w:val="7E3C51F6"/>
    <w:lvl w:ilvl="0" w:tplc="F976D04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8"/>
  </w:num>
  <w:num w:numId="12">
    <w:abstractNumId w:val="8"/>
  </w:num>
  <w:num w:numId="13">
    <w:abstractNumId w:val="8"/>
  </w:num>
  <w:num w:numId="14">
    <w:abstractNumId w:va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47730"/>
    <w:rsid w:val="00011BE6"/>
    <w:rsid w:val="00034616"/>
    <w:rsid w:val="0006063C"/>
    <w:rsid w:val="00084EAF"/>
    <w:rsid w:val="00092681"/>
    <w:rsid w:val="00103482"/>
    <w:rsid w:val="00134CE6"/>
    <w:rsid w:val="0015074B"/>
    <w:rsid w:val="00172A63"/>
    <w:rsid w:val="001942F2"/>
    <w:rsid w:val="001A21D1"/>
    <w:rsid w:val="001A3122"/>
    <w:rsid w:val="001F1300"/>
    <w:rsid w:val="00212CFF"/>
    <w:rsid w:val="002633F3"/>
    <w:rsid w:val="00285B45"/>
    <w:rsid w:val="0029639D"/>
    <w:rsid w:val="002D6C81"/>
    <w:rsid w:val="002E0AAF"/>
    <w:rsid w:val="00326F90"/>
    <w:rsid w:val="0037656D"/>
    <w:rsid w:val="003E3E1F"/>
    <w:rsid w:val="00432EF4"/>
    <w:rsid w:val="00480CC1"/>
    <w:rsid w:val="004F4845"/>
    <w:rsid w:val="005078C7"/>
    <w:rsid w:val="00514168"/>
    <w:rsid w:val="00521822"/>
    <w:rsid w:val="005F3537"/>
    <w:rsid w:val="00651D73"/>
    <w:rsid w:val="006F4E96"/>
    <w:rsid w:val="007118DF"/>
    <w:rsid w:val="007B1B62"/>
    <w:rsid w:val="00821DBF"/>
    <w:rsid w:val="008C1479"/>
    <w:rsid w:val="008E08AC"/>
    <w:rsid w:val="00902EF0"/>
    <w:rsid w:val="009B77C4"/>
    <w:rsid w:val="00A34DDB"/>
    <w:rsid w:val="00A6080D"/>
    <w:rsid w:val="00A62E8C"/>
    <w:rsid w:val="00A835D5"/>
    <w:rsid w:val="00AA1D8D"/>
    <w:rsid w:val="00AC2035"/>
    <w:rsid w:val="00AC29B2"/>
    <w:rsid w:val="00AD7A4F"/>
    <w:rsid w:val="00AF5C77"/>
    <w:rsid w:val="00B47730"/>
    <w:rsid w:val="00B55D49"/>
    <w:rsid w:val="00B730F4"/>
    <w:rsid w:val="00B762D6"/>
    <w:rsid w:val="00BB7964"/>
    <w:rsid w:val="00BC58C0"/>
    <w:rsid w:val="00BC5A36"/>
    <w:rsid w:val="00BE4C10"/>
    <w:rsid w:val="00C005AB"/>
    <w:rsid w:val="00C14E23"/>
    <w:rsid w:val="00C25465"/>
    <w:rsid w:val="00C440D8"/>
    <w:rsid w:val="00C656D6"/>
    <w:rsid w:val="00CB0664"/>
    <w:rsid w:val="00D40A8C"/>
    <w:rsid w:val="00D816D1"/>
    <w:rsid w:val="00DA4CBB"/>
    <w:rsid w:val="00DC21B8"/>
    <w:rsid w:val="00DE1C97"/>
    <w:rsid w:val="00DF39F8"/>
    <w:rsid w:val="00E06D39"/>
    <w:rsid w:val="00E2778F"/>
    <w:rsid w:val="00E5657E"/>
    <w:rsid w:val="00EA1B38"/>
    <w:rsid w:val="00EC6679"/>
    <w:rsid w:val="00ED2904"/>
    <w:rsid w:val="00F47304"/>
    <w:rsid w:val="00F55F7B"/>
    <w:rsid w:val="00F96DD6"/>
    <w:rsid w:val="00FB56D8"/>
    <w:rsid w:val="00FC6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DF39F8"/>
    <w:rPr>
      <w:color w:val="0000FF" w:themeColor="hyperlink"/>
      <w:u w:val="single"/>
    </w:rPr>
  </w:style>
  <w:style w:type="character" w:customStyle="1" w:styleId="UnresolvedMention">
    <w:name w:val="Unresolved Mention"/>
    <w:basedOn w:val="Policepardfaut"/>
    <w:uiPriority w:val="99"/>
    <w:semiHidden/>
    <w:unhideWhenUsed/>
    <w:rsid w:val="00DF39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ad.org/fr/project-procur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eyada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2E62-1FAD-445E-9E0C-996415D1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1884</Words>
  <Characters>10364</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VICTUS</dc:creator>
  <cp:lastModifiedBy>DELL</cp:lastModifiedBy>
  <cp:revision>3</cp:revision>
  <dcterms:created xsi:type="dcterms:W3CDTF">2026-02-25T06:10:00Z</dcterms:created>
  <dcterms:modified xsi:type="dcterms:W3CDTF">2026-02-25T08:42:00Z</dcterms:modified>
</cp:coreProperties>
</file>