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7CA0" w14:textId="77777777" w:rsidR="004C3ADC" w:rsidRDefault="004C3ADC" w:rsidP="00320698">
      <w:pPr>
        <w:jc w:val="center"/>
        <w:rPr>
          <w:lang w:val="fr-FR"/>
        </w:rPr>
      </w:pPr>
    </w:p>
    <w:p w14:paraId="570F0E74" w14:textId="77777777" w:rsidR="00B26F13" w:rsidRDefault="00B26F13" w:rsidP="00320698">
      <w:pPr>
        <w:jc w:val="center"/>
        <w:rPr>
          <w:lang w:val="fr-FR"/>
        </w:rPr>
      </w:pPr>
    </w:p>
    <w:p w14:paraId="55981D80" w14:textId="77777777" w:rsidR="005D2EE3" w:rsidRDefault="00320698" w:rsidP="005D2EE3">
      <w:pPr>
        <w:jc w:val="center"/>
        <w:rPr>
          <w:rFonts w:ascii="Arial" w:eastAsiaTheme="majorEastAsia" w:hAnsi="Arial" w:cstheme="majorBidi"/>
          <w:color w:val="44841A"/>
          <w:spacing w:val="-10"/>
          <w:kern w:val="28"/>
          <w:sz w:val="56"/>
          <w:szCs w:val="56"/>
          <w:lang w:val="fr-FR"/>
        </w:rPr>
      </w:pPr>
      <w:r w:rsidRPr="005D2EE3">
        <w:rPr>
          <w:noProof/>
          <w:lang w:val="fr-FR" w:eastAsia="fr-FR"/>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06D86684" w14:textId="77777777" w:rsidR="005D2EE3" w:rsidRDefault="005D2EE3" w:rsidP="005D2EE3">
      <w:pPr>
        <w:jc w:val="center"/>
        <w:rPr>
          <w:rFonts w:ascii="Arial" w:eastAsiaTheme="majorEastAsia" w:hAnsi="Arial" w:cstheme="majorBidi"/>
          <w:color w:val="44841A"/>
          <w:spacing w:val="-10"/>
          <w:kern w:val="28"/>
          <w:sz w:val="32"/>
          <w:szCs w:val="32"/>
          <w:lang w:val="fr-FR"/>
        </w:rPr>
      </w:pPr>
      <w:r w:rsidRPr="005D2EE3">
        <w:rPr>
          <w:rFonts w:ascii="Arial" w:eastAsiaTheme="majorEastAsia" w:hAnsi="Arial" w:cstheme="majorBidi"/>
          <w:color w:val="44841A"/>
          <w:spacing w:val="-10"/>
          <w:kern w:val="28"/>
          <w:sz w:val="32"/>
          <w:szCs w:val="32"/>
          <w:lang w:val="fr-FR"/>
        </w:rPr>
        <w:t xml:space="preserve">Termes de référence </w:t>
      </w:r>
    </w:p>
    <w:p w14:paraId="56F9994F" w14:textId="407D7F00" w:rsidR="00B23A9F" w:rsidRPr="005D2EE3" w:rsidRDefault="005D2EE3" w:rsidP="35943DC7">
      <w:pPr>
        <w:jc w:val="center"/>
        <w:rPr>
          <w:rFonts w:ascii="Arial" w:eastAsiaTheme="majorEastAsia" w:hAnsi="Arial" w:cstheme="majorBidi"/>
          <w:color w:val="44841A"/>
          <w:sz w:val="32"/>
          <w:szCs w:val="32"/>
          <w:lang w:val="fr-FR"/>
        </w:rPr>
      </w:pPr>
      <w:r w:rsidRPr="35943DC7">
        <w:rPr>
          <w:rFonts w:ascii="Arial" w:eastAsiaTheme="majorEastAsia" w:hAnsi="Arial" w:cstheme="majorBidi"/>
          <w:color w:val="44841A"/>
          <w:spacing w:val="-10"/>
          <w:kern w:val="28"/>
          <w:sz w:val="32"/>
          <w:szCs w:val="32"/>
          <w:lang w:val="fr-FR"/>
        </w:rPr>
        <w:t>pour une mission de documentation finale du projet ROSE</w:t>
      </w:r>
      <w:r w:rsidR="00B23A9F" w:rsidRPr="35943DC7">
        <w:rPr>
          <w:rFonts w:ascii="Arial" w:eastAsiaTheme="majorEastAsia" w:hAnsi="Arial" w:cstheme="majorBidi"/>
          <w:color w:val="44841A"/>
          <w:spacing w:val="-10"/>
          <w:kern w:val="28"/>
          <w:sz w:val="32"/>
          <w:szCs w:val="32"/>
          <w:lang w:val="fr-FR"/>
        </w:rPr>
        <w:t xml:space="preserve"> </w:t>
      </w:r>
    </w:p>
    <w:tbl>
      <w:tblPr>
        <w:tblStyle w:val="TableGrid"/>
        <w:tblW w:w="10436"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160"/>
        <w:gridCol w:w="8276"/>
      </w:tblGrid>
      <w:tr w:rsidR="00932297" w:rsidRPr="005D2EE3" w14:paraId="104C8530" w14:textId="77777777" w:rsidTr="35943DC7">
        <w:tc>
          <w:tcPr>
            <w:tcW w:w="10436" w:type="dxa"/>
            <w:gridSpan w:val="2"/>
            <w:shd w:val="clear" w:color="auto" w:fill="44841A"/>
          </w:tcPr>
          <w:p w14:paraId="5C8FB62B" w14:textId="57CC86A3" w:rsidR="00932297" w:rsidRPr="005D2EE3" w:rsidRDefault="00721E4B" w:rsidP="00932297">
            <w:pPr>
              <w:jc w:val="center"/>
              <w:rPr>
                <w:b/>
                <w:bCs/>
                <w:color w:val="FFFFFF" w:themeColor="background1"/>
                <w:lang w:val="fr-FR"/>
              </w:rPr>
            </w:pPr>
            <w:r w:rsidRPr="005D2EE3">
              <w:rPr>
                <w:b/>
                <w:bCs/>
                <w:color w:val="FFFFFF" w:themeColor="background1"/>
                <w:lang w:val="fr-FR"/>
              </w:rPr>
              <w:t>APERÇU</w:t>
            </w:r>
          </w:p>
        </w:tc>
      </w:tr>
      <w:tr w:rsidR="003B48F4" w:rsidRPr="008D3305" w14:paraId="129D65EE" w14:textId="77777777" w:rsidTr="35943DC7">
        <w:trPr>
          <w:trHeight w:val="769"/>
        </w:trPr>
        <w:tc>
          <w:tcPr>
            <w:tcW w:w="2160" w:type="dxa"/>
          </w:tcPr>
          <w:p w14:paraId="629E35B0" w14:textId="49F4A0A0" w:rsidR="00264FD6" w:rsidRPr="005D2EE3" w:rsidRDefault="00721E4B" w:rsidP="002F0794">
            <w:pPr>
              <w:rPr>
                <w:b/>
                <w:bCs/>
                <w:lang w:val="fr-FR"/>
              </w:rPr>
            </w:pPr>
            <w:r w:rsidRPr="005D2EE3">
              <w:rPr>
                <w:b/>
                <w:bCs/>
                <w:lang w:val="fr-FR"/>
              </w:rPr>
              <w:t>Titre et brève description de l'exigence</w:t>
            </w:r>
          </w:p>
        </w:tc>
        <w:tc>
          <w:tcPr>
            <w:tcW w:w="8276" w:type="dxa"/>
          </w:tcPr>
          <w:p w14:paraId="6A7E8411" w14:textId="267C570B" w:rsidR="00264FD6" w:rsidRPr="005D2EE3" w:rsidRDefault="005D2EE3" w:rsidP="005D2EE3">
            <w:pPr>
              <w:rPr>
                <w:lang w:val="fr-FR"/>
              </w:rPr>
            </w:pPr>
            <w:r w:rsidRPr="005D2EE3">
              <w:rPr>
                <w:lang w:val="fr-FR"/>
              </w:rPr>
              <w:t xml:space="preserve">Consultance pour </w:t>
            </w:r>
            <w:r w:rsidRPr="00C96E39">
              <w:rPr>
                <w:b/>
                <w:bCs/>
                <w:lang w:val="fr-FR"/>
              </w:rPr>
              <w:t>la documentation finale stratégique et narrative du projet ROSE</w:t>
            </w:r>
            <w:r w:rsidRPr="005D2EE3">
              <w:rPr>
                <w:lang w:val="fr-FR"/>
              </w:rPr>
              <w:t>, incluant l’histoire du projet, ses processus, ses dynamiques partenariales et ses apprentissages, à travers une approche participative</w:t>
            </w:r>
            <w:r>
              <w:rPr>
                <w:lang w:val="fr-FR"/>
              </w:rPr>
              <w:t>.</w:t>
            </w:r>
          </w:p>
        </w:tc>
      </w:tr>
      <w:tr w:rsidR="003B48F4" w:rsidRPr="008D3305" w14:paraId="72017195" w14:textId="77777777" w:rsidTr="35943DC7">
        <w:trPr>
          <w:trHeight w:val="315"/>
        </w:trPr>
        <w:tc>
          <w:tcPr>
            <w:tcW w:w="2160" w:type="dxa"/>
          </w:tcPr>
          <w:p w14:paraId="69E261A8" w14:textId="41A95735" w:rsidR="003B48F4" w:rsidRPr="005D2EE3" w:rsidRDefault="00721E4B" w:rsidP="002F0794">
            <w:pPr>
              <w:rPr>
                <w:b/>
                <w:bCs/>
                <w:lang w:val="fr-FR"/>
              </w:rPr>
            </w:pPr>
            <w:r w:rsidRPr="005D2EE3">
              <w:rPr>
                <w:b/>
                <w:bCs/>
                <w:lang w:val="fr-FR"/>
              </w:rPr>
              <w:t>Lieu de livraison</w:t>
            </w:r>
          </w:p>
        </w:tc>
        <w:tc>
          <w:tcPr>
            <w:tcW w:w="8276" w:type="dxa"/>
          </w:tcPr>
          <w:p w14:paraId="2CC960A5" w14:textId="049B4123" w:rsidR="003B48F4" w:rsidRPr="005D2EE3" w:rsidDel="003B48F4" w:rsidRDefault="005D2EE3" w:rsidP="005D2EE3">
            <w:pPr>
              <w:rPr>
                <w:lang w:val="fr-FR"/>
              </w:rPr>
            </w:pPr>
            <w:r w:rsidRPr="005D2EE3">
              <w:rPr>
                <w:lang w:val="fr-FR"/>
              </w:rPr>
              <w:t>Tunisie (entretiens et échanges) + travail à distance</w:t>
            </w:r>
          </w:p>
        </w:tc>
      </w:tr>
      <w:tr w:rsidR="003B48F4" w:rsidRPr="008D3305" w14:paraId="6DFE280B" w14:textId="77777777" w:rsidTr="35943DC7">
        <w:tc>
          <w:tcPr>
            <w:tcW w:w="2160" w:type="dxa"/>
          </w:tcPr>
          <w:p w14:paraId="4B0A7AC0" w14:textId="3366A2DE" w:rsidR="003B48F4" w:rsidRPr="005D2EE3" w:rsidRDefault="00721E4B" w:rsidP="002F0794">
            <w:pPr>
              <w:rPr>
                <w:b/>
                <w:bCs/>
                <w:lang w:val="fr-FR"/>
              </w:rPr>
            </w:pPr>
            <w:r w:rsidRPr="005D2EE3">
              <w:rPr>
                <w:b/>
                <w:bCs/>
                <w:lang w:val="fr-FR"/>
              </w:rPr>
              <w:t>Date de début du contrat</w:t>
            </w:r>
          </w:p>
        </w:tc>
        <w:tc>
          <w:tcPr>
            <w:tcW w:w="8276" w:type="dxa"/>
          </w:tcPr>
          <w:p w14:paraId="01DE2ECB" w14:textId="6733571D" w:rsidR="003B48F4" w:rsidRPr="00C37F1D" w:rsidRDefault="00736881" w:rsidP="005D2EE3">
            <w:pPr>
              <w:rPr>
                <w:lang w:val="fr-FR"/>
              </w:rPr>
            </w:pPr>
            <w:r>
              <w:rPr>
                <w:highlight w:val="yellow"/>
                <w:lang w:val="fr-FR"/>
              </w:rPr>
              <w:t>22</w:t>
            </w:r>
            <w:r w:rsidR="005D2EE3" w:rsidRPr="008D3305">
              <w:rPr>
                <w:highlight w:val="yellow"/>
                <w:lang w:val="fr-FR"/>
              </w:rPr>
              <w:t xml:space="preserve"> septembre 2025</w:t>
            </w:r>
          </w:p>
          <w:p w14:paraId="6C140657" w14:textId="669C5CF6" w:rsidR="002A6CF8" w:rsidRPr="004C5BA7" w:rsidRDefault="002A6CF8" w:rsidP="002A6CF8">
            <w:pPr>
              <w:rPr>
                <w:lang w:val="fr-FR"/>
              </w:rPr>
            </w:pPr>
            <w:r w:rsidRPr="004C5BA7">
              <w:rPr>
                <w:lang w:val="fr-FR"/>
              </w:rPr>
              <w:t xml:space="preserve">La mission s’étendra du </w:t>
            </w:r>
            <w:r w:rsidR="00736881">
              <w:rPr>
                <w:highlight w:val="yellow"/>
                <w:lang w:val="fr-FR"/>
              </w:rPr>
              <w:t>22</w:t>
            </w:r>
            <w:r w:rsidRPr="008D3305">
              <w:rPr>
                <w:highlight w:val="yellow"/>
                <w:lang w:val="fr-FR"/>
              </w:rPr>
              <w:t xml:space="preserve"> septembre au </w:t>
            </w:r>
            <w:r w:rsidR="00736881">
              <w:rPr>
                <w:highlight w:val="yellow"/>
                <w:lang w:val="fr-FR"/>
              </w:rPr>
              <w:t>22</w:t>
            </w:r>
            <w:r w:rsidRPr="008D3305">
              <w:rPr>
                <w:highlight w:val="yellow"/>
                <w:lang w:val="fr-FR"/>
              </w:rPr>
              <w:t xml:space="preserve"> novembre</w:t>
            </w:r>
            <w:r w:rsidRPr="004C5BA7">
              <w:rPr>
                <w:lang w:val="fr-FR"/>
              </w:rPr>
              <w:t xml:space="preserve"> 2025, pour un volume total estimé de 45 jours ouvrables.</w:t>
            </w:r>
          </w:p>
        </w:tc>
      </w:tr>
      <w:tr w:rsidR="003B48F4" w:rsidRPr="008D3305" w14:paraId="0F44EDEC" w14:textId="77777777" w:rsidTr="35943DC7">
        <w:tc>
          <w:tcPr>
            <w:tcW w:w="2160" w:type="dxa"/>
          </w:tcPr>
          <w:p w14:paraId="3B5C2890" w14:textId="505FE3DE" w:rsidR="003B48F4" w:rsidRPr="005D2EE3" w:rsidRDefault="00721E4B" w:rsidP="002F0794">
            <w:pPr>
              <w:rPr>
                <w:b/>
                <w:bCs/>
                <w:lang w:val="fr-FR"/>
              </w:rPr>
            </w:pPr>
            <w:r w:rsidRPr="005D2EE3">
              <w:rPr>
                <w:b/>
                <w:bCs/>
                <w:lang w:val="fr-FR"/>
              </w:rPr>
              <w:t>Comment postuler</w:t>
            </w:r>
          </w:p>
        </w:tc>
        <w:tc>
          <w:tcPr>
            <w:tcW w:w="8276" w:type="dxa"/>
          </w:tcPr>
          <w:p w14:paraId="598CF2A1" w14:textId="2C1E330E" w:rsidR="003B48F4" w:rsidRPr="005D2EE3" w:rsidRDefault="00721E4B" w:rsidP="007D3292">
            <w:pPr>
              <w:rPr>
                <w:i/>
                <w:iCs/>
                <w:lang w:val="fr-FR"/>
              </w:rPr>
            </w:pPr>
            <w:r w:rsidRPr="005D2EE3">
              <w:rPr>
                <w:i/>
                <w:iCs/>
                <w:lang w:val="fr-FR"/>
              </w:rPr>
              <w:t>Voir la section « 6. Processus de candidature » ​​pour plus de détails.</w:t>
            </w:r>
          </w:p>
        </w:tc>
      </w:tr>
      <w:tr w:rsidR="003B48F4" w:rsidRPr="005D2EE3" w14:paraId="3C4B6B32" w14:textId="77777777" w:rsidTr="35943DC7">
        <w:tc>
          <w:tcPr>
            <w:tcW w:w="2160" w:type="dxa"/>
          </w:tcPr>
          <w:p w14:paraId="62682BA2" w14:textId="711DB013" w:rsidR="003B48F4" w:rsidRPr="005D2EE3" w:rsidRDefault="00721E4B" w:rsidP="002F0794">
            <w:pPr>
              <w:rPr>
                <w:b/>
                <w:bCs/>
                <w:lang w:val="fr-FR"/>
              </w:rPr>
            </w:pPr>
            <w:r w:rsidRPr="005D2EE3">
              <w:rPr>
                <w:rFonts w:ascii="Roboto" w:hAnsi="Roboto"/>
                <w:b/>
                <w:bCs/>
                <w:lang w:val="fr-FR"/>
              </w:rPr>
              <w:t>Date limite de soumission des offres</w:t>
            </w:r>
          </w:p>
        </w:tc>
        <w:tc>
          <w:tcPr>
            <w:tcW w:w="8276" w:type="dxa"/>
          </w:tcPr>
          <w:p w14:paraId="515EC8D5" w14:textId="1BB0DB71" w:rsidR="003B48F4" w:rsidRPr="005D2EE3" w:rsidRDefault="00736881" w:rsidP="005D2EE3">
            <w:pPr>
              <w:rPr>
                <w:lang w:val="fr-FR"/>
              </w:rPr>
            </w:pPr>
            <w:r>
              <w:rPr>
                <w:highlight w:val="yellow"/>
              </w:rPr>
              <w:t>8</w:t>
            </w:r>
            <w:r w:rsidR="00814A11" w:rsidRPr="008D3305">
              <w:rPr>
                <w:highlight w:val="yellow"/>
              </w:rPr>
              <w:t xml:space="preserve"> </w:t>
            </w:r>
            <w:r>
              <w:rPr>
                <w:highlight w:val="yellow"/>
              </w:rPr>
              <w:t>Septembre</w:t>
            </w:r>
            <w:r w:rsidR="00814A11" w:rsidRPr="008D3305">
              <w:rPr>
                <w:highlight w:val="yellow"/>
              </w:rPr>
              <w:t xml:space="preserve"> </w:t>
            </w:r>
            <w:r w:rsidR="005D2EE3" w:rsidRPr="008D3305">
              <w:rPr>
                <w:highlight w:val="yellow"/>
              </w:rPr>
              <w:t>2025 à 23h59</w:t>
            </w:r>
          </w:p>
        </w:tc>
      </w:tr>
      <w:tr w:rsidR="003B48F4" w:rsidRPr="008D3305" w14:paraId="3AD5EE8C" w14:textId="77777777" w:rsidTr="35943DC7">
        <w:tc>
          <w:tcPr>
            <w:tcW w:w="2160" w:type="dxa"/>
          </w:tcPr>
          <w:p w14:paraId="02E34A75" w14:textId="09785097" w:rsidR="003B48F4" w:rsidRPr="005D2EE3" w:rsidRDefault="00241368" w:rsidP="002F0794">
            <w:pPr>
              <w:rPr>
                <w:b/>
                <w:bCs/>
                <w:lang w:val="fr-FR"/>
              </w:rPr>
            </w:pPr>
            <w:r w:rsidRPr="005D2EE3">
              <w:rPr>
                <w:b/>
                <w:bCs/>
                <w:lang w:val="fr-FR"/>
              </w:rPr>
              <w:t>Considérations spécifiques</w:t>
            </w:r>
          </w:p>
        </w:tc>
        <w:tc>
          <w:tcPr>
            <w:tcW w:w="8276" w:type="dxa"/>
          </w:tcPr>
          <w:p w14:paraId="64AC235F" w14:textId="04BBAF5A" w:rsidR="003B48F4" w:rsidRPr="005D2EE3" w:rsidRDefault="00241368" w:rsidP="005D2EE3">
            <w:pPr>
              <w:rPr>
                <w:lang w:val="fr-FR"/>
              </w:rPr>
            </w:pPr>
            <w:r w:rsidRPr="005D2EE3">
              <w:rPr>
                <w:lang w:val="fr-FR"/>
              </w:rPr>
              <w:t xml:space="preserve"> </w:t>
            </w:r>
            <w:r w:rsidR="005D2EE3" w:rsidRPr="005D2EE3">
              <w:rPr>
                <w:lang w:val="fr-FR"/>
              </w:rPr>
              <w:t>La mission inclut la participation à au moins deux sessions collectives avec les partenaires de ROS</w:t>
            </w:r>
            <w:r w:rsidR="005D2EE3">
              <w:rPr>
                <w:lang w:val="fr-FR"/>
              </w:rPr>
              <w:t>E</w:t>
            </w:r>
            <w:r w:rsidR="005D2EE3" w:rsidRPr="005D2EE3">
              <w:rPr>
                <w:lang w:val="fr-FR"/>
              </w:rPr>
              <w:t xml:space="preserve"> et l’équipe projet, dans une perspective de documentation participative.</w:t>
            </w:r>
          </w:p>
        </w:tc>
      </w:tr>
    </w:tbl>
    <w:p w14:paraId="11DB1B94" w14:textId="77777777" w:rsidR="00320698" w:rsidRPr="005D2EE3" w:rsidRDefault="00320698" w:rsidP="00320698">
      <w:pPr>
        <w:rPr>
          <w:lang w:val="fr-FR"/>
        </w:rPr>
      </w:pPr>
    </w:p>
    <w:p w14:paraId="63A0CEEC" w14:textId="394C63F5" w:rsidR="00320698" w:rsidRPr="005D2EE3" w:rsidRDefault="00996976" w:rsidP="00715A57">
      <w:pPr>
        <w:pStyle w:val="Heading1"/>
        <w:rPr>
          <w:lang w:val="fr-FR"/>
        </w:rPr>
      </w:pPr>
      <w:r w:rsidRPr="005D2EE3">
        <w:rPr>
          <w:lang w:val="fr-FR"/>
        </w:rPr>
        <w:t>CONTEXTE ET HISTORIQUE</w:t>
      </w:r>
    </w:p>
    <w:p w14:paraId="222CB2F9" w14:textId="49DFFBB5" w:rsidR="00B23A9F" w:rsidRPr="00B23A9F" w:rsidRDefault="00B23A9F" w:rsidP="00B23A9F">
      <w:pPr>
        <w:rPr>
          <w:lang w:val="fr-FR"/>
        </w:rPr>
      </w:pPr>
      <w:r w:rsidRPr="00B23A9F">
        <w:rPr>
          <w:lang w:val="fr-FR"/>
        </w:rPr>
        <w:t>Le projet "Renforcement de la Société Civile Émergente" (ROS</w:t>
      </w:r>
      <w:r w:rsidRPr="005D2EE3">
        <w:rPr>
          <w:lang w:val="fr-FR"/>
        </w:rPr>
        <w:t>E</w:t>
      </w:r>
      <w:r w:rsidRPr="00B23A9F">
        <w:rPr>
          <w:lang w:val="fr-FR"/>
        </w:rPr>
        <w:t>), financé par l’Union européenne et mis en œuvre en Tunisie, est porté par un consortium composé d’Oxfam, Avocats Sans Frontières (ASF) et le Forum Tunisien pour les Droits Économiques et Sociaux (FTDES). D’une durée de cinq ans (mars 2021 - février 2026), le projet vise à renforcer la contribution de la société civile émergente à la consolidation de l’État de droit et au développement du pays.</w:t>
      </w:r>
    </w:p>
    <w:p w14:paraId="27DACD54" w14:textId="0B8A8CB8" w:rsidR="00B23A9F" w:rsidRPr="00B23A9F" w:rsidRDefault="00B23A9F" w:rsidP="00B23A9F">
      <w:pPr>
        <w:rPr>
          <w:lang w:val="fr-FR"/>
        </w:rPr>
      </w:pPr>
      <w:r w:rsidRPr="00B23A9F">
        <w:rPr>
          <w:lang w:val="fr-FR"/>
        </w:rPr>
        <w:t>ROS</w:t>
      </w:r>
      <w:r w:rsidRPr="005D2EE3">
        <w:rPr>
          <w:lang w:val="fr-FR"/>
        </w:rPr>
        <w:t>E</w:t>
      </w:r>
      <w:r w:rsidRPr="00B23A9F">
        <w:rPr>
          <w:lang w:val="fr-FR"/>
        </w:rPr>
        <w:t xml:space="preserve"> repose sur une approche intégrée fondée sur quatre axes d’intervention complémentaires :</w:t>
      </w:r>
    </w:p>
    <w:p w14:paraId="1003E550" w14:textId="77777777" w:rsidR="00B23A9F" w:rsidRPr="00B23A9F" w:rsidRDefault="00B23A9F" w:rsidP="00B23A9F">
      <w:pPr>
        <w:numPr>
          <w:ilvl w:val="0"/>
          <w:numId w:val="34"/>
        </w:numPr>
        <w:rPr>
          <w:lang w:val="fr-FR"/>
        </w:rPr>
      </w:pPr>
      <w:r w:rsidRPr="00B23A9F">
        <w:rPr>
          <w:lang w:val="fr-FR"/>
        </w:rPr>
        <w:t>le renforcement des capacités organisationnelles et techniques des OSC ;</w:t>
      </w:r>
    </w:p>
    <w:p w14:paraId="0080E0B8" w14:textId="77777777" w:rsidR="00B23A9F" w:rsidRPr="00B23A9F" w:rsidRDefault="00B23A9F" w:rsidP="00B23A9F">
      <w:pPr>
        <w:numPr>
          <w:ilvl w:val="0"/>
          <w:numId w:val="34"/>
        </w:numPr>
        <w:rPr>
          <w:lang w:val="fr-FR"/>
        </w:rPr>
      </w:pPr>
      <w:r w:rsidRPr="00B23A9F">
        <w:rPr>
          <w:lang w:val="fr-FR"/>
        </w:rPr>
        <w:t>des mécanismes de financement différenciés ;</w:t>
      </w:r>
    </w:p>
    <w:p w14:paraId="6B399E3A" w14:textId="77777777" w:rsidR="00B23A9F" w:rsidRPr="00B23A9F" w:rsidRDefault="00B23A9F" w:rsidP="00B23A9F">
      <w:pPr>
        <w:numPr>
          <w:ilvl w:val="0"/>
          <w:numId w:val="34"/>
        </w:numPr>
        <w:rPr>
          <w:lang w:val="fr-FR"/>
        </w:rPr>
      </w:pPr>
      <w:r w:rsidRPr="00B23A9F">
        <w:rPr>
          <w:lang w:val="fr-FR"/>
        </w:rPr>
        <w:t>l’engagement dans des dynamiques collaboratives et d’influence sur les politiques publiques ;</w:t>
      </w:r>
    </w:p>
    <w:p w14:paraId="1C77F76F" w14:textId="77777777" w:rsidR="00B23A9F" w:rsidRPr="00B23A9F" w:rsidRDefault="00B23A9F" w:rsidP="00B23A9F">
      <w:pPr>
        <w:numPr>
          <w:ilvl w:val="0"/>
          <w:numId w:val="34"/>
        </w:numPr>
        <w:rPr>
          <w:lang w:val="fr-FR"/>
        </w:rPr>
      </w:pPr>
      <w:r w:rsidRPr="00B23A9F">
        <w:rPr>
          <w:lang w:val="fr-FR"/>
        </w:rPr>
        <w:t>la pérennisation de l’espace civique à travers des processus de mise en réseau, de capitalisation et d’apprentissage.</w:t>
      </w:r>
    </w:p>
    <w:p w14:paraId="6FBCEC03" w14:textId="289BF334" w:rsidR="00B23A9F" w:rsidRPr="005D2EE3" w:rsidRDefault="00B23A9F" w:rsidP="005D2EE3">
      <w:pPr>
        <w:rPr>
          <w:lang w:val="fr-FR"/>
        </w:rPr>
      </w:pPr>
      <w:r w:rsidRPr="00B23A9F">
        <w:rPr>
          <w:lang w:val="fr-FR"/>
        </w:rPr>
        <w:t xml:space="preserve">Dans la perspective de la clôture du projet, </w:t>
      </w:r>
      <w:r w:rsidRPr="005D2EE3">
        <w:rPr>
          <w:lang w:val="fr-FR"/>
        </w:rPr>
        <w:t>le projet</w:t>
      </w:r>
      <w:r w:rsidRPr="00B23A9F">
        <w:rPr>
          <w:lang w:val="fr-FR"/>
        </w:rPr>
        <w:t xml:space="preserve"> souhaite recruter un.e consultant.e pour une mission de documentation </w:t>
      </w:r>
      <w:r w:rsidR="009D765F">
        <w:rPr>
          <w:lang w:val="fr-FR"/>
        </w:rPr>
        <w:t>globale du projet</w:t>
      </w:r>
      <w:r w:rsidRPr="00B23A9F">
        <w:rPr>
          <w:lang w:val="fr-FR"/>
        </w:rPr>
        <w:t xml:space="preserve"> </w:t>
      </w:r>
      <w:r w:rsidRPr="005D2EE3">
        <w:rPr>
          <w:lang w:val="fr-FR"/>
        </w:rPr>
        <w:t>qui</w:t>
      </w:r>
      <w:r w:rsidRPr="00B23A9F">
        <w:rPr>
          <w:lang w:val="fr-FR"/>
        </w:rPr>
        <w:t xml:space="preserve"> vise à produire une documentation stratégique, analytique et pédagogique qui rende compte de</w:t>
      </w:r>
      <w:r w:rsidR="00AF18C4">
        <w:rPr>
          <w:lang w:val="fr-FR"/>
        </w:rPr>
        <w:t xml:space="preserve"> l’histoire du projet,</w:t>
      </w:r>
      <w:r w:rsidR="00AF18C4" w:rsidRPr="00B23A9F">
        <w:rPr>
          <w:lang w:val="fr-FR"/>
        </w:rPr>
        <w:t xml:space="preserve"> de</w:t>
      </w:r>
      <w:r w:rsidRPr="00B23A9F">
        <w:rPr>
          <w:lang w:val="fr-FR"/>
        </w:rPr>
        <w:t xml:space="preserve"> ses processus et de </w:t>
      </w:r>
      <w:r w:rsidR="00AF18C4">
        <w:rPr>
          <w:lang w:val="fr-FR"/>
        </w:rPr>
        <w:t>ses acquis</w:t>
      </w:r>
      <w:r w:rsidRPr="00B23A9F">
        <w:rPr>
          <w:lang w:val="fr-FR"/>
        </w:rPr>
        <w:t>, tout en capitalisant sur les apprentissages.</w:t>
      </w:r>
    </w:p>
    <w:p w14:paraId="194FB77F" w14:textId="25796E9E" w:rsidR="00320698" w:rsidRPr="005D2EE3" w:rsidRDefault="001E184D" w:rsidP="00715A57">
      <w:pPr>
        <w:pStyle w:val="Heading1"/>
        <w:rPr>
          <w:lang w:val="fr-FR"/>
        </w:rPr>
      </w:pPr>
      <w:r w:rsidRPr="005D2EE3">
        <w:rPr>
          <w:lang w:val="fr-FR"/>
        </w:rPr>
        <w:t>SPÉCIFICATION DES BIENS, SERVICES OU TRAVAUX REQUIS</w:t>
      </w:r>
    </w:p>
    <w:p w14:paraId="207014CA" w14:textId="400A5849" w:rsidR="00B23A9F" w:rsidRDefault="00B23A9F" w:rsidP="00294306">
      <w:pPr>
        <w:widowControl w:val="0"/>
        <w:autoSpaceDE w:val="0"/>
        <w:autoSpaceDN w:val="0"/>
        <w:adjustRightInd w:val="0"/>
        <w:rPr>
          <w:rFonts w:ascii="Arial" w:hAnsi="Arial" w:cs="Arial"/>
          <w:color w:val="000000"/>
          <w:szCs w:val="20"/>
          <w:lang w:val="fr-FR"/>
        </w:rPr>
      </w:pPr>
      <w:r w:rsidRPr="00B23A9F">
        <w:rPr>
          <w:rFonts w:ascii="Arial" w:hAnsi="Arial" w:cs="Arial"/>
          <w:b/>
          <w:bCs/>
          <w:color w:val="000000"/>
          <w:szCs w:val="20"/>
          <w:lang w:val="fr-FR"/>
        </w:rPr>
        <w:t>Objectif principal :</w:t>
      </w:r>
      <w:r w:rsidRPr="00B23A9F">
        <w:rPr>
          <w:rFonts w:ascii="Arial" w:hAnsi="Arial" w:cs="Arial"/>
          <w:color w:val="000000"/>
          <w:szCs w:val="20"/>
          <w:lang w:val="fr-FR"/>
        </w:rPr>
        <w:br/>
      </w:r>
      <w:r w:rsidR="00294306" w:rsidRPr="00294306">
        <w:rPr>
          <w:rFonts w:ascii="Arial" w:hAnsi="Arial" w:cs="Arial"/>
          <w:color w:val="000000"/>
          <w:szCs w:val="20"/>
          <w:lang w:val="fr-FR"/>
        </w:rPr>
        <w:t>Cette mission vise à produire une documentation stratégique, sensible et structurée de l’ensemble du parcours du projet ROS</w:t>
      </w:r>
      <w:r w:rsidR="00294306">
        <w:rPr>
          <w:rFonts w:ascii="Arial" w:hAnsi="Arial" w:cs="Arial"/>
          <w:color w:val="000000"/>
          <w:szCs w:val="20"/>
          <w:lang w:val="fr-FR"/>
        </w:rPr>
        <w:t>E</w:t>
      </w:r>
      <w:r w:rsidR="00294306" w:rsidRPr="00294306">
        <w:rPr>
          <w:rFonts w:ascii="Arial" w:hAnsi="Arial" w:cs="Arial"/>
          <w:color w:val="000000"/>
          <w:szCs w:val="20"/>
          <w:lang w:val="fr-FR"/>
        </w:rPr>
        <w:t>, en capturant ses dynamiques, apprentissages, partenariats, tensions et impacts. Elle permettra de restituer l’histoire et l’évolution du projet, d’en valoriser les approches et résultats, et de nourrir les réflexions futures à travers une capitalisation transversale et incarnée.</w:t>
      </w:r>
    </w:p>
    <w:p w14:paraId="5204A8A6" w14:textId="2B63C1C6" w:rsidR="002B1FE4" w:rsidRPr="00B23A9F" w:rsidRDefault="35943DC7" w:rsidP="35943DC7">
      <w:pPr>
        <w:widowControl w:val="0"/>
        <w:autoSpaceDE w:val="0"/>
        <w:autoSpaceDN w:val="0"/>
        <w:adjustRightInd w:val="0"/>
        <w:rPr>
          <w:rFonts w:ascii="Arial" w:hAnsi="Arial" w:cs="Arial"/>
          <w:color w:val="000000"/>
          <w:lang w:val="fr-FR"/>
        </w:rPr>
      </w:pPr>
      <w:r w:rsidRPr="35943DC7">
        <w:rPr>
          <w:rFonts w:ascii="Arial" w:hAnsi="Arial" w:cs="Arial"/>
          <w:color w:val="000000" w:themeColor="text1"/>
          <w:lang w:val="fr-FR"/>
        </w:rPr>
        <w:t xml:space="preserve">Il s’agira surtout de documenter et rassembler les différents éléments déjà existants, de manière ponctuelle, sous des axes distincts, d’une façon plus transversale et apprenante. </w:t>
      </w:r>
    </w:p>
    <w:p w14:paraId="06DA4BFF" w14:textId="77777777" w:rsidR="00B23A9F" w:rsidRPr="00B23A9F" w:rsidRDefault="00B23A9F" w:rsidP="00B23A9F">
      <w:pPr>
        <w:widowControl w:val="0"/>
        <w:autoSpaceDE w:val="0"/>
        <w:autoSpaceDN w:val="0"/>
        <w:adjustRightInd w:val="0"/>
        <w:rPr>
          <w:rFonts w:ascii="Arial" w:hAnsi="Arial" w:cs="Arial"/>
          <w:color w:val="000000"/>
          <w:szCs w:val="20"/>
          <w:lang w:val="fr-FR"/>
        </w:rPr>
      </w:pPr>
      <w:r w:rsidRPr="00B23A9F">
        <w:rPr>
          <w:rFonts w:ascii="Arial" w:hAnsi="Arial" w:cs="Arial"/>
          <w:b/>
          <w:bCs/>
          <w:color w:val="000000"/>
          <w:szCs w:val="20"/>
          <w:lang w:val="fr-FR"/>
        </w:rPr>
        <w:t>Objectifs spécifiques :</w:t>
      </w:r>
    </w:p>
    <w:p w14:paraId="5DCF09A3" w14:textId="41640965" w:rsidR="00C8159E" w:rsidRPr="00C8159E" w:rsidRDefault="00C8159E" w:rsidP="00C8159E">
      <w:pPr>
        <w:numPr>
          <w:ilvl w:val="0"/>
          <w:numId w:val="36"/>
        </w:numPr>
        <w:rPr>
          <w:color w:val="000000" w:themeColor="text1"/>
          <w:lang w:val="fr-FR"/>
        </w:rPr>
      </w:pPr>
      <w:r w:rsidRPr="00C8159E">
        <w:rPr>
          <w:color w:val="000000" w:themeColor="text1"/>
          <w:lang w:val="fr-FR"/>
        </w:rPr>
        <w:lastRenderedPageBreak/>
        <w:t>Orchestrer, compiler et synthétiser l’ensemble des documents, rapports, données et productions déjà existants (évaluations, capitalisations, rapports annuels, plans d’apprentissage, études, notes internes, etc.) afin de construire une documentation cohérente et exhaustive du projet ROSE ;</w:t>
      </w:r>
    </w:p>
    <w:p w14:paraId="6AB19771" w14:textId="076571F9" w:rsidR="00C8159E" w:rsidRPr="00C8159E" w:rsidRDefault="00C8159E" w:rsidP="00C8159E">
      <w:pPr>
        <w:numPr>
          <w:ilvl w:val="0"/>
          <w:numId w:val="36"/>
        </w:numPr>
        <w:rPr>
          <w:color w:val="000000" w:themeColor="text1"/>
          <w:lang w:val="fr-FR"/>
        </w:rPr>
      </w:pPr>
      <w:r w:rsidRPr="00C8159E">
        <w:rPr>
          <w:color w:val="000000" w:themeColor="text1"/>
          <w:lang w:val="fr-FR"/>
        </w:rPr>
        <w:t>Produire une documentation structurée et synthétique qui rende compte des résultats, des approches méthodologiques, des processus et des changements induits par le projet, en évitant la simple juxtaposition des éléments, mais en construisant un récit intégré et lisible ;</w:t>
      </w:r>
    </w:p>
    <w:p w14:paraId="3A0BB31A" w14:textId="0045EA20" w:rsidR="00C8159E" w:rsidRPr="00C8159E" w:rsidRDefault="00C8159E" w:rsidP="00C8159E">
      <w:pPr>
        <w:numPr>
          <w:ilvl w:val="0"/>
          <w:numId w:val="36"/>
        </w:numPr>
        <w:rPr>
          <w:color w:val="000000" w:themeColor="text1"/>
          <w:lang w:val="fr-FR"/>
        </w:rPr>
      </w:pPr>
      <w:r w:rsidRPr="00C8159E">
        <w:rPr>
          <w:color w:val="000000" w:themeColor="text1"/>
          <w:lang w:val="fr-FR"/>
        </w:rPr>
        <w:t>Mettre en lumière les dynamiques partenariales, les pratiques innovantes et les processus collaboratifs ayant marqué le projet, en s’appuyant notamment sur les apprentissages issus des missions précédentes (évaluations à mi-parcours, intégration genre, mécanismes de financement, linking &amp; learning) ;</w:t>
      </w:r>
    </w:p>
    <w:p w14:paraId="6DE2B93F" w14:textId="3EAC0576" w:rsidR="00C8159E" w:rsidRPr="00C8159E" w:rsidRDefault="00C8159E" w:rsidP="00C8159E">
      <w:pPr>
        <w:numPr>
          <w:ilvl w:val="0"/>
          <w:numId w:val="36"/>
        </w:numPr>
        <w:rPr>
          <w:color w:val="000000" w:themeColor="text1"/>
          <w:lang w:val="fr-FR"/>
        </w:rPr>
      </w:pPr>
      <w:r w:rsidRPr="00C8159E">
        <w:rPr>
          <w:color w:val="000000" w:themeColor="text1"/>
          <w:lang w:val="fr-FR"/>
        </w:rPr>
        <w:t>Identifier, analyser et valoriser les apprentissages clés, les leviers de durabilité et les freins rencontrés, dans une perspective réflexive qui nourrit les orientations futures ;</w:t>
      </w:r>
    </w:p>
    <w:p w14:paraId="2DE986B2" w14:textId="79CB4B84" w:rsidR="00C8159E" w:rsidRPr="00C8159E" w:rsidRDefault="00C8159E" w:rsidP="00C8159E">
      <w:pPr>
        <w:numPr>
          <w:ilvl w:val="0"/>
          <w:numId w:val="36"/>
        </w:numPr>
        <w:rPr>
          <w:color w:val="000000" w:themeColor="text1"/>
          <w:lang w:val="fr-FR"/>
        </w:rPr>
      </w:pPr>
      <w:r w:rsidRPr="00C8159E">
        <w:rPr>
          <w:color w:val="000000" w:themeColor="text1"/>
          <w:lang w:val="fr-FR"/>
        </w:rPr>
        <w:t>Élaborer un rapport final narratif complet, qui va au-delà d’une compilation, intégrant une analyse critique et stratégique des résultats obtenus au regard des objectifs initiaux et du cadre logique du projet.</w:t>
      </w:r>
    </w:p>
    <w:p w14:paraId="580DCA18" w14:textId="40E9EC6C" w:rsidR="003B48F4" w:rsidRPr="005D2EE3" w:rsidRDefault="005741E2" w:rsidP="00715A57">
      <w:pPr>
        <w:pStyle w:val="Heading1"/>
        <w:rPr>
          <w:lang w:val="fr-FR"/>
        </w:rPr>
      </w:pPr>
      <w:r w:rsidRPr="005D2EE3">
        <w:rPr>
          <w:lang w:val="fr-FR"/>
        </w:rPr>
        <w:t xml:space="preserve">MÉTHODOLOGIE </w:t>
      </w:r>
    </w:p>
    <w:p w14:paraId="57804DDF" w14:textId="77777777" w:rsidR="009F301D" w:rsidRPr="009F301D" w:rsidRDefault="009F301D" w:rsidP="009F301D">
      <w:pPr>
        <w:rPr>
          <w:color w:val="000000" w:themeColor="text1"/>
          <w:lang w:val="fr-FR"/>
        </w:rPr>
      </w:pPr>
      <w:r w:rsidRPr="009F301D">
        <w:rPr>
          <w:color w:val="000000" w:themeColor="text1"/>
          <w:lang w:val="fr-FR"/>
        </w:rPr>
        <w:t xml:space="preserve">La mission s’appuiera sur une démarche </w:t>
      </w:r>
      <w:r w:rsidRPr="009F301D">
        <w:rPr>
          <w:color w:val="000000" w:themeColor="text1"/>
          <w:u w:val="single"/>
          <w:lang w:val="fr-FR"/>
        </w:rPr>
        <w:t>qualitative, participative et réflexive</w:t>
      </w:r>
      <w:r w:rsidRPr="009F301D">
        <w:rPr>
          <w:color w:val="000000" w:themeColor="text1"/>
          <w:lang w:val="fr-FR"/>
        </w:rPr>
        <w:t>, centrée sur la consolidation et la mise en cohérence de l’ensemble des productions relatives au projet ROSE, à travers :</w:t>
      </w:r>
    </w:p>
    <w:p w14:paraId="70385560" w14:textId="77777777" w:rsidR="009F301D" w:rsidRPr="009F301D" w:rsidRDefault="009F301D" w:rsidP="009F301D">
      <w:pPr>
        <w:numPr>
          <w:ilvl w:val="0"/>
          <w:numId w:val="41"/>
        </w:numPr>
        <w:rPr>
          <w:color w:val="000000" w:themeColor="text1"/>
          <w:lang w:val="fr-FR"/>
        </w:rPr>
      </w:pPr>
      <w:r w:rsidRPr="009F301D">
        <w:rPr>
          <w:color w:val="000000" w:themeColor="text1"/>
          <w:lang w:val="fr-FR"/>
        </w:rPr>
        <w:t xml:space="preserve">Une analyse documentaire approfondie et systématique </w:t>
      </w:r>
      <w:r w:rsidRPr="009F301D">
        <w:rPr>
          <w:color w:val="000000" w:themeColor="text1"/>
          <w:u w:val="single"/>
          <w:lang w:val="fr-FR"/>
        </w:rPr>
        <w:t>de tous les documents existants</w:t>
      </w:r>
      <w:r w:rsidRPr="009F301D">
        <w:rPr>
          <w:color w:val="000000" w:themeColor="text1"/>
          <w:lang w:val="fr-FR"/>
        </w:rPr>
        <w:t xml:space="preserve"> (rapports de missions, capitalisations, évaluations, plans d’action, notes d’apprentissages, rapports annuels, etc.), en identifiant les recoupements, les complémentarités et les contradictions ;</w:t>
      </w:r>
    </w:p>
    <w:p w14:paraId="3C303D42" w14:textId="4D5AEDC0" w:rsidR="009F301D" w:rsidRPr="009F301D" w:rsidRDefault="35943DC7" w:rsidP="009F301D">
      <w:pPr>
        <w:numPr>
          <w:ilvl w:val="0"/>
          <w:numId w:val="41"/>
        </w:numPr>
        <w:rPr>
          <w:color w:val="000000" w:themeColor="text1"/>
          <w:lang w:val="fr-FR"/>
        </w:rPr>
      </w:pPr>
      <w:r w:rsidRPr="35943DC7">
        <w:rPr>
          <w:color w:val="000000" w:themeColor="text1"/>
          <w:u w:val="single"/>
          <w:lang w:val="fr-FR"/>
        </w:rPr>
        <w:t>La collecte complémentaire</w:t>
      </w:r>
      <w:r w:rsidRPr="35943DC7">
        <w:rPr>
          <w:color w:val="000000" w:themeColor="text1"/>
          <w:lang w:val="fr-FR"/>
        </w:rPr>
        <w:t xml:space="preserve"> d’informations via des entretiens semi-directifs avec les membres clés de l’équipe projet, les partenaires du consortium, et une sélection représentative des OSCs partenaires, afin de contextualiser et d’enrichir les données existantes ;</w:t>
      </w:r>
    </w:p>
    <w:p w14:paraId="21AAF0B5" w14:textId="77777777" w:rsidR="009F301D" w:rsidRPr="009F301D" w:rsidRDefault="009F301D" w:rsidP="009F301D">
      <w:pPr>
        <w:numPr>
          <w:ilvl w:val="0"/>
          <w:numId w:val="41"/>
        </w:numPr>
        <w:rPr>
          <w:color w:val="000000" w:themeColor="text1"/>
          <w:u w:val="single"/>
          <w:lang w:val="fr-FR"/>
        </w:rPr>
      </w:pPr>
      <w:r w:rsidRPr="009F301D">
        <w:rPr>
          <w:color w:val="000000" w:themeColor="text1"/>
          <w:lang w:val="fr-FR"/>
        </w:rPr>
        <w:t xml:space="preserve">L’organisation d’ateliers participatifs internes (focus groups, séances de co-écriture, discussions structurantes) avec les acteurs du projet pour valider les constats, approfondir les analyses et </w:t>
      </w:r>
      <w:r w:rsidRPr="009F301D">
        <w:rPr>
          <w:color w:val="000000" w:themeColor="text1"/>
          <w:u w:val="single"/>
          <w:lang w:val="fr-FR"/>
        </w:rPr>
        <w:t>co-construire les récits d’apprentissage ;</w:t>
      </w:r>
    </w:p>
    <w:p w14:paraId="35E12087" w14:textId="77777777" w:rsidR="009F301D" w:rsidRPr="009F301D" w:rsidRDefault="009F301D" w:rsidP="009F301D">
      <w:pPr>
        <w:numPr>
          <w:ilvl w:val="0"/>
          <w:numId w:val="41"/>
        </w:numPr>
        <w:rPr>
          <w:color w:val="000000" w:themeColor="text1"/>
          <w:lang w:val="fr-FR"/>
        </w:rPr>
      </w:pPr>
      <w:r w:rsidRPr="009F301D">
        <w:rPr>
          <w:color w:val="000000" w:themeColor="text1"/>
          <w:lang w:val="fr-FR"/>
        </w:rPr>
        <w:t xml:space="preserve">Une démarche de capitalisation intégrée, visant à restituer </w:t>
      </w:r>
      <w:r w:rsidRPr="009F301D">
        <w:rPr>
          <w:color w:val="000000" w:themeColor="text1"/>
          <w:u w:val="single"/>
          <w:lang w:val="fr-FR"/>
        </w:rPr>
        <w:t>une histoire globale et cohérente du projet, à travers une narration</w:t>
      </w:r>
      <w:r w:rsidRPr="009F301D">
        <w:rPr>
          <w:color w:val="000000" w:themeColor="text1"/>
          <w:lang w:val="fr-FR"/>
        </w:rPr>
        <w:t xml:space="preserve"> qui met en lumière les processus, les transformations, les réussites, les défis et les enseignements clés ;</w:t>
      </w:r>
    </w:p>
    <w:p w14:paraId="18A9AD8B" w14:textId="77777777" w:rsidR="009F301D" w:rsidRPr="009F301D" w:rsidRDefault="009F301D" w:rsidP="009F301D">
      <w:pPr>
        <w:numPr>
          <w:ilvl w:val="0"/>
          <w:numId w:val="41"/>
        </w:numPr>
        <w:rPr>
          <w:color w:val="000000" w:themeColor="text1"/>
          <w:lang w:val="fr-FR"/>
        </w:rPr>
      </w:pPr>
      <w:r w:rsidRPr="009F301D">
        <w:rPr>
          <w:color w:val="000000" w:themeColor="text1"/>
          <w:lang w:val="fr-FR"/>
        </w:rPr>
        <w:t>L’élaboration d’un rapport final qui oriente, synthétise et donne du sens à l’ensemble des données, au-delà de leur simple agrégation, en adoptant une posture analytique critique</w:t>
      </w:r>
    </w:p>
    <w:p w14:paraId="0222132B" w14:textId="77777777" w:rsidR="005D2EE3" w:rsidRPr="005D2EE3" w:rsidRDefault="005D2EE3" w:rsidP="005D2EE3">
      <w:pPr>
        <w:rPr>
          <w:color w:val="000000" w:themeColor="text1"/>
          <w:lang w:val="fr-FR"/>
        </w:rPr>
      </w:pPr>
      <w:r w:rsidRPr="005D2EE3">
        <w:rPr>
          <w:color w:val="000000" w:themeColor="text1"/>
          <w:lang w:val="fr-FR"/>
        </w:rPr>
        <w:t>L’optique n’est pas seulement de compiler des résultats, mais de comprendre les dynamiques à l’œuvre, les chemins de transformation, et les facteurs favorisant (ou freinant) les changements observés.</w:t>
      </w:r>
    </w:p>
    <w:p w14:paraId="56CC0F13" w14:textId="04CE928D" w:rsidR="003B48F4" w:rsidRPr="005D2EE3" w:rsidRDefault="001F571E" w:rsidP="001F571E">
      <w:pPr>
        <w:pStyle w:val="Heading2"/>
        <w:rPr>
          <w:lang w:val="fr-FR"/>
        </w:rPr>
      </w:pPr>
      <w:r w:rsidRPr="005D2EE3">
        <w:rPr>
          <w:lang w:val="fr-FR"/>
        </w:rPr>
        <w:t>Calendrier prévu</w:t>
      </w:r>
    </w:p>
    <w:tbl>
      <w:tblPr>
        <w:tblStyle w:val="TableGrid"/>
        <w:tblW w:w="0" w:type="auto"/>
        <w:tblLook w:val="04A0" w:firstRow="1" w:lastRow="0" w:firstColumn="1" w:lastColumn="0" w:noHBand="0" w:noVBand="1"/>
      </w:tblPr>
      <w:tblGrid>
        <w:gridCol w:w="2533"/>
        <w:gridCol w:w="3005"/>
        <w:gridCol w:w="2038"/>
        <w:gridCol w:w="2880"/>
      </w:tblGrid>
      <w:tr w:rsidR="003B48F4" w:rsidRPr="005D2EE3" w14:paraId="516EB5C4" w14:textId="77777777" w:rsidTr="35943DC7">
        <w:tc>
          <w:tcPr>
            <w:tcW w:w="2533" w:type="dxa"/>
            <w:shd w:val="clear" w:color="auto" w:fill="44841A"/>
          </w:tcPr>
          <w:p w14:paraId="6D6B3014" w14:textId="04C2A074" w:rsidR="003B48F4" w:rsidRPr="005D2EE3" w:rsidRDefault="003B48F4" w:rsidP="00583698">
            <w:pPr>
              <w:rPr>
                <w:b/>
                <w:bCs/>
                <w:color w:val="FFFFFF" w:themeColor="background1"/>
                <w:lang w:val="fr-FR"/>
              </w:rPr>
            </w:pPr>
            <w:r w:rsidRPr="005D2EE3">
              <w:rPr>
                <w:b/>
                <w:bCs/>
                <w:color w:val="FFFFFF" w:themeColor="background1"/>
                <w:lang w:val="fr-FR"/>
              </w:rPr>
              <w:t>Activit</w:t>
            </w:r>
            <w:r w:rsidR="001F571E" w:rsidRPr="005D2EE3">
              <w:rPr>
                <w:b/>
                <w:bCs/>
                <w:color w:val="FFFFFF" w:themeColor="background1"/>
                <w:lang w:val="fr-FR"/>
              </w:rPr>
              <w:t>é</w:t>
            </w:r>
            <w:r w:rsidRPr="005D2EE3">
              <w:rPr>
                <w:b/>
                <w:bCs/>
                <w:color w:val="FFFFFF" w:themeColor="background1"/>
                <w:lang w:val="fr-FR"/>
              </w:rPr>
              <w:t xml:space="preserve"> / </w:t>
            </w:r>
            <w:r w:rsidR="001F571E" w:rsidRPr="005D2EE3">
              <w:rPr>
                <w:b/>
                <w:bCs/>
                <w:color w:val="FFFFFF" w:themeColor="background1"/>
                <w:lang w:val="fr-FR"/>
              </w:rPr>
              <w:t>Jalon</w:t>
            </w:r>
          </w:p>
        </w:tc>
        <w:tc>
          <w:tcPr>
            <w:tcW w:w="3005" w:type="dxa"/>
            <w:shd w:val="clear" w:color="auto" w:fill="44841A"/>
          </w:tcPr>
          <w:p w14:paraId="442069D9" w14:textId="16068CBC" w:rsidR="003B48F4" w:rsidRPr="005D2EE3" w:rsidRDefault="001F571E" w:rsidP="00583698">
            <w:pPr>
              <w:rPr>
                <w:b/>
                <w:bCs/>
                <w:color w:val="FFFFFF" w:themeColor="background1"/>
                <w:lang w:val="fr-FR"/>
              </w:rPr>
            </w:pPr>
            <w:r w:rsidRPr="005D2EE3">
              <w:rPr>
                <w:b/>
                <w:bCs/>
                <w:color w:val="FFFFFF" w:themeColor="background1"/>
                <w:lang w:val="fr-FR"/>
              </w:rPr>
              <w:t xml:space="preserve">Résultats ou </w:t>
            </w:r>
            <w:r w:rsidR="00B36552" w:rsidRPr="005D2EE3">
              <w:rPr>
                <w:b/>
                <w:bCs/>
                <w:color w:val="FFFFFF" w:themeColor="background1"/>
                <w:lang w:val="fr-FR"/>
              </w:rPr>
              <w:t>L</w:t>
            </w:r>
            <w:r w:rsidRPr="005D2EE3">
              <w:rPr>
                <w:b/>
                <w:bCs/>
                <w:color w:val="FFFFFF" w:themeColor="background1"/>
                <w:lang w:val="fr-FR"/>
              </w:rPr>
              <w:t>ivrables</w:t>
            </w:r>
          </w:p>
        </w:tc>
        <w:tc>
          <w:tcPr>
            <w:tcW w:w="2038" w:type="dxa"/>
            <w:shd w:val="clear" w:color="auto" w:fill="44841A"/>
          </w:tcPr>
          <w:p w14:paraId="2A8989F7" w14:textId="3F19D5C3" w:rsidR="003B48F4" w:rsidRPr="005D2EE3" w:rsidRDefault="001F571E" w:rsidP="001F571E">
            <w:pPr>
              <w:rPr>
                <w:b/>
                <w:bCs/>
                <w:color w:val="FFFFFF" w:themeColor="background1"/>
                <w:lang w:val="fr-FR"/>
              </w:rPr>
            </w:pPr>
            <w:r w:rsidRPr="005D2EE3">
              <w:rPr>
                <w:b/>
                <w:bCs/>
                <w:color w:val="FFFFFF" w:themeColor="background1"/>
                <w:lang w:val="fr-FR"/>
              </w:rPr>
              <w:t>Jours estimés</w:t>
            </w:r>
          </w:p>
        </w:tc>
        <w:tc>
          <w:tcPr>
            <w:tcW w:w="2880" w:type="dxa"/>
            <w:shd w:val="clear" w:color="auto" w:fill="44841A"/>
          </w:tcPr>
          <w:p w14:paraId="797EA44A" w14:textId="34425A83" w:rsidR="003B48F4" w:rsidRPr="005D2EE3" w:rsidRDefault="001F571E" w:rsidP="001F571E">
            <w:pPr>
              <w:rPr>
                <w:b/>
                <w:bCs/>
                <w:color w:val="FFFFFF" w:themeColor="background1"/>
                <w:lang w:val="fr-FR"/>
              </w:rPr>
            </w:pPr>
            <w:r w:rsidRPr="005D2EE3">
              <w:rPr>
                <w:b/>
                <w:bCs/>
                <w:color w:val="FFFFFF" w:themeColor="background1"/>
                <w:lang w:val="fr-FR"/>
              </w:rPr>
              <w:t>Chronologie</w:t>
            </w:r>
          </w:p>
        </w:tc>
      </w:tr>
      <w:tr w:rsidR="00E056F4" w:rsidRPr="005D2EE3" w14:paraId="5DB50059" w14:textId="77777777" w:rsidTr="35943DC7">
        <w:tc>
          <w:tcPr>
            <w:tcW w:w="2533" w:type="dxa"/>
            <w:shd w:val="clear" w:color="auto" w:fill="F2F2F2" w:themeFill="background1" w:themeFillShade="F2"/>
            <w:vAlign w:val="center"/>
          </w:tcPr>
          <w:p w14:paraId="45897F11" w14:textId="08ED7F0A" w:rsidR="00E056F4" w:rsidRPr="00294306" w:rsidRDefault="00E056F4" w:rsidP="00E056F4">
            <w:pPr>
              <w:rPr>
                <w:i/>
                <w:iCs/>
                <w:lang w:val="fr-FR"/>
              </w:rPr>
            </w:pPr>
            <w:r>
              <w:rPr>
                <w:b/>
                <w:bCs/>
              </w:rPr>
              <w:t>Activité / Jalon</w:t>
            </w:r>
          </w:p>
        </w:tc>
        <w:tc>
          <w:tcPr>
            <w:tcW w:w="3005" w:type="dxa"/>
            <w:vAlign w:val="center"/>
          </w:tcPr>
          <w:p w14:paraId="46DC8CFC" w14:textId="2568FD73" w:rsidR="00E056F4" w:rsidRPr="00294306" w:rsidRDefault="00E056F4" w:rsidP="00E056F4">
            <w:pPr>
              <w:rPr>
                <w:i/>
                <w:iCs/>
                <w:lang w:val="fr-FR"/>
              </w:rPr>
            </w:pPr>
            <w:r>
              <w:rPr>
                <w:b/>
                <w:bCs/>
              </w:rPr>
              <w:t>Résultats ou Livrables</w:t>
            </w:r>
          </w:p>
        </w:tc>
        <w:tc>
          <w:tcPr>
            <w:tcW w:w="2038" w:type="dxa"/>
            <w:vAlign w:val="center"/>
          </w:tcPr>
          <w:p w14:paraId="16198946" w14:textId="0D96710B" w:rsidR="00E056F4" w:rsidRPr="00294306" w:rsidRDefault="00E056F4" w:rsidP="00E056F4">
            <w:pPr>
              <w:rPr>
                <w:i/>
                <w:iCs/>
                <w:lang w:val="fr-FR"/>
              </w:rPr>
            </w:pPr>
            <w:r>
              <w:rPr>
                <w:b/>
                <w:bCs/>
              </w:rPr>
              <w:t>Jours estimés</w:t>
            </w:r>
          </w:p>
        </w:tc>
        <w:tc>
          <w:tcPr>
            <w:tcW w:w="2880" w:type="dxa"/>
            <w:vAlign w:val="center"/>
          </w:tcPr>
          <w:p w14:paraId="6CB40138" w14:textId="1F081FBF" w:rsidR="00E056F4" w:rsidRPr="00294306" w:rsidRDefault="00E056F4" w:rsidP="00E056F4">
            <w:pPr>
              <w:rPr>
                <w:i/>
                <w:iCs/>
                <w:lang w:val="fr-FR"/>
              </w:rPr>
            </w:pPr>
            <w:r>
              <w:rPr>
                <w:b/>
                <w:bCs/>
              </w:rPr>
              <w:t>Chronologie</w:t>
            </w:r>
          </w:p>
        </w:tc>
      </w:tr>
      <w:tr w:rsidR="00E056F4" w:rsidRPr="005D2EE3" w14:paraId="25577349" w14:textId="77777777" w:rsidTr="35943DC7">
        <w:tc>
          <w:tcPr>
            <w:tcW w:w="2533" w:type="dxa"/>
            <w:shd w:val="clear" w:color="auto" w:fill="F2F2F2" w:themeFill="background1" w:themeFillShade="F2"/>
            <w:vAlign w:val="center"/>
          </w:tcPr>
          <w:p w14:paraId="174D5D99" w14:textId="1D79D917" w:rsidR="00E056F4" w:rsidRPr="00294306" w:rsidRDefault="00E056F4" w:rsidP="00E056F4">
            <w:pPr>
              <w:rPr>
                <w:i/>
                <w:iCs/>
                <w:lang w:val="fr-FR"/>
              </w:rPr>
            </w:pPr>
            <w:r>
              <w:t>Revue documentaire et cadrage</w:t>
            </w:r>
          </w:p>
        </w:tc>
        <w:tc>
          <w:tcPr>
            <w:tcW w:w="3005" w:type="dxa"/>
            <w:vAlign w:val="center"/>
          </w:tcPr>
          <w:p w14:paraId="0E0C77A0" w14:textId="59C12883" w:rsidR="00E056F4" w:rsidRPr="00294306" w:rsidRDefault="00E056F4" w:rsidP="00E056F4">
            <w:pPr>
              <w:rPr>
                <w:i/>
                <w:iCs/>
                <w:lang w:val="fr-FR"/>
              </w:rPr>
            </w:pPr>
            <w:r w:rsidRPr="00E056F4">
              <w:rPr>
                <w:lang w:val="fr-FR"/>
              </w:rPr>
              <w:t>Note méthodologique et plan de travail validé (version narrative + calendrier détaillé)</w:t>
            </w:r>
          </w:p>
        </w:tc>
        <w:tc>
          <w:tcPr>
            <w:tcW w:w="2038" w:type="dxa"/>
            <w:vAlign w:val="center"/>
          </w:tcPr>
          <w:p w14:paraId="0F55DBB7" w14:textId="3FBF3E55" w:rsidR="00E056F4" w:rsidRPr="00294306" w:rsidRDefault="35943DC7" w:rsidP="35943DC7">
            <w:pPr>
              <w:rPr>
                <w:i/>
                <w:iCs/>
                <w:lang w:val="fr-FR"/>
              </w:rPr>
            </w:pPr>
            <w:r>
              <w:t>5 j</w:t>
            </w:r>
          </w:p>
        </w:tc>
        <w:tc>
          <w:tcPr>
            <w:tcW w:w="2880" w:type="dxa"/>
            <w:vAlign w:val="center"/>
          </w:tcPr>
          <w:p w14:paraId="6BDAC3DC" w14:textId="3A1E5638" w:rsidR="00E056F4" w:rsidRPr="00294306" w:rsidRDefault="35943DC7" w:rsidP="35943DC7">
            <w:pPr>
              <w:rPr>
                <w:i/>
                <w:iCs/>
                <w:lang w:val="fr-FR"/>
              </w:rPr>
            </w:pPr>
            <w:r>
              <w:t>Semaine 1-3</w:t>
            </w:r>
          </w:p>
        </w:tc>
      </w:tr>
      <w:tr w:rsidR="00E056F4" w:rsidRPr="005D2EE3" w14:paraId="0BB7B4C9" w14:textId="77777777" w:rsidTr="35943DC7">
        <w:tc>
          <w:tcPr>
            <w:tcW w:w="2533" w:type="dxa"/>
            <w:shd w:val="clear" w:color="auto" w:fill="F2F2F2" w:themeFill="background1" w:themeFillShade="F2"/>
            <w:vAlign w:val="center"/>
          </w:tcPr>
          <w:p w14:paraId="783B33CE" w14:textId="3F68C70A" w:rsidR="00E056F4" w:rsidRPr="00294306" w:rsidRDefault="00E056F4" w:rsidP="00E056F4">
            <w:pPr>
              <w:rPr>
                <w:i/>
                <w:iCs/>
                <w:lang w:val="en-US"/>
              </w:rPr>
            </w:pPr>
            <w:r>
              <w:t>Collecte terrain et analyse</w:t>
            </w:r>
          </w:p>
        </w:tc>
        <w:tc>
          <w:tcPr>
            <w:tcW w:w="3005" w:type="dxa"/>
            <w:vAlign w:val="center"/>
          </w:tcPr>
          <w:p w14:paraId="123F56D5" w14:textId="2C75B63F" w:rsidR="00E056F4" w:rsidRPr="00294306" w:rsidRDefault="00E056F4" w:rsidP="00E056F4">
            <w:pPr>
              <w:rPr>
                <w:i/>
                <w:iCs/>
                <w:lang w:val="fr-FR"/>
              </w:rPr>
            </w:pPr>
            <w:r w:rsidRPr="00E056F4">
              <w:rPr>
                <w:lang w:val="fr-FR"/>
              </w:rPr>
              <w:t>Matériaux bruts (notes, verbatims, entretiens, focus groups) + compilation des documents existants</w:t>
            </w:r>
          </w:p>
        </w:tc>
        <w:tc>
          <w:tcPr>
            <w:tcW w:w="2038" w:type="dxa"/>
            <w:vAlign w:val="center"/>
          </w:tcPr>
          <w:p w14:paraId="22F2D98F" w14:textId="51906145" w:rsidR="00E056F4" w:rsidRPr="00294306" w:rsidRDefault="35943DC7" w:rsidP="35943DC7">
            <w:pPr>
              <w:rPr>
                <w:i/>
                <w:iCs/>
                <w:lang w:val="fr-FR"/>
              </w:rPr>
            </w:pPr>
            <w:r>
              <w:t>20 j</w:t>
            </w:r>
          </w:p>
        </w:tc>
        <w:tc>
          <w:tcPr>
            <w:tcW w:w="2880" w:type="dxa"/>
            <w:vAlign w:val="center"/>
          </w:tcPr>
          <w:p w14:paraId="599114EB" w14:textId="5035C185" w:rsidR="00E056F4" w:rsidRPr="00294306" w:rsidRDefault="35943DC7" w:rsidP="35943DC7">
            <w:pPr>
              <w:rPr>
                <w:i/>
                <w:iCs/>
                <w:lang w:val="fr-FR"/>
              </w:rPr>
            </w:pPr>
            <w:r>
              <w:t>Semaines 3-4</w:t>
            </w:r>
          </w:p>
        </w:tc>
      </w:tr>
      <w:tr w:rsidR="00E056F4" w:rsidRPr="005D2EE3" w14:paraId="12B21781" w14:textId="77777777" w:rsidTr="35943DC7">
        <w:tc>
          <w:tcPr>
            <w:tcW w:w="2533" w:type="dxa"/>
            <w:shd w:val="clear" w:color="auto" w:fill="F2F2F2" w:themeFill="background1" w:themeFillShade="F2"/>
            <w:vAlign w:val="center"/>
          </w:tcPr>
          <w:p w14:paraId="7CD9DAF4" w14:textId="731BAE05" w:rsidR="00E056F4" w:rsidRPr="00294306" w:rsidRDefault="00E056F4" w:rsidP="00E056F4">
            <w:pPr>
              <w:rPr>
                <w:i/>
                <w:iCs/>
                <w:lang w:val="fr-FR"/>
              </w:rPr>
            </w:pPr>
            <w:r>
              <w:t>Animation des sessions d’échange</w:t>
            </w:r>
          </w:p>
        </w:tc>
        <w:tc>
          <w:tcPr>
            <w:tcW w:w="3005" w:type="dxa"/>
            <w:vAlign w:val="center"/>
          </w:tcPr>
          <w:p w14:paraId="4CB1B641" w14:textId="180C3A30" w:rsidR="00E056F4" w:rsidRPr="00294306" w:rsidRDefault="00E056F4" w:rsidP="00E056F4">
            <w:pPr>
              <w:rPr>
                <w:i/>
                <w:iCs/>
                <w:lang w:val="fr-FR"/>
              </w:rPr>
            </w:pPr>
            <w:r w:rsidRPr="00E056F4">
              <w:rPr>
                <w:lang w:val="fr-FR"/>
              </w:rPr>
              <w:t>Notes d’apprentissage issues des ateliers participatifs et focus groups</w:t>
            </w:r>
          </w:p>
        </w:tc>
        <w:tc>
          <w:tcPr>
            <w:tcW w:w="2038" w:type="dxa"/>
            <w:vAlign w:val="center"/>
          </w:tcPr>
          <w:p w14:paraId="58A9BFF1" w14:textId="17A9B2C6" w:rsidR="00E056F4" w:rsidRPr="00294306" w:rsidRDefault="00E056F4" w:rsidP="00E056F4">
            <w:pPr>
              <w:rPr>
                <w:i/>
                <w:iCs/>
                <w:lang w:val="fr-FR"/>
              </w:rPr>
            </w:pPr>
            <w:r>
              <w:t>5 j</w:t>
            </w:r>
          </w:p>
        </w:tc>
        <w:tc>
          <w:tcPr>
            <w:tcW w:w="2880" w:type="dxa"/>
            <w:vAlign w:val="center"/>
          </w:tcPr>
          <w:p w14:paraId="033562B6" w14:textId="4C2DCD84" w:rsidR="00E056F4" w:rsidRPr="00294306" w:rsidRDefault="35943DC7" w:rsidP="35943DC7">
            <w:pPr>
              <w:rPr>
                <w:i/>
                <w:iCs/>
                <w:lang w:val="fr-FR"/>
              </w:rPr>
            </w:pPr>
            <w:r>
              <w:t>Semaines 4 - 5</w:t>
            </w:r>
          </w:p>
        </w:tc>
      </w:tr>
      <w:tr w:rsidR="00E056F4" w:rsidRPr="005D2EE3" w14:paraId="2BE8766F" w14:textId="77777777" w:rsidTr="35943DC7">
        <w:tc>
          <w:tcPr>
            <w:tcW w:w="2533" w:type="dxa"/>
            <w:shd w:val="clear" w:color="auto" w:fill="F2F2F2" w:themeFill="background1" w:themeFillShade="F2"/>
            <w:vAlign w:val="center"/>
          </w:tcPr>
          <w:p w14:paraId="73984341" w14:textId="5C0F2B93" w:rsidR="00E056F4" w:rsidRPr="00294306" w:rsidRDefault="00E056F4" w:rsidP="00E056F4">
            <w:pPr>
              <w:rPr>
                <w:i/>
                <w:iCs/>
                <w:lang w:val="fr-FR"/>
              </w:rPr>
            </w:pPr>
            <w:r>
              <w:t>Rédaction du rapport intermédiaire</w:t>
            </w:r>
          </w:p>
        </w:tc>
        <w:tc>
          <w:tcPr>
            <w:tcW w:w="3005" w:type="dxa"/>
            <w:vAlign w:val="center"/>
          </w:tcPr>
          <w:p w14:paraId="3358FD10" w14:textId="33204416" w:rsidR="00E056F4" w:rsidRPr="00294306" w:rsidRDefault="00E056F4" w:rsidP="00E056F4">
            <w:pPr>
              <w:rPr>
                <w:i/>
                <w:iCs/>
                <w:lang w:val="fr-FR"/>
              </w:rPr>
            </w:pPr>
            <w:r w:rsidRPr="00E056F4">
              <w:rPr>
                <w:lang w:val="fr-FR"/>
              </w:rPr>
              <w:t>Rapport intermédiaire consolidé avec premiers résultats et observations synthétiques</w:t>
            </w:r>
          </w:p>
        </w:tc>
        <w:tc>
          <w:tcPr>
            <w:tcW w:w="2038" w:type="dxa"/>
            <w:vAlign w:val="center"/>
          </w:tcPr>
          <w:p w14:paraId="77F130BE" w14:textId="3CA2772F" w:rsidR="00E056F4" w:rsidRPr="00294306" w:rsidRDefault="35943DC7" w:rsidP="35943DC7">
            <w:pPr>
              <w:rPr>
                <w:i/>
                <w:iCs/>
                <w:lang w:val="fr-FR"/>
              </w:rPr>
            </w:pPr>
            <w:r>
              <w:t>10 j</w:t>
            </w:r>
          </w:p>
        </w:tc>
        <w:tc>
          <w:tcPr>
            <w:tcW w:w="2880" w:type="dxa"/>
            <w:vAlign w:val="center"/>
          </w:tcPr>
          <w:p w14:paraId="7AE7D25F" w14:textId="41657DD4" w:rsidR="00E056F4" w:rsidRPr="00294306" w:rsidRDefault="35943DC7" w:rsidP="35943DC7">
            <w:pPr>
              <w:rPr>
                <w:i/>
                <w:iCs/>
                <w:lang w:val="fr-FR"/>
              </w:rPr>
            </w:pPr>
            <w:r>
              <w:t>Fin semaine 5-6</w:t>
            </w:r>
          </w:p>
        </w:tc>
      </w:tr>
      <w:tr w:rsidR="35943DC7" w14:paraId="632CD83A" w14:textId="77777777" w:rsidTr="35943DC7">
        <w:trPr>
          <w:trHeight w:val="300"/>
        </w:trPr>
        <w:tc>
          <w:tcPr>
            <w:tcW w:w="2533" w:type="dxa"/>
            <w:shd w:val="clear" w:color="auto" w:fill="F2F2F2" w:themeFill="background1" w:themeFillShade="F2"/>
            <w:vAlign w:val="center"/>
          </w:tcPr>
          <w:p w14:paraId="4DCFB6F2" w14:textId="29FA4C06" w:rsidR="35943DC7" w:rsidRPr="008D3305" w:rsidRDefault="35943DC7" w:rsidP="35943DC7">
            <w:pPr>
              <w:rPr>
                <w:lang w:val="fr-FR"/>
              </w:rPr>
            </w:pPr>
            <w:r w:rsidRPr="008D3305">
              <w:rPr>
                <w:lang w:val="fr-FR"/>
              </w:rPr>
              <w:t>Rédaction du rapport final et des supports de vulgarisation additionnel</w:t>
            </w:r>
          </w:p>
        </w:tc>
        <w:tc>
          <w:tcPr>
            <w:tcW w:w="3005" w:type="dxa"/>
            <w:vAlign w:val="center"/>
          </w:tcPr>
          <w:p w14:paraId="4836B209" w14:textId="0DAF0CBD" w:rsidR="35943DC7" w:rsidRDefault="35943DC7" w:rsidP="35943DC7">
            <w:pPr>
              <w:rPr>
                <w:lang w:val="fr-FR"/>
              </w:rPr>
            </w:pPr>
            <w:r w:rsidRPr="35943DC7">
              <w:rPr>
                <w:lang w:val="fr-FR"/>
              </w:rPr>
              <w:t>Rapport final et support visuels synthétiques</w:t>
            </w:r>
          </w:p>
        </w:tc>
        <w:tc>
          <w:tcPr>
            <w:tcW w:w="2038" w:type="dxa"/>
            <w:vAlign w:val="center"/>
          </w:tcPr>
          <w:p w14:paraId="72E6F4FE" w14:textId="106C72CB" w:rsidR="35943DC7" w:rsidRDefault="35943DC7" w:rsidP="35943DC7">
            <w:r>
              <w:t>5 jours</w:t>
            </w:r>
          </w:p>
        </w:tc>
        <w:tc>
          <w:tcPr>
            <w:tcW w:w="2880" w:type="dxa"/>
            <w:vAlign w:val="center"/>
          </w:tcPr>
          <w:p w14:paraId="10020ADD" w14:textId="0A2C29A0" w:rsidR="35943DC7" w:rsidRDefault="35943DC7" w:rsidP="35943DC7">
            <w:r>
              <w:t>Semaine7</w:t>
            </w:r>
          </w:p>
        </w:tc>
      </w:tr>
    </w:tbl>
    <w:p w14:paraId="0F9E3F66" w14:textId="77777777" w:rsidR="003B48F4" w:rsidRPr="005D2EE3" w:rsidRDefault="003B48F4" w:rsidP="007D3292">
      <w:pPr>
        <w:rPr>
          <w:lang w:val="fr-FR"/>
        </w:rPr>
      </w:pPr>
    </w:p>
    <w:p w14:paraId="34BC3B22" w14:textId="3283FFB2" w:rsidR="001D4403" w:rsidRPr="005D2EE3" w:rsidRDefault="000B4549" w:rsidP="00715A57">
      <w:pPr>
        <w:pStyle w:val="Heading1"/>
        <w:rPr>
          <w:lang w:val="fr-FR"/>
        </w:rPr>
      </w:pPr>
      <w:r w:rsidRPr="005D2EE3">
        <w:rPr>
          <w:lang w:val="fr-FR"/>
        </w:rPr>
        <w:t xml:space="preserve">DÉLAI ET CALENDRIER DE PAIEMENT </w:t>
      </w:r>
    </w:p>
    <w:p w14:paraId="533F36C1" w14:textId="5458DE1A" w:rsidR="007A000B" w:rsidRPr="005D2EE3" w:rsidRDefault="000B4549" w:rsidP="007A000B">
      <w:pPr>
        <w:rPr>
          <w:color w:val="000000" w:themeColor="text1"/>
          <w:lang w:val="fr-FR"/>
        </w:rPr>
      </w:pPr>
      <w:r w:rsidRPr="005D2EE3">
        <w:rPr>
          <w:color w:val="000000" w:themeColor="text1"/>
          <w:lang w:val="fr-FR"/>
        </w:rPr>
        <w:t>La rémunération est basée sur la soumission des livrables finaux selon le calendrier ci-dessous.</w:t>
      </w:r>
    </w:p>
    <w:tbl>
      <w:tblPr>
        <w:tblStyle w:val="TableGrid"/>
        <w:tblW w:w="0" w:type="auto"/>
        <w:jc w:val="center"/>
        <w:tblLook w:val="04A0" w:firstRow="1" w:lastRow="0" w:firstColumn="1" w:lastColumn="0" w:noHBand="0" w:noVBand="1"/>
      </w:tblPr>
      <w:tblGrid>
        <w:gridCol w:w="571"/>
        <w:gridCol w:w="5904"/>
        <w:gridCol w:w="2026"/>
        <w:gridCol w:w="1394"/>
      </w:tblGrid>
      <w:tr w:rsidR="007A000B" w:rsidRPr="005D2EE3" w14:paraId="358B6FA2" w14:textId="77777777" w:rsidTr="35943DC7">
        <w:trPr>
          <w:jc w:val="center"/>
        </w:trPr>
        <w:tc>
          <w:tcPr>
            <w:tcW w:w="571" w:type="dxa"/>
            <w:shd w:val="clear" w:color="auto" w:fill="44841A"/>
            <w:vAlign w:val="center"/>
          </w:tcPr>
          <w:p w14:paraId="23197586" w14:textId="4BC5FEF9" w:rsidR="007A000B" w:rsidRPr="005D2EE3" w:rsidRDefault="007A000B" w:rsidP="001D4403">
            <w:pPr>
              <w:rPr>
                <w:b/>
                <w:bCs/>
                <w:color w:val="FFFFFF" w:themeColor="background1"/>
                <w:lang w:val="fr-FR"/>
              </w:rPr>
            </w:pPr>
            <w:r w:rsidRPr="005D2EE3">
              <w:rPr>
                <w:b/>
                <w:bCs/>
                <w:color w:val="FFFFFF" w:themeColor="background1"/>
                <w:lang w:val="fr-FR"/>
              </w:rPr>
              <w:t>No.</w:t>
            </w:r>
          </w:p>
        </w:tc>
        <w:tc>
          <w:tcPr>
            <w:tcW w:w="5904" w:type="dxa"/>
            <w:shd w:val="clear" w:color="auto" w:fill="44841A"/>
            <w:vAlign w:val="center"/>
          </w:tcPr>
          <w:p w14:paraId="22BE6987" w14:textId="7AC2DF90" w:rsidR="007A000B" w:rsidRPr="005D2EE3" w:rsidRDefault="0062392B" w:rsidP="0062392B">
            <w:pPr>
              <w:rPr>
                <w:b/>
                <w:bCs/>
                <w:color w:val="FFFFFF" w:themeColor="background1"/>
                <w:lang w:val="fr-FR"/>
              </w:rPr>
            </w:pPr>
            <w:r w:rsidRPr="005D2EE3">
              <w:rPr>
                <w:b/>
                <w:bCs/>
                <w:color w:val="FFFFFF" w:themeColor="background1"/>
                <w:lang w:val="fr-FR"/>
              </w:rPr>
              <w:t>Livrables ou documents à livrer</w:t>
            </w:r>
          </w:p>
        </w:tc>
        <w:tc>
          <w:tcPr>
            <w:tcW w:w="2026" w:type="dxa"/>
            <w:shd w:val="clear" w:color="auto" w:fill="44841A"/>
            <w:vAlign w:val="center"/>
          </w:tcPr>
          <w:p w14:paraId="0CE9360D" w14:textId="775B6FD5" w:rsidR="007A000B" w:rsidRPr="005D2EE3" w:rsidRDefault="0062392B" w:rsidP="001D4403">
            <w:pPr>
              <w:rPr>
                <w:b/>
                <w:bCs/>
                <w:color w:val="FFFFFF" w:themeColor="background1"/>
                <w:lang w:val="fr-FR"/>
              </w:rPr>
            </w:pPr>
            <w:r w:rsidRPr="005D2EE3">
              <w:rPr>
                <w:b/>
                <w:bCs/>
                <w:color w:val="FFFFFF" w:themeColor="background1"/>
                <w:lang w:val="fr-FR"/>
              </w:rPr>
              <w:t>Dates estimées</w:t>
            </w:r>
          </w:p>
        </w:tc>
        <w:tc>
          <w:tcPr>
            <w:tcW w:w="1394" w:type="dxa"/>
            <w:shd w:val="clear" w:color="auto" w:fill="44841A"/>
            <w:vAlign w:val="center"/>
          </w:tcPr>
          <w:p w14:paraId="69CB410D" w14:textId="4FCF487A" w:rsidR="007A000B" w:rsidRPr="005D2EE3" w:rsidRDefault="0062392B" w:rsidP="0062392B">
            <w:pPr>
              <w:rPr>
                <w:b/>
                <w:bCs/>
                <w:color w:val="FFFFFF" w:themeColor="background1"/>
                <w:lang w:val="fr-FR"/>
              </w:rPr>
            </w:pPr>
            <w:r w:rsidRPr="005D2EE3">
              <w:rPr>
                <w:b/>
                <w:bCs/>
                <w:color w:val="FFFFFF" w:themeColor="background1"/>
                <w:lang w:val="fr-FR"/>
              </w:rPr>
              <w:t>% Paiement</w:t>
            </w:r>
          </w:p>
        </w:tc>
      </w:tr>
      <w:tr w:rsidR="007A000B" w:rsidRPr="005D2EE3" w14:paraId="359623D2" w14:textId="77777777" w:rsidTr="35943DC7">
        <w:trPr>
          <w:jc w:val="center"/>
        </w:trPr>
        <w:tc>
          <w:tcPr>
            <w:tcW w:w="571" w:type="dxa"/>
          </w:tcPr>
          <w:p w14:paraId="41466082" w14:textId="1AE21CB9" w:rsidR="007A000B" w:rsidRPr="005D2EE3" w:rsidRDefault="007A000B" w:rsidP="001D4403">
            <w:pPr>
              <w:rPr>
                <w:lang w:val="fr-FR"/>
              </w:rPr>
            </w:pPr>
            <w:r w:rsidRPr="005D2EE3">
              <w:rPr>
                <w:lang w:val="fr-FR"/>
              </w:rPr>
              <w:t>1</w:t>
            </w:r>
          </w:p>
        </w:tc>
        <w:tc>
          <w:tcPr>
            <w:tcW w:w="5904" w:type="dxa"/>
          </w:tcPr>
          <w:p w14:paraId="36DE3346" w14:textId="77777777" w:rsidR="00B23A9F" w:rsidRPr="00B23A9F" w:rsidRDefault="00B23A9F" w:rsidP="00B23A9F">
            <w:pPr>
              <w:rPr>
                <w:b/>
                <w:bCs/>
                <w:lang w:val="fr-FR"/>
              </w:rPr>
            </w:pPr>
            <w:r w:rsidRPr="00B23A9F">
              <w:rPr>
                <w:b/>
                <w:bCs/>
                <w:lang w:val="fr-FR"/>
              </w:rPr>
              <w:t>Note méthodologique et plan de travail validé (version narrative et tableau synthétique avec calendrier) ;</w:t>
            </w:r>
          </w:p>
          <w:p w14:paraId="43F14015" w14:textId="34763BBB" w:rsidR="007A000B" w:rsidRPr="005D2EE3" w:rsidRDefault="007A000B" w:rsidP="0062392B">
            <w:pPr>
              <w:rPr>
                <w:lang w:val="fr-FR"/>
              </w:rPr>
            </w:pPr>
          </w:p>
        </w:tc>
        <w:tc>
          <w:tcPr>
            <w:tcW w:w="2026" w:type="dxa"/>
          </w:tcPr>
          <w:p w14:paraId="01829227" w14:textId="6113A981" w:rsidR="007A000B" w:rsidRPr="005D2EE3" w:rsidRDefault="00D5786B" w:rsidP="0031028C">
            <w:pPr>
              <w:jc w:val="center"/>
              <w:rPr>
                <w:lang w:val="fr-FR"/>
              </w:rPr>
            </w:pPr>
            <w:r>
              <w:rPr>
                <w:lang w:val="fr-FR"/>
              </w:rPr>
              <w:t>S1</w:t>
            </w:r>
          </w:p>
        </w:tc>
        <w:tc>
          <w:tcPr>
            <w:tcW w:w="1394" w:type="dxa"/>
          </w:tcPr>
          <w:p w14:paraId="092D9ABE" w14:textId="331564BF" w:rsidR="007A000B" w:rsidRPr="005D2EE3" w:rsidRDefault="0062392B" w:rsidP="001D4403">
            <w:pPr>
              <w:jc w:val="center"/>
              <w:rPr>
                <w:lang w:val="fr-FR"/>
              </w:rPr>
            </w:pPr>
            <w:r w:rsidRPr="005D2EE3">
              <w:rPr>
                <w:lang w:val="fr-FR"/>
              </w:rPr>
              <w:t>[</w:t>
            </w:r>
            <w:r w:rsidR="002800AE">
              <w:rPr>
                <w:lang w:val="fr-FR"/>
              </w:rPr>
              <w:t>20</w:t>
            </w:r>
            <w:r w:rsidRPr="005D2EE3">
              <w:rPr>
                <w:lang w:val="fr-FR"/>
              </w:rPr>
              <w:t>% du budget total]</w:t>
            </w:r>
          </w:p>
        </w:tc>
      </w:tr>
      <w:tr w:rsidR="00294306" w:rsidRPr="00294306" w14:paraId="59B6966C" w14:textId="77777777" w:rsidTr="35943DC7">
        <w:trPr>
          <w:jc w:val="center"/>
        </w:trPr>
        <w:tc>
          <w:tcPr>
            <w:tcW w:w="571" w:type="dxa"/>
          </w:tcPr>
          <w:p w14:paraId="2C5AA195" w14:textId="69405FF3" w:rsidR="00294306" w:rsidRPr="005D2EE3" w:rsidRDefault="35943DC7" w:rsidP="001D4403">
            <w:pPr>
              <w:rPr>
                <w:lang w:val="fr-FR"/>
              </w:rPr>
            </w:pPr>
            <w:r w:rsidRPr="35943DC7">
              <w:rPr>
                <w:lang w:val="fr-FR"/>
              </w:rPr>
              <w:t>2</w:t>
            </w:r>
          </w:p>
        </w:tc>
        <w:tc>
          <w:tcPr>
            <w:tcW w:w="5904" w:type="dxa"/>
          </w:tcPr>
          <w:p w14:paraId="6FAC004A" w14:textId="060A820F" w:rsidR="00294306" w:rsidRPr="00B23A9F" w:rsidRDefault="00294306" w:rsidP="00294306">
            <w:pPr>
              <w:rPr>
                <w:b/>
                <w:bCs/>
                <w:lang w:val="fr-FR"/>
              </w:rPr>
            </w:pPr>
            <w:r w:rsidRPr="00B23A9F">
              <w:rPr>
                <w:b/>
                <w:bCs/>
                <w:lang w:val="fr-FR"/>
              </w:rPr>
              <w:t xml:space="preserve">Rapport </w:t>
            </w:r>
            <w:r w:rsidR="006F20B3">
              <w:rPr>
                <w:b/>
                <w:bCs/>
                <w:lang w:val="fr-FR"/>
              </w:rPr>
              <w:t>intermédiaire</w:t>
            </w:r>
            <w:r w:rsidRPr="00B23A9F">
              <w:rPr>
                <w:b/>
                <w:bCs/>
                <w:lang w:val="fr-FR"/>
              </w:rPr>
              <w:t xml:space="preserve"> projet ROS</w:t>
            </w:r>
            <w:r w:rsidR="006F20B3">
              <w:rPr>
                <w:b/>
                <w:bCs/>
                <w:lang w:val="fr-FR"/>
              </w:rPr>
              <w:t>E</w:t>
            </w:r>
            <w:r w:rsidRPr="00B23A9F">
              <w:rPr>
                <w:b/>
                <w:bCs/>
                <w:lang w:val="fr-FR"/>
              </w:rPr>
              <w:t xml:space="preserve"> en français </w:t>
            </w:r>
          </w:p>
          <w:p w14:paraId="2BF594CA" w14:textId="77777777" w:rsidR="00294306" w:rsidRPr="00B23A9F" w:rsidRDefault="00294306" w:rsidP="00B23A9F">
            <w:pPr>
              <w:rPr>
                <w:b/>
                <w:bCs/>
                <w:lang w:val="fr-FR"/>
              </w:rPr>
            </w:pPr>
          </w:p>
        </w:tc>
        <w:tc>
          <w:tcPr>
            <w:tcW w:w="2026" w:type="dxa"/>
          </w:tcPr>
          <w:p w14:paraId="0759E40D" w14:textId="54A67451" w:rsidR="00294306" w:rsidRPr="005D2EE3" w:rsidRDefault="00D5786B" w:rsidP="0031028C">
            <w:pPr>
              <w:jc w:val="center"/>
              <w:rPr>
                <w:lang w:val="fr-FR"/>
              </w:rPr>
            </w:pPr>
            <w:r>
              <w:rPr>
                <w:lang w:val="fr-FR"/>
              </w:rPr>
              <w:t xml:space="preserve">Fin semaine 5 </w:t>
            </w:r>
          </w:p>
        </w:tc>
        <w:tc>
          <w:tcPr>
            <w:tcW w:w="1394" w:type="dxa"/>
          </w:tcPr>
          <w:p w14:paraId="1E8E71F5" w14:textId="7E1D8AE4" w:rsidR="00294306" w:rsidRPr="005D2EE3" w:rsidRDefault="002800AE" w:rsidP="001D4403">
            <w:pPr>
              <w:jc w:val="center"/>
              <w:rPr>
                <w:lang w:val="fr-FR"/>
              </w:rPr>
            </w:pPr>
            <w:r w:rsidRPr="005D2EE3">
              <w:rPr>
                <w:lang w:val="fr-FR"/>
              </w:rPr>
              <w:t>[</w:t>
            </w:r>
            <w:r>
              <w:rPr>
                <w:lang w:val="fr-FR"/>
              </w:rPr>
              <w:t>30</w:t>
            </w:r>
            <w:r w:rsidRPr="005D2EE3">
              <w:rPr>
                <w:lang w:val="fr-FR"/>
              </w:rPr>
              <w:t>% du budget total]</w:t>
            </w:r>
          </w:p>
        </w:tc>
      </w:tr>
      <w:tr w:rsidR="007A000B" w:rsidRPr="005D2EE3" w14:paraId="4826D789" w14:textId="77777777" w:rsidTr="35943DC7">
        <w:trPr>
          <w:jc w:val="center"/>
        </w:trPr>
        <w:tc>
          <w:tcPr>
            <w:tcW w:w="571" w:type="dxa"/>
          </w:tcPr>
          <w:p w14:paraId="5BE9087D" w14:textId="333BE610" w:rsidR="007A000B" w:rsidRPr="005D2EE3" w:rsidRDefault="35943DC7" w:rsidP="35943DC7">
            <w:r w:rsidRPr="35943DC7">
              <w:rPr>
                <w:lang w:val="fr-FR"/>
              </w:rPr>
              <w:t>3</w:t>
            </w:r>
          </w:p>
        </w:tc>
        <w:tc>
          <w:tcPr>
            <w:tcW w:w="5904" w:type="dxa"/>
          </w:tcPr>
          <w:p w14:paraId="66D64B4F" w14:textId="62A00910" w:rsidR="00B23A9F" w:rsidRPr="00B23A9F" w:rsidRDefault="35943DC7" w:rsidP="00B23A9F">
            <w:pPr>
              <w:rPr>
                <w:b/>
                <w:bCs/>
                <w:lang w:val="fr-FR"/>
              </w:rPr>
            </w:pPr>
            <w:r w:rsidRPr="35943DC7">
              <w:rPr>
                <w:b/>
                <w:bCs/>
                <w:lang w:val="fr-FR"/>
              </w:rPr>
              <w:t xml:space="preserve">Rapport final du projet ROSE (version complète et version synthétique vulgarisée), en français </w:t>
            </w:r>
          </w:p>
          <w:p w14:paraId="15F799CD" w14:textId="0DC55839" w:rsidR="007A000B" w:rsidRPr="005D2EE3" w:rsidRDefault="007A000B" w:rsidP="0062392B">
            <w:pPr>
              <w:rPr>
                <w:lang w:val="fr-FR"/>
              </w:rPr>
            </w:pPr>
          </w:p>
        </w:tc>
        <w:tc>
          <w:tcPr>
            <w:tcW w:w="2026" w:type="dxa"/>
          </w:tcPr>
          <w:p w14:paraId="1E29BC78" w14:textId="2F4F0406" w:rsidR="007A000B" w:rsidRPr="005D2EE3" w:rsidRDefault="00766E2B" w:rsidP="0031028C">
            <w:pPr>
              <w:jc w:val="center"/>
              <w:rPr>
                <w:lang w:val="fr-FR"/>
              </w:rPr>
            </w:pPr>
            <w:r>
              <w:rPr>
                <w:lang w:val="fr-FR"/>
              </w:rPr>
              <w:t>Fin semaine 6-7</w:t>
            </w:r>
          </w:p>
        </w:tc>
        <w:tc>
          <w:tcPr>
            <w:tcW w:w="1394" w:type="dxa"/>
          </w:tcPr>
          <w:p w14:paraId="42300B1B" w14:textId="155E71F7" w:rsidR="007A000B" w:rsidRPr="005D2EE3" w:rsidRDefault="007867FB" w:rsidP="001D4403">
            <w:pPr>
              <w:jc w:val="center"/>
              <w:rPr>
                <w:lang w:val="fr-FR"/>
              </w:rPr>
            </w:pPr>
            <w:r>
              <w:rPr>
                <w:lang w:val="fr-FR"/>
              </w:rPr>
              <w:t>NA</w:t>
            </w:r>
          </w:p>
        </w:tc>
      </w:tr>
      <w:tr w:rsidR="007A000B" w:rsidRPr="005D2EE3" w14:paraId="4074E16D" w14:textId="77777777" w:rsidTr="35943DC7">
        <w:trPr>
          <w:jc w:val="center"/>
        </w:trPr>
        <w:tc>
          <w:tcPr>
            <w:tcW w:w="571" w:type="dxa"/>
          </w:tcPr>
          <w:p w14:paraId="15277C9D" w14:textId="629E8574" w:rsidR="007A000B" w:rsidRPr="005D2EE3" w:rsidRDefault="35943DC7" w:rsidP="35943DC7">
            <w:r w:rsidRPr="35943DC7">
              <w:rPr>
                <w:lang w:val="fr-FR"/>
              </w:rPr>
              <w:t>4</w:t>
            </w:r>
          </w:p>
        </w:tc>
        <w:tc>
          <w:tcPr>
            <w:tcW w:w="5904" w:type="dxa"/>
          </w:tcPr>
          <w:p w14:paraId="0A1393AE" w14:textId="77777777" w:rsidR="00B23A9F" w:rsidRPr="00B23A9F" w:rsidRDefault="00B23A9F" w:rsidP="00B23A9F">
            <w:pPr>
              <w:rPr>
                <w:b/>
                <w:bCs/>
                <w:lang w:val="fr-FR"/>
              </w:rPr>
            </w:pPr>
            <w:r w:rsidRPr="00B23A9F">
              <w:rPr>
                <w:b/>
                <w:bCs/>
                <w:lang w:val="fr-FR"/>
              </w:rPr>
              <w:t>Annexes analytiques (études de cas, tableaux de résultats, fiches pratiques ou outils, entretiens sélectionnés) ;</w:t>
            </w:r>
          </w:p>
          <w:p w14:paraId="26E43E58" w14:textId="7AEDA659" w:rsidR="007A000B" w:rsidRPr="005D2EE3" w:rsidRDefault="007A000B" w:rsidP="0062392B">
            <w:pPr>
              <w:rPr>
                <w:lang w:val="fr-FR"/>
              </w:rPr>
            </w:pPr>
          </w:p>
        </w:tc>
        <w:tc>
          <w:tcPr>
            <w:tcW w:w="2026" w:type="dxa"/>
          </w:tcPr>
          <w:p w14:paraId="1DE08AA6" w14:textId="002EB9C3" w:rsidR="007A000B" w:rsidRPr="005D2EE3" w:rsidRDefault="00766E2B" w:rsidP="0031028C">
            <w:pPr>
              <w:jc w:val="center"/>
              <w:rPr>
                <w:lang w:val="fr-FR"/>
              </w:rPr>
            </w:pPr>
            <w:r>
              <w:rPr>
                <w:lang w:val="fr-FR"/>
              </w:rPr>
              <w:t>Semaine 7</w:t>
            </w:r>
          </w:p>
        </w:tc>
        <w:tc>
          <w:tcPr>
            <w:tcW w:w="1394" w:type="dxa"/>
          </w:tcPr>
          <w:p w14:paraId="4A33CE0F" w14:textId="2C5DBCE0" w:rsidR="007A000B" w:rsidRPr="005D2EE3" w:rsidRDefault="0062392B" w:rsidP="001D4403">
            <w:pPr>
              <w:jc w:val="center"/>
              <w:rPr>
                <w:lang w:val="fr-FR"/>
              </w:rPr>
            </w:pPr>
            <w:r w:rsidRPr="005D2EE3">
              <w:rPr>
                <w:lang w:val="fr-FR"/>
              </w:rPr>
              <w:t>[</w:t>
            </w:r>
            <w:r w:rsidR="007867FB">
              <w:rPr>
                <w:lang w:val="fr-FR"/>
              </w:rPr>
              <w:t>30</w:t>
            </w:r>
            <w:r w:rsidRPr="005D2EE3">
              <w:rPr>
                <w:lang w:val="fr-FR"/>
              </w:rPr>
              <w:t>% du budget total]</w:t>
            </w:r>
          </w:p>
        </w:tc>
      </w:tr>
      <w:tr w:rsidR="007A000B" w:rsidRPr="005D2EE3" w14:paraId="511DA9E6" w14:textId="77777777" w:rsidTr="35943DC7">
        <w:trPr>
          <w:jc w:val="center"/>
        </w:trPr>
        <w:tc>
          <w:tcPr>
            <w:tcW w:w="571" w:type="dxa"/>
          </w:tcPr>
          <w:p w14:paraId="5EF8F37A" w14:textId="5097D5EA" w:rsidR="007A000B" w:rsidRPr="005D2EE3" w:rsidRDefault="35943DC7" w:rsidP="35943DC7">
            <w:r w:rsidRPr="35943DC7">
              <w:rPr>
                <w:lang w:val="fr-FR"/>
              </w:rPr>
              <w:t>5</w:t>
            </w:r>
          </w:p>
        </w:tc>
        <w:tc>
          <w:tcPr>
            <w:tcW w:w="5904" w:type="dxa"/>
          </w:tcPr>
          <w:p w14:paraId="6B564305" w14:textId="01CFDDC8" w:rsidR="00B23A9F" w:rsidRPr="00B23A9F" w:rsidRDefault="35943DC7" w:rsidP="00B23A9F">
            <w:pPr>
              <w:rPr>
                <w:b/>
                <w:bCs/>
                <w:lang w:val="fr-FR"/>
              </w:rPr>
            </w:pPr>
            <w:r w:rsidRPr="35943DC7">
              <w:rPr>
                <w:b/>
                <w:bCs/>
                <w:lang w:val="fr-FR"/>
              </w:rPr>
              <w:t>Supports visuel pour partage à grande échelle ;</w:t>
            </w:r>
          </w:p>
          <w:p w14:paraId="0FA18A35" w14:textId="792A6AF5" w:rsidR="007A000B" w:rsidRPr="005D2EE3" w:rsidRDefault="007A000B" w:rsidP="0062392B">
            <w:pPr>
              <w:rPr>
                <w:lang w:val="fr-FR"/>
              </w:rPr>
            </w:pPr>
          </w:p>
        </w:tc>
        <w:tc>
          <w:tcPr>
            <w:tcW w:w="2026" w:type="dxa"/>
          </w:tcPr>
          <w:p w14:paraId="0016CCDA" w14:textId="5D69290B" w:rsidR="007A000B" w:rsidRPr="005D2EE3" w:rsidRDefault="00766E2B" w:rsidP="0031028C">
            <w:pPr>
              <w:jc w:val="center"/>
              <w:rPr>
                <w:lang w:val="fr-FR"/>
              </w:rPr>
            </w:pPr>
            <w:r>
              <w:rPr>
                <w:lang w:val="fr-FR"/>
              </w:rPr>
              <w:t>Semaine 7</w:t>
            </w:r>
          </w:p>
        </w:tc>
        <w:tc>
          <w:tcPr>
            <w:tcW w:w="1394" w:type="dxa"/>
          </w:tcPr>
          <w:p w14:paraId="05BD7AD3" w14:textId="130F4DA2" w:rsidR="007A000B" w:rsidRPr="005D2EE3" w:rsidRDefault="007867FB" w:rsidP="001D4403">
            <w:pPr>
              <w:jc w:val="center"/>
              <w:rPr>
                <w:lang w:val="fr-FR"/>
              </w:rPr>
            </w:pPr>
            <w:r>
              <w:rPr>
                <w:lang w:val="fr-FR"/>
              </w:rPr>
              <w:t>NA</w:t>
            </w:r>
          </w:p>
        </w:tc>
      </w:tr>
      <w:tr w:rsidR="007A000B" w:rsidRPr="005D2EE3" w14:paraId="065A08B6" w14:textId="77777777" w:rsidTr="35943DC7">
        <w:trPr>
          <w:jc w:val="center"/>
        </w:trPr>
        <w:tc>
          <w:tcPr>
            <w:tcW w:w="571" w:type="dxa"/>
          </w:tcPr>
          <w:p w14:paraId="16C4EF22" w14:textId="5F9140D6" w:rsidR="007A000B" w:rsidRPr="005D2EE3" w:rsidRDefault="35943DC7" w:rsidP="35943DC7">
            <w:r w:rsidRPr="35943DC7">
              <w:rPr>
                <w:lang w:val="fr-FR"/>
              </w:rPr>
              <w:t>6</w:t>
            </w:r>
          </w:p>
        </w:tc>
        <w:tc>
          <w:tcPr>
            <w:tcW w:w="5904" w:type="dxa"/>
          </w:tcPr>
          <w:p w14:paraId="64EC4501" w14:textId="77777777" w:rsidR="005D2EE3" w:rsidRPr="005D2EE3" w:rsidRDefault="005D2EE3" w:rsidP="005D2EE3">
            <w:pPr>
              <w:rPr>
                <w:lang w:val="fr-FR"/>
              </w:rPr>
            </w:pPr>
            <w:r w:rsidRPr="005D2EE3">
              <w:rPr>
                <w:b/>
                <w:bCs/>
                <w:lang w:val="fr-FR"/>
              </w:rPr>
              <w:t>Synthèse des apprentissages</w:t>
            </w:r>
            <w:r w:rsidRPr="005D2EE3">
              <w:rPr>
                <w:lang w:val="fr-FR"/>
              </w:rPr>
              <w:t xml:space="preserve"> (2 pages maximum, en langage accessible, en français et en arabe).</w:t>
            </w:r>
          </w:p>
          <w:p w14:paraId="1C169C95" w14:textId="1965A770" w:rsidR="007A000B" w:rsidRPr="005D2EE3" w:rsidRDefault="007A000B" w:rsidP="001D4403">
            <w:pPr>
              <w:rPr>
                <w:lang w:val="fr-FR"/>
              </w:rPr>
            </w:pPr>
          </w:p>
        </w:tc>
        <w:tc>
          <w:tcPr>
            <w:tcW w:w="2026" w:type="dxa"/>
          </w:tcPr>
          <w:p w14:paraId="4EC55C9B" w14:textId="0AF9FD4C" w:rsidR="007A000B" w:rsidRPr="005D2EE3" w:rsidRDefault="00766E2B" w:rsidP="0031028C">
            <w:pPr>
              <w:jc w:val="center"/>
              <w:rPr>
                <w:lang w:val="fr-FR"/>
              </w:rPr>
            </w:pPr>
            <w:r>
              <w:rPr>
                <w:lang w:val="fr-FR"/>
              </w:rPr>
              <w:t>Semaine 7</w:t>
            </w:r>
          </w:p>
        </w:tc>
        <w:tc>
          <w:tcPr>
            <w:tcW w:w="1394" w:type="dxa"/>
          </w:tcPr>
          <w:p w14:paraId="047E8FA9" w14:textId="6FF98E4A" w:rsidR="007A000B" w:rsidRPr="005D2EE3" w:rsidRDefault="007867FB" w:rsidP="001D4403">
            <w:pPr>
              <w:jc w:val="center"/>
              <w:rPr>
                <w:lang w:val="fr-FR"/>
              </w:rPr>
            </w:pPr>
            <w:r w:rsidRPr="005D2EE3">
              <w:rPr>
                <w:lang w:val="fr-FR"/>
              </w:rPr>
              <w:t>[</w:t>
            </w:r>
            <w:r>
              <w:rPr>
                <w:lang w:val="fr-FR"/>
              </w:rPr>
              <w:t>20</w:t>
            </w:r>
            <w:r w:rsidRPr="005D2EE3">
              <w:rPr>
                <w:lang w:val="fr-FR"/>
              </w:rPr>
              <w:t>% du budget total]</w:t>
            </w:r>
          </w:p>
        </w:tc>
      </w:tr>
      <w:tr w:rsidR="007A000B" w:rsidRPr="005D2EE3" w14:paraId="4FE6E76C" w14:textId="77777777" w:rsidTr="35943DC7">
        <w:trPr>
          <w:jc w:val="center"/>
        </w:trPr>
        <w:tc>
          <w:tcPr>
            <w:tcW w:w="6475" w:type="dxa"/>
            <w:gridSpan w:val="2"/>
            <w:shd w:val="clear" w:color="auto" w:fill="D9D9D9" w:themeFill="background1" w:themeFillShade="D9"/>
          </w:tcPr>
          <w:p w14:paraId="2F1F81C7" w14:textId="58AD1F6B" w:rsidR="007A000B" w:rsidRPr="005D2EE3" w:rsidRDefault="007A000B" w:rsidP="001D4403">
            <w:pPr>
              <w:jc w:val="right"/>
              <w:rPr>
                <w:b/>
                <w:bCs/>
                <w:lang w:val="fr-FR"/>
              </w:rPr>
            </w:pPr>
            <w:r w:rsidRPr="005D2EE3">
              <w:rPr>
                <w:b/>
                <w:bCs/>
                <w:lang w:val="fr-FR"/>
              </w:rPr>
              <w:t>TOTAL</w:t>
            </w:r>
          </w:p>
        </w:tc>
        <w:tc>
          <w:tcPr>
            <w:tcW w:w="2026" w:type="dxa"/>
            <w:shd w:val="clear" w:color="auto" w:fill="D9D9D9" w:themeFill="background1" w:themeFillShade="D9"/>
          </w:tcPr>
          <w:p w14:paraId="4F16BA67" w14:textId="77777777" w:rsidR="007A000B" w:rsidRPr="005D2EE3" w:rsidRDefault="007A000B" w:rsidP="001D4403">
            <w:pPr>
              <w:rPr>
                <w:b/>
                <w:bCs/>
                <w:lang w:val="fr-FR"/>
              </w:rPr>
            </w:pPr>
          </w:p>
        </w:tc>
        <w:tc>
          <w:tcPr>
            <w:tcW w:w="1394" w:type="dxa"/>
            <w:shd w:val="clear" w:color="auto" w:fill="D9D9D9" w:themeFill="background1" w:themeFillShade="D9"/>
          </w:tcPr>
          <w:p w14:paraId="35F9EC31" w14:textId="0617ADC0" w:rsidR="007A000B" w:rsidRPr="005D2EE3" w:rsidRDefault="007A000B" w:rsidP="001D4403">
            <w:pPr>
              <w:jc w:val="center"/>
              <w:rPr>
                <w:b/>
                <w:bCs/>
                <w:lang w:val="fr-FR"/>
              </w:rPr>
            </w:pPr>
            <w:r w:rsidRPr="005D2EE3">
              <w:rPr>
                <w:b/>
                <w:bCs/>
                <w:lang w:val="fr-FR"/>
              </w:rPr>
              <w:t>100%</w:t>
            </w:r>
          </w:p>
        </w:tc>
      </w:tr>
    </w:tbl>
    <w:p w14:paraId="46FF4952" w14:textId="77777777" w:rsidR="008F2D4F" w:rsidRDefault="008F2D4F" w:rsidP="005C7B03">
      <w:pPr>
        <w:rPr>
          <w:lang w:val="fr-FR"/>
        </w:rPr>
      </w:pPr>
    </w:p>
    <w:p w14:paraId="32F90D6A" w14:textId="05479612" w:rsidR="005C7B03" w:rsidRPr="005D2EE3" w:rsidRDefault="35943DC7" w:rsidP="35943DC7">
      <w:pPr>
        <w:rPr>
          <w:highlight w:val="yellow"/>
          <w:lang w:val="fr-FR"/>
        </w:rPr>
      </w:pPr>
      <w:r w:rsidRPr="35943DC7">
        <w:rPr>
          <w:highlight w:val="yellow"/>
          <w:lang w:val="fr-FR"/>
        </w:rPr>
        <w:t xml:space="preserve">La mission s’étendra du </w:t>
      </w:r>
      <w:r w:rsidR="00736881">
        <w:rPr>
          <w:highlight w:val="yellow"/>
          <w:lang w:val="fr-FR"/>
        </w:rPr>
        <w:t>22</w:t>
      </w:r>
      <w:r w:rsidRPr="35943DC7">
        <w:rPr>
          <w:highlight w:val="yellow"/>
          <w:lang w:val="fr-FR"/>
        </w:rPr>
        <w:t xml:space="preserve"> septembre au </w:t>
      </w:r>
      <w:r w:rsidR="00736881">
        <w:rPr>
          <w:highlight w:val="yellow"/>
          <w:lang w:val="fr-FR"/>
        </w:rPr>
        <w:t>22</w:t>
      </w:r>
      <w:r w:rsidRPr="35943DC7">
        <w:rPr>
          <w:highlight w:val="yellow"/>
          <w:lang w:val="fr-FR"/>
        </w:rPr>
        <w:t xml:space="preserve"> </w:t>
      </w:r>
      <w:r w:rsidR="00007110">
        <w:rPr>
          <w:highlight w:val="yellow"/>
          <w:lang w:val="fr-FR"/>
        </w:rPr>
        <w:t>novembre</w:t>
      </w:r>
      <w:r w:rsidRPr="35943DC7">
        <w:rPr>
          <w:highlight w:val="yellow"/>
          <w:lang w:val="fr-FR"/>
        </w:rPr>
        <w:t xml:space="preserve"> 2025, pour un volume total estimé de 45 jours ouvrables.</w:t>
      </w:r>
    </w:p>
    <w:p w14:paraId="5F0DA90F" w14:textId="1DE4B9AB" w:rsidR="00122493" w:rsidRPr="005D2EE3" w:rsidRDefault="000E5B13" w:rsidP="00715A57">
      <w:pPr>
        <w:pStyle w:val="Heading1"/>
        <w:rPr>
          <w:lang w:val="fr-FR"/>
        </w:rPr>
      </w:pPr>
      <w:r w:rsidRPr="005D2EE3">
        <w:rPr>
          <w:lang w:val="fr-FR"/>
        </w:rPr>
        <w:t>EXIGENCES EN MATIÈRE D'EXPÉRIENCE OU DE PROFIL</w:t>
      </w:r>
    </w:p>
    <w:p w14:paraId="19A58B3D" w14:textId="10D98D09" w:rsidR="00183F89" w:rsidRPr="00183F89" w:rsidRDefault="005D2EE3" w:rsidP="00183F89">
      <w:pPr>
        <w:ind w:left="360"/>
        <w:rPr>
          <w:color w:val="000000" w:themeColor="text1"/>
          <w:lang w:val="fr-FR"/>
        </w:rPr>
      </w:pPr>
      <w:r w:rsidRPr="005D2EE3">
        <w:rPr>
          <w:color w:val="000000" w:themeColor="text1"/>
          <w:lang w:val="fr-FR"/>
        </w:rPr>
        <w:t>La·e consultant.e disposant d</w:t>
      </w:r>
      <w:r w:rsidR="00183F89">
        <w:rPr>
          <w:color w:val="000000" w:themeColor="text1"/>
          <w:lang w:val="fr-FR"/>
        </w:rPr>
        <w:t>e :</w:t>
      </w:r>
    </w:p>
    <w:p w14:paraId="7EDB6984" w14:textId="77777777" w:rsidR="00183F89" w:rsidRPr="00183F89" w:rsidRDefault="00183F89" w:rsidP="00183F89">
      <w:pPr>
        <w:numPr>
          <w:ilvl w:val="0"/>
          <w:numId w:val="42"/>
        </w:numPr>
        <w:rPr>
          <w:color w:val="000000" w:themeColor="text1"/>
          <w:lang w:val="fr-FR"/>
        </w:rPr>
      </w:pPr>
      <w:r w:rsidRPr="00183F89">
        <w:rPr>
          <w:color w:val="000000" w:themeColor="text1"/>
          <w:lang w:val="fr-FR"/>
        </w:rPr>
        <w:t>Diplôme universitaire de niveau Master ou équivalent dans les domaines des sciences sociales, du développement, de la gestion de projet, de la communication ou domaines connexes ;</w:t>
      </w:r>
    </w:p>
    <w:p w14:paraId="426BDC4C" w14:textId="138C58AD" w:rsidR="00183F89" w:rsidRPr="00183F89" w:rsidRDefault="00183F89" w:rsidP="00183F89">
      <w:pPr>
        <w:numPr>
          <w:ilvl w:val="0"/>
          <w:numId w:val="42"/>
        </w:numPr>
        <w:rPr>
          <w:color w:val="000000" w:themeColor="text1"/>
          <w:lang w:val="fr-FR"/>
        </w:rPr>
      </w:pPr>
      <w:r w:rsidRPr="00183F89">
        <w:rPr>
          <w:color w:val="000000" w:themeColor="text1"/>
          <w:lang w:val="fr-FR"/>
        </w:rPr>
        <w:t xml:space="preserve">Minimum </w:t>
      </w:r>
      <w:r w:rsidRPr="00B54338">
        <w:rPr>
          <w:color w:val="000000" w:themeColor="text1"/>
          <w:lang w:val="fr-FR"/>
        </w:rPr>
        <w:t>5</w:t>
      </w:r>
      <w:r w:rsidRPr="00183F89">
        <w:rPr>
          <w:color w:val="000000" w:themeColor="text1"/>
          <w:lang w:val="fr-FR"/>
        </w:rPr>
        <w:t xml:space="preserve"> ans d’expérience professionnelle confirmée dans la documentation, la capitalisation, la gestion des connaissances et la rédaction de rapports finaux complexes, idéalement dans le secteur de la société civile ou du développement ;</w:t>
      </w:r>
    </w:p>
    <w:p w14:paraId="3EEF2674" w14:textId="77777777" w:rsidR="00183F89" w:rsidRPr="00183F89" w:rsidRDefault="00183F89" w:rsidP="00183F89">
      <w:pPr>
        <w:numPr>
          <w:ilvl w:val="0"/>
          <w:numId w:val="42"/>
        </w:numPr>
        <w:rPr>
          <w:color w:val="000000" w:themeColor="text1"/>
          <w:lang w:val="fr-FR"/>
        </w:rPr>
      </w:pPr>
      <w:r w:rsidRPr="00183F89">
        <w:rPr>
          <w:color w:val="000000" w:themeColor="text1"/>
          <w:lang w:val="fr-FR"/>
        </w:rPr>
        <w:t>Expérience avérée dans la conduite d’entretiens qualitatifs, l’animation d’ateliers participatifs et la facilitation de processus d’apprentissage collectif ;</w:t>
      </w:r>
    </w:p>
    <w:p w14:paraId="77A2F79F" w14:textId="433410F9" w:rsidR="00183F89" w:rsidRPr="00183F89" w:rsidRDefault="00183F89" w:rsidP="00183F89">
      <w:pPr>
        <w:numPr>
          <w:ilvl w:val="0"/>
          <w:numId w:val="42"/>
        </w:numPr>
        <w:rPr>
          <w:color w:val="000000" w:themeColor="text1"/>
          <w:lang w:val="fr-FR"/>
        </w:rPr>
      </w:pPr>
      <w:r w:rsidRPr="00183F89">
        <w:rPr>
          <w:color w:val="000000" w:themeColor="text1"/>
          <w:lang w:val="fr-FR"/>
        </w:rPr>
        <w:t>Solides capacités analytiques, rédactionnelles et de synthèse en français</w:t>
      </w:r>
      <w:r w:rsidR="00B54338">
        <w:rPr>
          <w:color w:val="000000" w:themeColor="text1"/>
          <w:lang w:val="fr-FR"/>
        </w:rPr>
        <w:t xml:space="preserve"> et en arabe</w:t>
      </w:r>
      <w:r w:rsidRPr="00183F89">
        <w:rPr>
          <w:color w:val="000000" w:themeColor="text1"/>
          <w:lang w:val="fr-FR"/>
        </w:rPr>
        <w:t>, avec une expérience démontrée dans la production de documents clairs, structurés et adaptés à divers publics ;</w:t>
      </w:r>
    </w:p>
    <w:p w14:paraId="4202738A" w14:textId="77777777" w:rsidR="00183F89" w:rsidRPr="00183F89" w:rsidRDefault="00183F89" w:rsidP="00183F89">
      <w:pPr>
        <w:numPr>
          <w:ilvl w:val="0"/>
          <w:numId w:val="42"/>
        </w:numPr>
        <w:rPr>
          <w:color w:val="000000" w:themeColor="text1"/>
          <w:lang w:val="fr-FR"/>
        </w:rPr>
      </w:pPr>
      <w:r w:rsidRPr="00183F89">
        <w:rPr>
          <w:color w:val="000000" w:themeColor="text1"/>
          <w:lang w:val="fr-FR"/>
        </w:rPr>
        <w:t>Connaissance approfondie des enjeux liés à l’espace civique tunisien, aux dynamiques associatives et à la consolidation de l’État de droit en Tunisie ;</w:t>
      </w:r>
    </w:p>
    <w:p w14:paraId="73175ACF" w14:textId="77777777" w:rsidR="00183F89" w:rsidRPr="00183F89" w:rsidRDefault="00183F89" w:rsidP="00183F89">
      <w:pPr>
        <w:numPr>
          <w:ilvl w:val="0"/>
          <w:numId w:val="42"/>
        </w:numPr>
        <w:rPr>
          <w:color w:val="000000" w:themeColor="text1"/>
          <w:lang w:val="fr-FR"/>
        </w:rPr>
      </w:pPr>
      <w:r w:rsidRPr="00183F89">
        <w:rPr>
          <w:color w:val="000000" w:themeColor="text1"/>
          <w:lang w:val="fr-FR"/>
        </w:rPr>
        <w:t>Aptitude à travailler en collaboration avec une diversité d’acteurs (ONG, consortium, partenaires locaux) et à gérer des délais serrés avec rigueur.</w:t>
      </w:r>
    </w:p>
    <w:p w14:paraId="6203A3B2" w14:textId="77777777" w:rsidR="00183F89" w:rsidRPr="00183F89" w:rsidRDefault="00183F89" w:rsidP="00183F89">
      <w:pPr>
        <w:ind w:left="360"/>
        <w:rPr>
          <w:color w:val="000000" w:themeColor="text1"/>
          <w:lang w:val="fr-FR"/>
        </w:rPr>
      </w:pPr>
      <w:r w:rsidRPr="00183F89">
        <w:rPr>
          <w:b/>
          <w:bCs/>
          <w:color w:val="000000" w:themeColor="text1"/>
          <w:lang w:val="fr-FR"/>
        </w:rPr>
        <w:t>Souhaitable</w:t>
      </w:r>
    </w:p>
    <w:p w14:paraId="40ABBE1A" w14:textId="7EBBF53A" w:rsidR="00183F89" w:rsidRPr="00183F89" w:rsidRDefault="00183F89" w:rsidP="00183F89">
      <w:pPr>
        <w:numPr>
          <w:ilvl w:val="0"/>
          <w:numId w:val="43"/>
        </w:numPr>
        <w:rPr>
          <w:color w:val="000000" w:themeColor="text1"/>
          <w:lang w:val="fr-FR"/>
        </w:rPr>
      </w:pPr>
      <w:r w:rsidRPr="00183F89">
        <w:rPr>
          <w:color w:val="000000" w:themeColor="text1"/>
          <w:lang w:val="fr-FR"/>
        </w:rPr>
        <w:t>Expérience</w:t>
      </w:r>
      <w:r w:rsidR="00BF04A8">
        <w:rPr>
          <w:color w:val="000000" w:themeColor="text1"/>
          <w:lang w:val="fr-FR"/>
        </w:rPr>
        <w:t xml:space="preserve"> professionnalisée</w:t>
      </w:r>
      <w:r w:rsidRPr="00183F89">
        <w:rPr>
          <w:color w:val="000000" w:themeColor="text1"/>
          <w:lang w:val="fr-FR"/>
        </w:rPr>
        <w:t xml:space="preserve"> en facilitation d’ateliers d’apprentissage ou capitalisation participative ;</w:t>
      </w:r>
    </w:p>
    <w:p w14:paraId="17A8CE81" w14:textId="77777777" w:rsidR="00183F89" w:rsidRPr="00183F89" w:rsidRDefault="00183F89" w:rsidP="00183F89">
      <w:pPr>
        <w:numPr>
          <w:ilvl w:val="0"/>
          <w:numId w:val="43"/>
        </w:numPr>
        <w:rPr>
          <w:color w:val="000000" w:themeColor="text1"/>
          <w:lang w:val="fr-FR"/>
        </w:rPr>
      </w:pPr>
      <w:r w:rsidRPr="00183F89">
        <w:rPr>
          <w:color w:val="000000" w:themeColor="text1"/>
          <w:lang w:val="fr-FR"/>
        </w:rPr>
        <w:t>Compétences en storytelling, journalisme narratif ou communication narrative ;</w:t>
      </w:r>
    </w:p>
    <w:p w14:paraId="4206E349" w14:textId="77777777" w:rsidR="00183F89" w:rsidRPr="00183F89" w:rsidRDefault="00183F89" w:rsidP="00183F89">
      <w:pPr>
        <w:numPr>
          <w:ilvl w:val="0"/>
          <w:numId w:val="43"/>
        </w:numPr>
        <w:rPr>
          <w:color w:val="000000" w:themeColor="text1"/>
          <w:lang w:val="fr-FR"/>
        </w:rPr>
      </w:pPr>
      <w:r w:rsidRPr="00183F89">
        <w:rPr>
          <w:color w:val="000000" w:themeColor="text1"/>
          <w:lang w:val="fr-FR"/>
        </w:rPr>
        <w:t>Maîtrise des outils de datavisualisation ou de design graphique pour la valorisation des résultats (ex. Tableau, Power BI, Canva, Adobe Illustrator) ;</w:t>
      </w:r>
    </w:p>
    <w:p w14:paraId="24AAC428" w14:textId="26F298A9" w:rsidR="006F20B3" w:rsidRDefault="35943DC7" w:rsidP="35943DC7">
      <w:pPr>
        <w:numPr>
          <w:ilvl w:val="0"/>
          <w:numId w:val="43"/>
        </w:numPr>
        <w:rPr>
          <w:color w:val="000000" w:themeColor="text1"/>
          <w:lang w:val="fr-FR"/>
        </w:rPr>
      </w:pPr>
      <w:r w:rsidRPr="35943DC7">
        <w:rPr>
          <w:color w:val="000000" w:themeColor="text1"/>
          <w:lang w:val="fr-FR"/>
        </w:rPr>
        <w:t>Connaissance des standards et exigences de reporting des bailleurs internationaux, notamment de l’Union européenne.</w:t>
      </w:r>
    </w:p>
    <w:p w14:paraId="7F30E6FB" w14:textId="77FC49DE" w:rsidR="00320698" w:rsidRPr="006F20B3" w:rsidRDefault="004E2FF5" w:rsidP="006F20B3">
      <w:pPr>
        <w:pStyle w:val="Heading1"/>
        <w:rPr>
          <w:lang w:val="fr-FR"/>
        </w:rPr>
      </w:pPr>
      <w:r w:rsidRPr="006F20B3">
        <w:rPr>
          <w:lang w:val="fr-FR"/>
        </w:rPr>
        <w:lastRenderedPageBreak/>
        <w:t>PROCESSUS DE CANDIDATURE</w:t>
      </w:r>
    </w:p>
    <w:p w14:paraId="7B11CC16" w14:textId="7E55B178" w:rsidR="00524E2A" w:rsidRPr="005D2EE3" w:rsidRDefault="004E2FF5" w:rsidP="00524E2A">
      <w:pPr>
        <w:pStyle w:val="Heading2"/>
        <w:rPr>
          <w:lang w:val="fr-FR"/>
        </w:rPr>
      </w:pPr>
      <w:r w:rsidRPr="005D2EE3">
        <w:rPr>
          <w:lang w:val="fr-FR"/>
        </w:rPr>
        <w:t>Instructions de soumission</w:t>
      </w:r>
    </w:p>
    <w:p w14:paraId="2D0FB1BD" w14:textId="49D6FB1F" w:rsidR="005D2EE3" w:rsidRPr="005D2EE3" w:rsidRDefault="005D2EE3" w:rsidP="005D2EE3">
      <w:pPr>
        <w:rPr>
          <w:lang w:val="fr-FR"/>
        </w:rPr>
      </w:pPr>
      <w:r w:rsidRPr="005D2EE3">
        <w:rPr>
          <w:lang w:val="fr-FR"/>
        </w:rPr>
        <w:t>Les personnes sont invitées à soumettre :</w:t>
      </w:r>
    </w:p>
    <w:p w14:paraId="4E2261AC" w14:textId="04E8D4A3" w:rsidR="005D2EE3" w:rsidRPr="005D2EE3" w:rsidRDefault="00477C61" w:rsidP="005D2EE3">
      <w:pPr>
        <w:numPr>
          <w:ilvl w:val="0"/>
          <w:numId w:val="38"/>
        </w:numPr>
        <w:rPr>
          <w:lang w:val="fr-FR"/>
        </w:rPr>
      </w:pPr>
      <w:r w:rsidRPr="005D2EE3">
        <w:rPr>
          <w:rFonts w:ascii="Arial" w:eastAsia="Times New Roman" w:hAnsi="Arial" w:cs="Arial"/>
          <w:iCs/>
          <w:lang w:val="fr-FR"/>
        </w:rPr>
        <w:t>Obligatoire</w:t>
      </w:r>
      <w:r>
        <w:rPr>
          <w:lang w:val="fr-FR"/>
        </w:rPr>
        <w:t xml:space="preserve"> : </w:t>
      </w:r>
      <w:r w:rsidR="005D2EE3" w:rsidRPr="005D2EE3">
        <w:rPr>
          <w:lang w:val="fr-FR"/>
        </w:rPr>
        <w:t>Une offre technique incluant la compréhension des TDR, l’approche méthodologique proposée et un chronogramme prévisionnel ;</w:t>
      </w:r>
    </w:p>
    <w:p w14:paraId="1809DE4D" w14:textId="34E43845" w:rsidR="005D2EE3" w:rsidRPr="005D2EE3" w:rsidRDefault="00477C61" w:rsidP="005D2EE3">
      <w:pPr>
        <w:numPr>
          <w:ilvl w:val="0"/>
          <w:numId w:val="38"/>
        </w:numPr>
        <w:rPr>
          <w:lang w:val="fr-FR"/>
        </w:rPr>
      </w:pPr>
      <w:r w:rsidRPr="005D2EE3">
        <w:rPr>
          <w:rFonts w:ascii="Arial" w:eastAsia="Times New Roman" w:hAnsi="Arial" w:cs="Arial"/>
          <w:iCs/>
          <w:lang w:val="fr-FR"/>
        </w:rPr>
        <w:t>Obligatoire</w:t>
      </w:r>
      <w:r w:rsidR="006809EA">
        <w:rPr>
          <w:lang w:val="fr-FR"/>
        </w:rPr>
        <w:t> :</w:t>
      </w:r>
      <w:r w:rsidR="005D2EE3" w:rsidRPr="005D2EE3">
        <w:rPr>
          <w:lang w:val="fr-FR"/>
        </w:rPr>
        <w:t>Une offre financière détaillée (honoraires, déplacements, frais divers) ;</w:t>
      </w:r>
    </w:p>
    <w:p w14:paraId="4DA1E924" w14:textId="2DE033B0" w:rsidR="005D2EE3" w:rsidRDefault="006809EA" w:rsidP="005D2EE3">
      <w:pPr>
        <w:numPr>
          <w:ilvl w:val="0"/>
          <w:numId w:val="38"/>
        </w:numPr>
        <w:rPr>
          <w:lang w:val="fr-FR"/>
        </w:rPr>
      </w:pPr>
      <w:r w:rsidRPr="005D2EE3">
        <w:rPr>
          <w:rFonts w:ascii="Arial" w:eastAsia="Times New Roman" w:hAnsi="Arial" w:cs="Arial"/>
          <w:iCs/>
          <w:lang w:val="fr-FR"/>
        </w:rPr>
        <w:t>Obligatoire</w:t>
      </w:r>
      <w:r w:rsidR="00243C43">
        <w:rPr>
          <w:lang w:val="fr-FR"/>
        </w:rPr>
        <w:t xml:space="preserve"> : </w:t>
      </w:r>
      <w:r w:rsidR="005D2EE3" w:rsidRPr="005D2EE3">
        <w:rPr>
          <w:lang w:val="fr-FR"/>
        </w:rPr>
        <w:t>CV de</w:t>
      </w:r>
      <w:r w:rsidR="00E91FFC">
        <w:rPr>
          <w:lang w:val="fr-FR"/>
        </w:rPr>
        <w:t>/</w:t>
      </w:r>
      <w:r w:rsidR="005D2EE3" w:rsidRPr="005D2EE3">
        <w:rPr>
          <w:lang w:val="fr-FR"/>
        </w:rPr>
        <w:t>s consultant.e.s et références similaires récentes ;</w:t>
      </w:r>
    </w:p>
    <w:p w14:paraId="6D676C45" w14:textId="74267059" w:rsidR="006809EA" w:rsidRPr="005D2EE3" w:rsidRDefault="006809EA" w:rsidP="005D2EE3">
      <w:pPr>
        <w:numPr>
          <w:ilvl w:val="0"/>
          <w:numId w:val="38"/>
        </w:numPr>
        <w:rPr>
          <w:lang w:val="fr-FR"/>
        </w:rPr>
      </w:pPr>
      <w:r>
        <w:rPr>
          <w:lang w:val="fr-FR"/>
        </w:rPr>
        <w:t>Obligatoire : Preuve d’enregistrement au Registre National des Entreprises(RNE)</w:t>
      </w:r>
    </w:p>
    <w:p w14:paraId="5779FA9F" w14:textId="44F8BFEB" w:rsidR="005D2EE3" w:rsidRPr="005D2EE3" w:rsidRDefault="006809EA" w:rsidP="005D2EE3">
      <w:pPr>
        <w:numPr>
          <w:ilvl w:val="0"/>
          <w:numId w:val="38"/>
        </w:numPr>
        <w:rPr>
          <w:lang w:val="fr-FR"/>
        </w:rPr>
      </w:pPr>
      <w:r w:rsidRPr="005D2EE3">
        <w:rPr>
          <w:rFonts w:ascii="Arial" w:eastAsia="Times New Roman" w:hAnsi="Arial" w:cs="Arial"/>
          <w:iCs/>
          <w:lang w:val="fr-FR"/>
        </w:rPr>
        <w:t>Obligatoire</w:t>
      </w:r>
      <w:r w:rsidR="009F5AFA">
        <w:rPr>
          <w:lang w:val="fr-FR"/>
        </w:rPr>
        <w:t> : D</w:t>
      </w:r>
      <w:r w:rsidR="00714E10">
        <w:rPr>
          <w:lang w:val="fr-FR"/>
        </w:rPr>
        <w:t>eux</w:t>
      </w:r>
      <w:r w:rsidR="005D2EE3" w:rsidRPr="005D2EE3">
        <w:rPr>
          <w:lang w:val="fr-FR"/>
        </w:rPr>
        <w:t xml:space="preserve"> exemple</w:t>
      </w:r>
      <w:r w:rsidR="00714E10">
        <w:rPr>
          <w:lang w:val="fr-FR"/>
        </w:rPr>
        <w:t>s</w:t>
      </w:r>
      <w:r w:rsidR="005D2EE3" w:rsidRPr="005D2EE3">
        <w:rPr>
          <w:lang w:val="fr-FR"/>
        </w:rPr>
        <w:t xml:space="preserve"> de trava</w:t>
      </w:r>
      <w:r w:rsidR="00714E10">
        <w:rPr>
          <w:lang w:val="fr-FR"/>
        </w:rPr>
        <w:t>ux</w:t>
      </w:r>
      <w:r w:rsidR="005D2EE3" w:rsidRPr="005D2EE3">
        <w:rPr>
          <w:lang w:val="fr-FR"/>
        </w:rPr>
        <w:t xml:space="preserve"> comparable</w:t>
      </w:r>
      <w:r w:rsidR="00714E10">
        <w:rPr>
          <w:lang w:val="fr-FR"/>
        </w:rPr>
        <w:t>s</w:t>
      </w:r>
      <w:r w:rsidR="005D2EE3" w:rsidRPr="005D2EE3">
        <w:rPr>
          <w:lang w:val="fr-FR"/>
        </w:rPr>
        <w:t xml:space="preserve"> réalisé</w:t>
      </w:r>
      <w:r w:rsidR="00714E10">
        <w:rPr>
          <w:lang w:val="fr-FR"/>
        </w:rPr>
        <w:t>s</w:t>
      </w:r>
      <w:r w:rsidR="005D2EE3" w:rsidRPr="005D2EE3">
        <w:rPr>
          <w:lang w:val="fr-FR"/>
        </w:rPr>
        <w:t xml:space="preserve"> précédemment (rapport, synthèse de capitalisation, etc.).</w:t>
      </w:r>
    </w:p>
    <w:p w14:paraId="383FFFEB" w14:textId="240A1EAB" w:rsidR="004E2FF5" w:rsidRPr="005D2EE3" w:rsidRDefault="005D2EE3" w:rsidP="006F20B3">
      <w:pPr>
        <w:rPr>
          <w:lang w:val="fr-FR"/>
        </w:rPr>
      </w:pPr>
      <w:r w:rsidRPr="005D2EE3">
        <w:rPr>
          <w:lang w:val="fr-FR"/>
        </w:rPr>
        <w:t>Les dossiers sont à envoyer à l’adresse suivante : [</w:t>
      </w:r>
      <w:r w:rsidR="00DD1BCA" w:rsidRPr="00DD1BCA">
        <w:rPr>
          <w:lang w:val="fr-FR"/>
        </w:rPr>
        <w:t>contact.rose@oxfam.org</w:t>
      </w:r>
      <w:r w:rsidRPr="005D2EE3">
        <w:rPr>
          <w:lang w:val="fr-FR"/>
        </w:rPr>
        <w:t>] avant le [</w:t>
      </w:r>
      <w:r w:rsidR="00736881" w:rsidRPr="00736881">
        <w:rPr>
          <w:highlight w:val="yellow"/>
          <w:lang w:val="fr-FR"/>
        </w:rPr>
        <w:t xml:space="preserve">8 Septembre </w:t>
      </w:r>
      <w:r w:rsidR="00380B58" w:rsidRPr="00B1119C">
        <w:rPr>
          <w:lang w:val="fr-FR"/>
        </w:rPr>
        <w:t>2025 à 23h59</w:t>
      </w:r>
      <w:r w:rsidRPr="005D2EE3">
        <w:rPr>
          <w:lang w:val="fr-FR"/>
        </w:rPr>
        <w:t>].</w:t>
      </w:r>
    </w:p>
    <w:p w14:paraId="0A499A83" w14:textId="4C936FE9" w:rsidR="004E2FF5" w:rsidRPr="005D2EE3" w:rsidRDefault="004E2FF5" w:rsidP="006F20B3">
      <w:pPr>
        <w:rPr>
          <w:lang w:val="fr-FR"/>
        </w:rPr>
      </w:pPr>
      <w:r w:rsidRPr="005D2EE3">
        <w:rPr>
          <w:lang w:val="fr-FR"/>
        </w:rPr>
        <w:t xml:space="preserve">L’objet du courrier doit être : </w:t>
      </w:r>
      <w:r w:rsidRPr="006F20B3">
        <w:rPr>
          <w:b/>
          <w:bCs/>
          <w:lang w:val="fr-FR"/>
        </w:rPr>
        <w:t>[</w:t>
      </w:r>
      <w:r w:rsidR="006F20B3" w:rsidRPr="006F20B3">
        <w:rPr>
          <w:b/>
          <w:bCs/>
          <w:lang w:val="fr-FR"/>
        </w:rPr>
        <w:t xml:space="preserve">Termes de référence pour une mission de documentation finale du projet ROSE </w:t>
      </w:r>
      <w:r w:rsidRPr="006F20B3">
        <w:rPr>
          <w:b/>
          <w:bCs/>
          <w:lang w:val="fr-FR"/>
        </w:rPr>
        <w:t>– Soumission de la proposition + [Nom du soumissionnaire]]</w:t>
      </w:r>
    </w:p>
    <w:p w14:paraId="35AF4102" w14:textId="63659B51" w:rsidR="002C28FA" w:rsidRPr="005D2EE3" w:rsidRDefault="004E2FF5" w:rsidP="006809EA">
      <w:pPr>
        <w:rPr>
          <w:lang w:val="fr-FR"/>
        </w:rPr>
      </w:pPr>
      <w:r w:rsidRPr="005D2EE3">
        <w:rPr>
          <w:lang w:val="fr-FR"/>
        </w:rPr>
        <w:t xml:space="preserve">Toute question, remarque ou demande de clarification peut être envoyée par écrit jusqu’à 7 jours avant la date limite de soumission. </w:t>
      </w:r>
    </w:p>
    <w:p w14:paraId="3008A484" w14:textId="0D39972F" w:rsidR="00524E2A" w:rsidRPr="005D2EE3" w:rsidRDefault="006A0865" w:rsidP="006F20B3">
      <w:pPr>
        <w:pStyle w:val="Heading2"/>
        <w:rPr>
          <w:lang w:val="fr-FR"/>
        </w:rPr>
      </w:pPr>
      <w:r w:rsidRPr="005D2EE3">
        <w:rPr>
          <w:lang w:val="fr-FR"/>
        </w:rPr>
        <w:t>Critères d'évaluation et d'attribution</w:t>
      </w:r>
    </w:p>
    <w:p w14:paraId="2454F0CD" w14:textId="3FFF65B8" w:rsidR="00524E2A" w:rsidRPr="006F20B3" w:rsidRDefault="35943DC7" w:rsidP="006F20B3">
      <w:pPr>
        <w:rPr>
          <w:lang w:val="fr-FR"/>
        </w:rPr>
      </w:pPr>
      <w:r w:rsidRPr="35943DC7">
        <w:rPr>
          <w:lang w:val="fr-FR"/>
        </w:rPr>
        <w:t>Les offres seront évaluées selon les critères et la répartition des points suivants :</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5317"/>
        <w:gridCol w:w="2842"/>
      </w:tblGrid>
      <w:tr w:rsidR="00295E59" w:rsidRPr="005D2EE3" w14:paraId="28EA8CE4" w14:textId="77777777" w:rsidTr="35943DC7">
        <w:trPr>
          <w:tblHeader/>
        </w:trPr>
        <w:tc>
          <w:tcPr>
            <w:tcW w:w="7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841A"/>
            <w:hideMark/>
          </w:tcPr>
          <w:p w14:paraId="1C8AFD9E" w14:textId="1FC98DCB" w:rsidR="00295E59" w:rsidRPr="005D2EE3" w:rsidRDefault="006A0865" w:rsidP="008512C9">
            <w:pPr>
              <w:widowControl w:val="0"/>
              <w:spacing w:after="0" w:line="276" w:lineRule="auto"/>
              <w:jc w:val="both"/>
              <w:rPr>
                <w:rFonts w:ascii="Arial" w:eastAsia="Times New Roman" w:hAnsi="Arial" w:cs="Arial"/>
                <w:b/>
                <w:bCs/>
                <w:iCs/>
                <w:color w:val="FFFFFF" w:themeColor="background1"/>
                <w:szCs w:val="20"/>
                <w:lang w:val="fr-FR"/>
              </w:rPr>
            </w:pPr>
            <w:r w:rsidRPr="005D2EE3">
              <w:rPr>
                <w:rFonts w:ascii="Arial" w:eastAsia="Times New Roman" w:hAnsi="Arial" w:cs="Arial"/>
                <w:b/>
                <w:bCs/>
                <w:iCs/>
                <w:color w:val="FFFFFF" w:themeColor="background1"/>
                <w:szCs w:val="20"/>
                <w:lang w:val="fr-FR"/>
              </w:rPr>
              <w:t>Critères d'attribution</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841A"/>
            <w:hideMark/>
          </w:tcPr>
          <w:p w14:paraId="1B30599D" w14:textId="77777777" w:rsidR="00295E59" w:rsidRPr="005D2EE3" w:rsidRDefault="00295E59" w:rsidP="008512C9">
            <w:pPr>
              <w:widowControl w:val="0"/>
              <w:spacing w:after="0" w:line="276" w:lineRule="auto"/>
              <w:ind w:left="140"/>
              <w:jc w:val="both"/>
              <w:rPr>
                <w:rFonts w:ascii="Arial" w:eastAsia="Times New Roman" w:hAnsi="Arial" w:cs="Arial"/>
                <w:b/>
                <w:bCs/>
                <w:iCs/>
                <w:color w:val="FFFFFF" w:themeColor="background1"/>
                <w:sz w:val="22"/>
                <w:lang w:val="fr-FR"/>
              </w:rPr>
            </w:pPr>
            <w:r w:rsidRPr="005D2EE3">
              <w:rPr>
                <w:rFonts w:ascii="Arial" w:eastAsia="Times New Roman" w:hAnsi="Arial" w:cs="Arial"/>
                <w:b/>
                <w:bCs/>
                <w:iCs/>
                <w:color w:val="FFFFFF" w:themeColor="background1"/>
                <w:sz w:val="22"/>
                <w:lang w:val="fr-FR"/>
              </w:rPr>
              <w:t>M</w:t>
            </w:r>
            <w:r w:rsidRPr="005D2EE3">
              <w:rPr>
                <w:rFonts w:ascii="Arial" w:eastAsia="Times New Roman" w:hAnsi="Arial" w:cs="Arial"/>
                <w:b/>
                <w:bCs/>
                <w:iCs/>
                <w:color w:val="FFFFFF" w:themeColor="background1"/>
                <w:lang w:val="fr-FR"/>
              </w:rPr>
              <w:t>ax. points</w:t>
            </w:r>
          </w:p>
        </w:tc>
      </w:tr>
      <w:tr w:rsidR="00295E59" w:rsidRPr="005D2EE3" w14:paraId="300F778F" w14:textId="77777777" w:rsidTr="35943DC7">
        <w:trPr>
          <w:trHeight w:val="89"/>
        </w:trPr>
        <w:tc>
          <w:tcPr>
            <w:tcW w:w="104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92BCACA" w14:textId="5D928285" w:rsidR="00295E59" w:rsidRPr="005D2EE3" w:rsidRDefault="006A0865" w:rsidP="006A0865">
            <w:pPr>
              <w:widowControl w:val="0"/>
              <w:spacing w:after="0" w:line="276" w:lineRule="auto"/>
              <w:ind w:left="34"/>
              <w:jc w:val="both"/>
              <w:rPr>
                <w:rFonts w:ascii="Arial" w:eastAsia="Times New Roman" w:hAnsi="Arial" w:cs="Arial"/>
                <w:b/>
                <w:bCs/>
                <w:sz w:val="22"/>
                <w:lang w:val="fr-FR"/>
              </w:rPr>
            </w:pPr>
            <w:r w:rsidRPr="005D2EE3">
              <w:rPr>
                <w:rFonts w:ascii="Arial" w:eastAsia="Times New Roman" w:hAnsi="Arial" w:cs="Arial"/>
                <w:b/>
                <w:bCs/>
                <w:lang w:val="fr-FR"/>
              </w:rPr>
              <w:t>Critères techniques</w:t>
            </w:r>
          </w:p>
        </w:tc>
      </w:tr>
      <w:tr w:rsidR="00295E59" w:rsidRPr="005D2EE3" w14:paraId="5E8E36B5" w14:textId="77777777" w:rsidTr="35943DC7">
        <w:trPr>
          <w:trHeight w:val="73"/>
        </w:trPr>
        <w:tc>
          <w:tcPr>
            <w:tcW w:w="229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7E6BC328" w14:textId="77777777" w:rsidR="003653DB" w:rsidRPr="005D2EE3" w:rsidRDefault="003653DB" w:rsidP="003653DB">
            <w:pPr>
              <w:spacing w:after="0" w:line="276" w:lineRule="auto"/>
              <w:rPr>
                <w:rFonts w:ascii="Arial" w:hAnsi="Arial"/>
                <w:b/>
                <w:color w:val="000000"/>
                <w:lang w:val="fr-FR"/>
              </w:rPr>
            </w:pPr>
          </w:p>
          <w:p w14:paraId="5C6A6A0F" w14:textId="072AC4E1" w:rsidR="00295E59" w:rsidRPr="005D2EE3" w:rsidRDefault="003653DB" w:rsidP="003653DB">
            <w:pPr>
              <w:spacing w:after="0" w:line="276" w:lineRule="auto"/>
              <w:rPr>
                <w:rFonts w:ascii="Arial" w:eastAsia="Times New Roman" w:hAnsi="Arial" w:cs="Arial"/>
                <w:b/>
                <w:bCs/>
                <w:sz w:val="22"/>
                <w:lang w:val="fr-FR"/>
              </w:rPr>
            </w:pPr>
            <w:r w:rsidRPr="005D2EE3">
              <w:rPr>
                <w:rFonts w:ascii="Arial" w:hAnsi="Arial"/>
                <w:b/>
                <w:color w:val="000000"/>
                <w:lang w:val="fr-FR"/>
              </w:rPr>
              <w:t>Capacité/compétence du soumissionnaire à exécuter le travail/service requis</w:t>
            </w:r>
          </w:p>
        </w:tc>
        <w:tc>
          <w:tcPr>
            <w:tcW w:w="5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3BBBB" w14:textId="54832A84" w:rsidR="00295E59" w:rsidRPr="00B1119C" w:rsidRDefault="00B1119C" w:rsidP="00B1119C">
            <w:pPr>
              <w:widowControl w:val="0"/>
              <w:spacing w:after="0" w:line="276" w:lineRule="auto"/>
              <w:jc w:val="both"/>
              <w:rPr>
                <w:rFonts w:ascii="Arial" w:eastAsia="Times New Roman" w:hAnsi="Arial" w:cs="Arial"/>
                <w:sz w:val="18"/>
                <w:szCs w:val="18"/>
                <w:lang w:val="fr-FR"/>
              </w:rPr>
            </w:pPr>
            <w:r w:rsidRPr="00B1119C">
              <w:rPr>
                <w:rFonts w:ascii="Arial" w:eastAsia="Times New Roman" w:hAnsi="Arial" w:cs="Arial"/>
                <w:sz w:val="18"/>
                <w:szCs w:val="18"/>
                <w:lang w:val="fr-FR"/>
              </w:rPr>
              <w:t>Expertise démontrée en documentation, capitalisation, et production de rapports finaux complexes</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5DF8E" w14:textId="49967051" w:rsidR="00295E59" w:rsidRPr="005D2EE3" w:rsidRDefault="009E1FB0" w:rsidP="008512C9">
            <w:pPr>
              <w:widowControl w:val="0"/>
              <w:spacing w:after="0" w:line="276" w:lineRule="auto"/>
              <w:ind w:left="34" w:right="248"/>
              <w:jc w:val="center"/>
              <w:rPr>
                <w:rFonts w:ascii="Arial" w:eastAsia="Times New Roman" w:hAnsi="Arial" w:cs="Arial"/>
                <w:iCs/>
                <w:sz w:val="22"/>
                <w:lang w:val="fr-FR"/>
              </w:rPr>
            </w:pPr>
            <w:r>
              <w:rPr>
                <w:rFonts w:ascii="Arial" w:eastAsia="Times New Roman" w:hAnsi="Arial" w:cs="Arial"/>
                <w:iCs/>
                <w:lang w:val="fr-FR"/>
              </w:rPr>
              <w:t>2</w:t>
            </w:r>
            <w:r w:rsidR="005067C4">
              <w:rPr>
                <w:rFonts w:ascii="Arial" w:eastAsia="Times New Roman" w:hAnsi="Arial" w:cs="Arial"/>
                <w:iCs/>
                <w:lang w:val="fr-FR"/>
              </w:rPr>
              <w:t>0</w:t>
            </w:r>
          </w:p>
        </w:tc>
      </w:tr>
      <w:tr w:rsidR="00295E59" w:rsidRPr="005D2EE3" w14:paraId="50752CB8" w14:textId="77777777" w:rsidTr="35943DC7">
        <w:trPr>
          <w:trHeight w:val="89"/>
        </w:trPr>
        <w:tc>
          <w:tcPr>
            <w:tcW w:w="2297" w:type="dxa"/>
            <w:vMerge/>
            <w:vAlign w:val="center"/>
            <w:hideMark/>
          </w:tcPr>
          <w:p w14:paraId="10D59BB8" w14:textId="77777777" w:rsidR="00295E59" w:rsidRPr="005D2EE3" w:rsidRDefault="00295E59" w:rsidP="008512C9">
            <w:pPr>
              <w:spacing w:after="0" w:line="240" w:lineRule="auto"/>
              <w:rPr>
                <w:rFonts w:ascii="Arial" w:eastAsia="Times New Roman" w:hAnsi="Arial" w:cs="Arial"/>
                <w:sz w:val="22"/>
                <w:lang w:val="fr-FR"/>
              </w:rPr>
            </w:pPr>
          </w:p>
        </w:tc>
        <w:tc>
          <w:tcPr>
            <w:tcW w:w="5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38CC6" w14:textId="5358E358" w:rsidR="00295E59" w:rsidRPr="00F4522B" w:rsidRDefault="00F4522B" w:rsidP="00F4522B">
            <w:pPr>
              <w:spacing w:after="0" w:line="276" w:lineRule="auto"/>
              <w:jc w:val="both"/>
              <w:rPr>
                <w:rFonts w:ascii="Arial" w:eastAsia="Times New Roman" w:hAnsi="Arial" w:cs="Arial"/>
                <w:sz w:val="18"/>
                <w:szCs w:val="18"/>
                <w:lang w:val="fr-FR"/>
              </w:rPr>
            </w:pPr>
            <w:r w:rsidRPr="00F4522B">
              <w:rPr>
                <w:rFonts w:ascii="Arial" w:eastAsia="Times New Roman" w:hAnsi="Arial" w:cs="Arial"/>
                <w:sz w:val="18"/>
                <w:szCs w:val="18"/>
                <w:lang w:val="fr-FR"/>
              </w:rPr>
              <w:t xml:space="preserve">Expérience avérée dans la conduite d’ateliers d’apprentissage et </w:t>
            </w:r>
            <w:r w:rsidR="00A9103E">
              <w:rPr>
                <w:rFonts w:ascii="Arial" w:eastAsia="Times New Roman" w:hAnsi="Arial" w:cs="Arial"/>
                <w:sz w:val="18"/>
                <w:szCs w:val="18"/>
                <w:lang w:val="fr-FR"/>
              </w:rPr>
              <w:t xml:space="preserve">de </w:t>
            </w:r>
            <w:r w:rsidRPr="00F4522B">
              <w:rPr>
                <w:rFonts w:ascii="Arial" w:eastAsia="Times New Roman" w:hAnsi="Arial" w:cs="Arial"/>
                <w:sz w:val="18"/>
                <w:szCs w:val="18"/>
                <w:lang w:val="fr-FR"/>
              </w:rPr>
              <w:t>capitalisation</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C8B35" w14:textId="7607A939" w:rsidR="00295E59" w:rsidRPr="005D2EE3" w:rsidRDefault="005067C4" w:rsidP="008512C9">
            <w:pPr>
              <w:widowControl w:val="0"/>
              <w:spacing w:after="0" w:line="276" w:lineRule="auto"/>
              <w:ind w:left="34" w:right="248"/>
              <w:jc w:val="center"/>
              <w:rPr>
                <w:rFonts w:ascii="Arial" w:eastAsia="Times New Roman" w:hAnsi="Arial" w:cs="Arial"/>
                <w:iCs/>
                <w:sz w:val="22"/>
                <w:lang w:val="fr-FR"/>
              </w:rPr>
            </w:pPr>
            <w:r>
              <w:rPr>
                <w:rFonts w:ascii="Arial" w:eastAsia="Times New Roman" w:hAnsi="Arial" w:cs="Arial"/>
                <w:iCs/>
                <w:lang w:val="fr-FR"/>
              </w:rPr>
              <w:t>10</w:t>
            </w:r>
          </w:p>
        </w:tc>
      </w:tr>
      <w:tr w:rsidR="00295E59" w:rsidRPr="005D2EE3" w14:paraId="280CA828" w14:textId="77777777" w:rsidTr="35943DC7">
        <w:trPr>
          <w:trHeight w:val="89"/>
        </w:trPr>
        <w:tc>
          <w:tcPr>
            <w:tcW w:w="2297" w:type="dxa"/>
            <w:vMerge/>
            <w:vAlign w:val="center"/>
          </w:tcPr>
          <w:p w14:paraId="3A417F17" w14:textId="77777777" w:rsidR="00295E59" w:rsidRPr="005D2EE3" w:rsidRDefault="00295E59" w:rsidP="008512C9">
            <w:pPr>
              <w:spacing w:after="0" w:line="240" w:lineRule="auto"/>
              <w:rPr>
                <w:rFonts w:ascii="Arial" w:eastAsia="Times New Roman" w:hAnsi="Arial" w:cs="Arial"/>
                <w:lang w:val="fr-FR"/>
              </w:rPr>
            </w:pPr>
          </w:p>
        </w:tc>
        <w:tc>
          <w:tcPr>
            <w:tcW w:w="5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56394" w14:textId="78D00043" w:rsidR="00295E59" w:rsidRPr="005D2EE3" w:rsidRDefault="35943DC7" w:rsidP="00F4522B">
            <w:pPr>
              <w:spacing w:after="0" w:line="276" w:lineRule="auto"/>
              <w:jc w:val="both"/>
              <w:rPr>
                <w:rFonts w:ascii="Arial" w:eastAsia="Times New Roman" w:hAnsi="Arial" w:cs="Arial"/>
                <w:sz w:val="18"/>
                <w:szCs w:val="18"/>
                <w:lang w:val="fr-FR"/>
              </w:rPr>
            </w:pPr>
            <w:r w:rsidRPr="35943DC7">
              <w:rPr>
                <w:rFonts w:ascii="Arial" w:eastAsia="Times New Roman" w:hAnsi="Arial" w:cs="Arial"/>
                <w:sz w:val="18"/>
                <w:szCs w:val="18"/>
                <w:lang w:val="fr-FR"/>
              </w:rPr>
              <w:t xml:space="preserve">Connaissance des standards et exigences en matière de rapportage et d’élaboration de documents d’apprentissages avec des ONGs et des INGOS </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BA16E2" w14:textId="584C24A8" w:rsidR="00295E59" w:rsidRPr="005D2EE3" w:rsidRDefault="00AE1345" w:rsidP="008512C9">
            <w:pPr>
              <w:widowControl w:val="0"/>
              <w:spacing w:after="0" w:line="276" w:lineRule="auto"/>
              <w:ind w:left="34" w:right="248"/>
              <w:jc w:val="center"/>
              <w:rPr>
                <w:rFonts w:ascii="Arial" w:eastAsia="Times New Roman" w:hAnsi="Arial" w:cs="Arial"/>
                <w:iCs/>
                <w:lang w:val="fr-FR"/>
              </w:rPr>
            </w:pPr>
            <w:r>
              <w:rPr>
                <w:rFonts w:ascii="Arial" w:eastAsia="Times New Roman" w:hAnsi="Arial" w:cs="Arial"/>
                <w:iCs/>
                <w:lang w:val="fr-FR"/>
              </w:rPr>
              <w:t>10</w:t>
            </w:r>
          </w:p>
        </w:tc>
      </w:tr>
      <w:tr w:rsidR="00295E59" w:rsidRPr="005D2EE3" w14:paraId="7AEE038E" w14:textId="77777777" w:rsidTr="35943DC7">
        <w:trPr>
          <w:trHeight w:val="176"/>
        </w:trPr>
        <w:tc>
          <w:tcPr>
            <w:tcW w:w="2297" w:type="dxa"/>
            <w:vMerge/>
            <w:vAlign w:val="center"/>
          </w:tcPr>
          <w:p w14:paraId="089BC806" w14:textId="77777777" w:rsidR="00295E59" w:rsidRPr="005D2EE3" w:rsidRDefault="00295E59" w:rsidP="008512C9">
            <w:pPr>
              <w:spacing w:after="0" w:line="240" w:lineRule="auto"/>
              <w:rPr>
                <w:rFonts w:ascii="Arial" w:eastAsia="Times New Roman" w:hAnsi="Arial" w:cs="Arial"/>
                <w:lang w:val="fr-FR"/>
              </w:rPr>
            </w:pPr>
          </w:p>
        </w:tc>
        <w:tc>
          <w:tcPr>
            <w:tcW w:w="5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53837" w14:textId="3F7F96EB" w:rsidR="00295E59" w:rsidRPr="00B9362A" w:rsidRDefault="00B9362A" w:rsidP="00B9362A">
            <w:pPr>
              <w:spacing w:after="0" w:line="276" w:lineRule="auto"/>
              <w:jc w:val="both"/>
              <w:rPr>
                <w:rFonts w:ascii="Arial" w:eastAsia="Times New Roman" w:hAnsi="Arial" w:cs="Arial"/>
                <w:sz w:val="18"/>
                <w:szCs w:val="18"/>
                <w:lang w:val="fr-FR"/>
              </w:rPr>
            </w:pPr>
            <w:r w:rsidRPr="00B9362A">
              <w:rPr>
                <w:rFonts w:ascii="Arial" w:eastAsia="Times New Roman" w:hAnsi="Arial" w:cs="Arial"/>
                <w:sz w:val="18"/>
                <w:szCs w:val="18"/>
                <w:lang w:val="fr-FR"/>
              </w:rPr>
              <w:t>Preuves solides de satisfaction et réussite sur missions comparables</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A6BFF" w14:textId="5B5E44F8" w:rsidR="00295E59" w:rsidRPr="005D2EE3" w:rsidRDefault="00AE1345" w:rsidP="008512C9">
            <w:pPr>
              <w:widowControl w:val="0"/>
              <w:spacing w:after="0" w:line="276" w:lineRule="auto"/>
              <w:ind w:left="34" w:right="248"/>
              <w:jc w:val="center"/>
              <w:rPr>
                <w:rFonts w:ascii="Arial" w:eastAsia="Times New Roman" w:hAnsi="Arial" w:cs="Arial"/>
                <w:iCs/>
                <w:lang w:val="fr-FR"/>
              </w:rPr>
            </w:pPr>
            <w:r>
              <w:rPr>
                <w:rFonts w:ascii="Arial" w:eastAsia="Times New Roman" w:hAnsi="Arial" w:cs="Arial"/>
                <w:iCs/>
                <w:lang w:val="fr-FR"/>
              </w:rPr>
              <w:t>20</w:t>
            </w:r>
          </w:p>
        </w:tc>
      </w:tr>
      <w:tr w:rsidR="00295E59" w:rsidRPr="005D2EE3" w14:paraId="36231849" w14:textId="77777777" w:rsidTr="35943DC7">
        <w:trPr>
          <w:trHeight w:val="89"/>
        </w:trPr>
        <w:tc>
          <w:tcPr>
            <w:tcW w:w="2297" w:type="dxa"/>
            <w:vMerge/>
            <w:vAlign w:val="center"/>
          </w:tcPr>
          <w:p w14:paraId="180B4A69" w14:textId="77777777" w:rsidR="00295E59" w:rsidRPr="005D2EE3" w:rsidRDefault="00295E59" w:rsidP="008512C9">
            <w:pPr>
              <w:spacing w:after="0" w:line="240" w:lineRule="auto"/>
              <w:rPr>
                <w:rFonts w:ascii="Arial" w:eastAsia="Times New Roman" w:hAnsi="Arial" w:cs="Arial"/>
                <w:lang w:val="fr-FR"/>
              </w:rPr>
            </w:pPr>
          </w:p>
        </w:tc>
        <w:tc>
          <w:tcPr>
            <w:tcW w:w="5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2604F" w14:textId="39384F69" w:rsidR="00295E59" w:rsidRPr="00B9362A" w:rsidRDefault="00B9362A" w:rsidP="00B9362A">
            <w:pPr>
              <w:spacing w:after="0" w:line="276" w:lineRule="auto"/>
              <w:jc w:val="both"/>
              <w:rPr>
                <w:rFonts w:ascii="Arial" w:eastAsia="Times New Roman" w:hAnsi="Arial" w:cs="Arial"/>
                <w:sz w:val="18"/>
                <w:szCs w:val="18"/>
                <w:lang w:val="fr-FR"/>
              </w:rPr>
            </w:pPr>
            <w:r w:rsidRPr="00B9362A">
              <w:rPr>
                <w:rFonts w:ascii="Arial" w:eastAsia="Times New Roman" w:hAnsi="Arial" w:cs="Arial"/>
                <w:sz w:val="18"/>
                <w:szCs w:val="18"/>
                <w:lang w:val="fr-FR"/>
              </w:rPr>
              <w:t xml:space="preserve">Maîtrise des dynamiques associatives, enjeux civiques, et aspects sociopolitiques </w:t>
            </w:r>
            <w:r w:rsidR="00AE1345">
              <w:rPr>
                <w:rFonts w:ascii="Arial" w:eastAsia="Times New Roman" w:hAnsi="Arial" w:cs="Arial"/>
                <w:sz w:val="18"/>
                <w:szCs w:val="18"/>
                <w:lang w:val="fr-FR"/>
              </w:rPr>
              <w:t>nationaux</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57917" w14:textId="101C802A" w:rsidR="00295E59" w:rsidRPr="005D2EE3" w:rsidRDefault="009E1FB0" w:rsidP="008512C9">
            <w:pPr>
              <w:widowControl w:val="0"/>
              <w:spacing w:after="0" w:line="276" w:lineRule="auto"/>
              <w:ind w:left="34" w:right="248"/>
              <w:jc w:val="center"/>
              <w:rPr>
                <w:rFonts w:ascii="Arial" w:eastAsia="Times New Roman" w:hAnsi="Arial" w:cs="Arial"/>
                <w:iCs/>
                <w:lang w:val="fr-FR"/>
              </w:rPr>
            </w:pPr>
            <w:r>
              <w:rPr>
                <w:rFonts w:ascii="Arial" w:eastAsia="Times New Roman" w:hAnsi="Arial" w:cs="Arial"/>
                <w:iCs/>
                <w:lang w:val="fr-FR"/>
              </w:rPr>
              <w:t>2</w:t>
            </w:r>
            <w:r w:rsidR="005067C4">
              <w:rPr>
                <w:rFonts w:ascii="Arial" w:eastAsia="Times New Roman" w:hAnsi="Arial" w:cs="Arial"/>
                <w:iCs/>
                <w:lang w:val="fr-FR"/>
              </w:rPr>
              <w:t>0</w:t>
            </w:r>
          </w:p>
        </w:tc>
      </w:tr>
      <w:tr w:rsidR="00295E59" w:rsidRPr="005D2EE3" w14:paraId="4A77BA91" w14:textId="77777777" w:rsidTr="35943DC7">
        <w:trPr>
          <w:trHeight w:val="89"/>
        </w:trPr>
        <w:tc>
          <w:tcPr>
            <w:tcW w:w="2297" w:type="dxa"/>
            <w:vMerge w:val="restart"/>
            <w:tcBorders>
              <w:top w:val="single" w:sz="4" w:space="0" w:color="000000" w:themeColor="text1"/>
              <w:left w:val="single" w:sz="4" w:space="0" w:color="000000" w:themeColor="text1"/>
              <w:right w:val="single" w:sz="4" w:space="0" w:color="000000" w:themeColor="text1"/>
            </w:tcBorders>
            <w:vAlign w:val="center"/>
          </w:tcPr>
          <w:p w14:paraId="54FCE6F6" w14:textId="77777777" w:rsidR="003653DB" w:rsidRPr="005D2EE3" w:rsidRDefault="003653DB" w:rsidP="003653DB">
            <w:pPr>
              <w:spacing w:after="0" w:line="240" w:lineRule="auto"/>
              <w:rPr>
                <w:rFonts w:ascii="Arial" w:hAnsi="Arial"/>
                <w:b/>
                <w:color w:val="000000"/>
                <w:lang w:val="fr-FR"/>
              </w:rPr>
            </w:pPr>
          </w:p>
          <w:p w14:paraId="6607BF6A" w14:textId="05355C5C" w:rsidR="00295E59" w:rsidRPr="005D2EE3" w:rsidRDefault="003653DB" w:rsidP="003653DB">
            <w:pPr>
              <w:spacing w:after="0" w:line="240" w:lineRule="auto"/>
              <w:rPr>
                <w:rFonts w:ascii="Arial" w:eastAsia="Times New Roman" w:hAnsi="Arial" w:cs="Arial"/>
                <w:b/>
                <w:bCs/>
                <w:lang w:val="fr-FR"/>
              </w:rPr>
            </w:pPr>
            <w:r w:rsidRPr="005D2EE3">
              <w:rPr>
                <w:rFonts w:ascii="Arial" w:hAnsi="Arial"/>
                <w:b/>
                <w:color w:val="000000"/>
                <w:lang w:val="fr-FR"/>
              </w:rPr>
              <w:t>Qualité des produits/services et capacité à répondre aux exigences</w:t>
            </w:r>
          </w:p>
        </w:tc>
        <w:tc>
          <w:tcPr>
            <w:tcW w:w="5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741BD" w14:textId="30358A07" w:rsidR="00295E59" w:rsidRPr="00B9362A" w:rsidRDefault="00B9362A" w:rsidP="00B9362A">
            <w:pPr>
              <w:spacing w:after="0" w:line="276" w:lineRule="auto"/>
              <w:rPr>
                <w:rFonts w:ascii="Arial" w:eastAsia="Times New Roman" w:hAnsi="Arial" w:cs="Arial"/>
                <w:sz w:val="18"/>
                <w:szCs w:val="18"/>
                <w:lang w:val="fr-FR"/>
              </w:rPr>
            </w:pPr>
            <w:r w:rsidRPr="00B9362A">
              <w:rPr>
                <w:rFonts w:ascii="Arial" w:hAnsi="Arial"/>
                <w:color w:val="000000"/>
                <w:sz w:val="18"/>
                <w:szCs w:val="18"/>
                <w:lang w:val="fr-FR"/>
              </w:rPr>
              <w:t>Clarté, cohérence et innovation dans la méthodologie proposée, adéquation avec objectifs</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1CFA5" w14:textId="736D266C" w:rsidR="00295E59" w:rsidRPr="005D2EE3" w:rsidRDefault="009E1FB0" w:rsidP="008512C9">
            <w:pPr>
              <w:widowControl w:val="0"/>
              <w:spacing w:after="0" w:line="276" w:lineRule="auto"/>
              <w:ind w:left="34" w:right="248"/>
              <w:jc w:val="center"/>
              <w:rPr>
                <w:rFonts w:ascii="Arial" w:eastAsia="Times New Roman" w:hAnsi="Arial" w:cs="Arial"/>
                <w:iCs/>
                <w:lang w:val="fr-FR"/>
              </w:rPr>
            </w:pPr>
            <w:r>
              <w:rPr>
                <w:rFonts w:ascii="Arial" w:eastAsia="Times New Roman" w:hAnsi="Arial" w:cs="Arial"/>
                <w:iCs/>
                <w:lang w:val="fr-FR"/>
              </w:rPr>
              <w:t>10</w:t>
            </w:r>
          </w:p>
        </w:tc>
      </w:tr>
      <w:tr w:rsidR="00295E59" w:rsidRPr="005D2EE3" w14:paraId="61B4AE93" w14:textId="77777777" w:rsidTr="35943DC7">
        <w:trPr>
          <w:trHeight w:val="89"/>
        </w:trPr>
        <w:tc>
          <w:tcPr>
            <w:tcW w:w="2297" w:type="dxa"/>
            <w:vMerge/>
            <w:vAlign w:val="center"/>
          </w:tcPr>
          <w:p w14:paraId="6E3D2D68" w14:textId="77777777" w:rsidR="00295E59" w:rsidRPr="005D2EE3" w:rsidRDefault="00295E59" w:rsidP="008512C9">
            <w:pPr>
              <w:spacing w:after="0" w:line="240" w:lineRule="auto"/>
              <w:rPr>
                <w:rFonts w:ascii="Arial" w:eastAsia="Times New Roman" w:hAnsi="Arial" w:cs="Arial"/>
                <w:lang w:val="fr-FR"/>
              </w:rPr>
            </w:pPr>
          </w:p>
        </w:tc>
        <w:tc>
          <w:tcPr>
            <w:tcW w:w="5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3DBBA" w14:textId="2F24FFC9" w:rsidR="00295E59" w:rsidRPr="00FF783D" w:rsidRDefault="00FF783D" w:rsidP="00FF783D">
            <w:pPr>
              <w:spacing w:after="0" w:line="276" w:lineRule="auto"/>
              <w:rPr>
                <w:rFonts w:ascii="Arial" w:eastAsia="Times New Roman" w:hAnsi="Arial" w:cs="Arial"/>
                <w:sz w:val="18"/>
                <w:szCs w:val="18"/>
                <w:lang w:val="fr-FR"/>
              </w:rPr>
            </w:pPr>
            <w:r w:rsidRPr="00FF783D">
              <w:rPr>
                <w:rFonts w:ascii="Arial" w:hAnsi="Arial"/>
                <w:color w:val="000000"/>
                <w:sz w:val="18"/>
                <w:szCs w:val="18"/>
                <w:lang w:val="fr-FR"/>
              </w:rPr>
              <w:t xml:space="preserve">Maîtrise des techniques rédactionnelles et des </w:t>
            </w:r>
            <w:r w:rsidR="00D66871">
              <w:rPr>
                <w:rFonts w:ascii="Arial" w:hAnsi="Arial"/>
                <w:color w:val="000000"/>
                <w:sz w:val="18"/>
                <w:szCs w:val="18"/>
                <w:lang w:val="fr-FR"/>
              </w:rPr>
              <w:t>outils de collecte des données et</w:t>
            </w:r>
            <w:r w:rsidRPr="00FF783D">
              <w:rPr>
                <w:rFonts w:ascii="Arial" w:hAnsi="Arial"/>
                <w:color w:val="000000"/>
                <w:sz w:val="18"/>
                <w:szCs w:val="18"/>
                <w:lang w:val="fr-FR"/>
              </w:rPr>
              <w:t xml:space="preserve"> de reporting</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14C9A" w14:textId="5AC9015F" w:rsidR="00295E59" w:rsidRPr="005D2EE3" w:rsidRDefault="009E1FB0" w:rsidP="008512C9">
            <w:pPr>
              <w:widowControl w:val="0"/>
              <w:spacing w:after="0" w:line="276" w:lineRule="auto"/>
              <w:ind w:left="34" w:right="248"/>
              <w:jc w:val="center"/>
              <w:rPr>
                <w:rFonts w:ascii="Arial" w:eastAsia="Times New Roman" w:hAnsi="Arial" w:cs="Arial"/>
                <w:iCs/>
                <w:lang w:val="fr-FR"/>
              </w:rPr>
            </w:pPr>
            <w:r>
              <w:rPr>
                <w:rFonts w:ascii="Arial" w:eastAsia="Times New Roman" w:hAnsi="Arial" w:cs="Arial"/>
                <w:iCs/>
                <w:lang w:val="fr-FR"/>
              </w:rPr>
              <w:t>10</w:t>
            </w:r>
          </w:p>
        </w:tc>
      </w:tr>
      <w:tr w:rsidR="00295E59" w:rsidRPr="005D2EE3" w14:paraId="3AE41D1F" w14:textId="77777777" w:rsidTr="35943DC7">
        <w:trPr>
          <w:trHeight w:val="89"/>
        </w:trPr>
        <w:tc>
          <w:tcPr>
            <w:tcW w:w="2297" w:type="dxa"/>
            <w:vMerge/>
            <w:vAlign w:val="center"/>
          </w:tcPr>
          <w:p w14:paraId="6B9A1657" w14:textId="77777777" w:rsidR="00295E59" w:rsidRPr="005D2EE3" w:rsidRDefault="00295E59" w:rsidP="008512C9">
            <w:pPr>
              <w:spacing w:after="0" w:line="240" w:lineRule="auto"/>
              <w:rPr>
                <w:rFonts w:ascii="Arial" w:eastAsia="Times New Roman" w:hAnsi="Arial" w:cs="Arial"/>
                <w:lang w:val="fr-FR"/>
              </w:rPr>
            </w:pPr>
          </w:p>
        </w:tc>
        <w:tc>
          <w:tcPr>
            <w:tcW w:w="5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7F8C0" w14:textId="762C31C3" w:rsidR="00295E59" w:rsidRPr="005D2EE3" w:rsidRDefault="00FF783D" w:rsidP="00FF783D">
            <w:pPr>
              <w:spacing w:after="0" w:line="276" w:lineRule="auto"/>
              <w:rPr>
                <w:rFonts w:ascii="Arial" w:eastAsia="Times New Roman" w:hAnsi="Arial" w:cs="Arial"/>
                <w:sz w:val="18"/>
                <w:szCs w:val="18"/>
                <w:lang w:val="fr-FR"/>
              </w:rPr>
            </w:pPr>
            <w:r w:rsidRPr="00FF783D">
              <w:rPr>
                <w:rFonts w:ascii="Arial" w:hAnsi="Arial"/>
                <w:color w:val="000000"/>
                <w:sz w:val="18"/>
                <w:szCs w:val="18"/>
                <w:lang w:val="fr-FR"/>
              </w:rPr>
              <w:t>Fiabilité et réalisme du calendrier proposé</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E9C03" w14:textId="22ADE0E9" w:rsidR="00295E59" w:rsidRPr="005D2EE3" w:rsidRDefault="009E1FB0" w:rsidP="008512C9">
            <w:pPr>
              <w:widowControl w:val="0"/>
              <w:spacing w:after="0" w:line="276" w:lineRule="auto"/>
              <w:ind w:left="34" w:right="248"/>
              <w:jc w:val="center"/>
              <w:rPr>
                <w:rFonts w:ascii="Arial" w:eastAsia="Times New Roman" w:hAnsi="Arial" w:cs="Arial"/>
                <w:iCs/>
                <w:lang w:val="fr-FR"/>
              </w:rPr>
            </w:pPr>
            <w:r>
              <w:rPr>
                <w:rFonts w:ascii="Arial" w:eastAsia="Times New Roman" w:hAnsi="Arial" w:cs="Arial"/>
                <w:iCs/>
                <w:lang w:val="fr-FR"/>
              </w:rPr>
              <w:t>10</w:t>
            </w:r>
          </w:p>
        </w:tc>
      </w:tr>
      <w:tr w:rsidR="00E83B56" w:rsidRPr="005D2EE3" w14:paraId="0BF72261" w14:textId="77777777" w:rsidTr="35943DC7">
        <w:trPr>
          <w:trHeight w:val="89"/>
        </w:trPr>
        <w:tc>
          <w:tcPr>
            <w:tcW w:w="10456" w:type="dxa"/>
            <w:gridSpan w:val="3"/>
            <w:tcBorders>
              <w:left w:val="single" w:sz="4" w:space="0" w:color="000000" w:themeColor="text1"/>
              <w:right w:val="single" w:sz="4" w:space="0" w:color="000000" w:themeColor="text1"/>
            </w:tcBorders>
            <w:shd w:val="clear" w:color="auto" w:fill="D9D9D9" w:themeFill="background1" w:themeFillShade="D9"/>
            <w:vAlign w:val="center"/>
          </w:tcPr>
          <w:p w14:paraId="575C535E" w14:textId="1AA2C89A" w:rsidR="00E83B56" w:rsidRPr="005D2EE3" w:rsidRDefault="005E23AB" w:rsidP="00E83B56">
            <w:pPr>
              <w:widowControl w:val="0"/>
              <w:spacing w:after="0" w:line="276" w:lineRule="auto"/>
              <w:ind w:left="34"/>
              <w:jc w:val="both"/>
              <w:rPr>
                <w:rFonts w:ascii="Arial" w:eastAsia="Times New Roman" w:hAnsi="Arial" w:cs="Arial"/>
                <w:b/>
                <w:bCs/>
                <w:lang w:val="fr-FR"/>
              </w:rPr>
            </w:pPr>
            <w:r w:rsidRPr="005D2EE3">
              <w:rPr>
                <w:rFonts w:ascii="Arial" w:eastAsia="Times New Roman" w:hAnsi="Arial" w:cs="Arial"/>
                <w:b/>
                <w:bCs/>
                <w:lang w:val="fr-FR"/>
              </w:rPr>
              <w:t>Critères éthiques et durables</w:t>
            </w:r>
          </w:p>
        </w:tc>
      </w:tr>
      <w:tr w:rsidR="00E83B56" w:rsidRPr="005D2EE3" w14:paraId="7F0474DE" w14:textId="77777777" w:rsidTr="35943DC7">
        <w:trPr>
          <w:trHeight w:val="89"/>
        </w:trPr>
        <w:tc>
          <w:tcPr>
            <w:tcW w:w="2297" w:type="dxa"/>
            <w:vMerge w:val="restart"/>
            <w:tcBorders>
              <w:left w:val="single" w:sz="4" w:space="0" w:color="000000" w:themeColor="text1"/>
              <w:right w:val="single" w:sz="4" w:space="0" w:color="000000" w:themeColor="text1"/>
            </w:tcBorders>
            <w:vAlign w:val="center"/>
          </w:tcPr>
          <w:p w14:paraId="4E957CCD" w14:textId="77777777" w:rsidR="005E23AB" w:rsidRPr="005D2EE3" w:rsidRDefault="005E23AB" w:rsidP="005E23AB">
            <w:pPr>
              <w:spacing w:after="0" w:line="276" w:lineRule="auto"/>
              <w:rPr>
                <w:rFonts w:ascii="Arial" w:eastAsia="Times New Roman" w:hAnsi="Arial" w:cs="Arial"/>
                <w:b/>
                <w:bCs/>
                <w:lang w:val="fr-FR"/>
              </w:rPr>
            </w:pPr>
          </w:p>
          <w:p w14:paraId="6AF0D35D" w14:textId="57E1A67A" w:rsidR="00E83B56" w:rsidRPr="005D2EE3" w:rsidRDefault="005E23AB" w:rsidP="005E23AB">
            <w:pPr>
              <w:spacing w:after="0" w:line="276" w:lineRule="auto"/>
              <w:rPr>
                <w:rFonts w:ascii="Arial" w:eastAsia="Times New Roman" w:hAnsi="Arial" w:cs="Arial"/>
                <w:b/>
                <w:bCs/>
                <w:lang w:val="fr-FR"/>
              </w:rPr>
            </w:pPr>
            <w:r w:rsidRPr="005D2EE3">
              <w:rPr>
                <w:rFonts w:ascii="Arial" w:eastAsia="Times New Roman" w:hAnsi="Arial" w:cs="Arial"/>
                <w:b/>
                <w:bCs/>
                <w:lang w:val="fr-FR"/>
              </w:rPr>
              <w:t>Éthique / Durable</w:t>
            </w:r>
          </w:p>
        </w:tc>
        <w:tc>
          <w:tcPr>
            <w:tcW w:w="5317" w:type="dxa"/>
            <w:tcBorders>
              <w:left w:val="single" w:sz="4" w:space="0" w:color="000000" w:themeColor="text1"/>
              <w:bottom w:val="single" w:sz="4" w:space="0" w:color="000000" w:themeColor="text1"/>
              <w:right w:val="single" w:sz="4" w:space="0" w:color="000000" w:themeColor="text1"/>
            </w:tcBorders>
          </w:tcPr>
          <w:p w14:paraId="33E99950" w14:textId="2D8B80D5" w:rsidR="00E83B56" w:rsidRPr="001220DB" w:rsidRDefault="001220DB" w:rsidP="001220DB">
            <w:pPr>
              <w:spacing w:after="0" w:line="276" w:lineRule="auto"/>
              <w:rPr>
                <w:rFonts w:ascii="Arial" w:eastAsia="Times New Roman" w:hAnsi="Arial" w:cs="Arial"/>
                <w:b/>
                <w:bCs/>
                <w:lang w:val="fr-FR"/>
              </w:rPr>
            </w:pPr>
            <w:r w:rsidRPr="001220DB">
              <w:rPr>
                <w:rFonts w:ascii="Arial" w:eastAsia="Times New Roman" w:hAnsi="Arial" w:cs="Arial"/>
                <w:sz w:val="18"/>
                <w:szCs w:val="18"/>
                <w:lang w:val="fr-FR"/>
              </w:rPr>
              <w:t xml:space="preserve">Engagement démontré envers l’éthique professionnelle </w:t>
            </w:r>
            <w:r w:rsidR="007E61E0">
              <w:rPr>
                <w:rFonts w:ascii="Arial" w:eastAsia="Times New Roman" w:hAnsi="Arial" w:cs="Arial"/>
                <w:sz w:val="18"/>
                <w:szCs w:val="18"/>
                <w:lang w:val="fr-FR"/>
              </w:rPr>
              <w:t xml:space="preserve">(Maitrise des protocoles de confidentialité et de </w:t>
            </w:r>
            <w:r w:rsidR="0065786D">
              <w:rPr>
                <w:rFonts w:ascii="Arial" w:eastAsia="Times New Roman" w:hAnsi="Arial" w:cs="Arial"/>
                <w:sz w:val="18"/>
                <w:szCs w:val="18"/>
                <w:lang w:val="fr-FR"/>
              </w:rPr>
              <w:t>protection des données etc.)</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B55BA" w14:textId="67E8286D" w:rsidR="00E83B56" w:rsidRPr="005D2EE3" w:rsidRDefault="007B3AEC" w:rsidP="00E83B56">
            <w:pPr>
              <w:widowControl w:val="0"/>
              <w:spacing w:after="0" w:line="276" w:lineRule="auto"/>
              <w:ind w:left="34" w:right="248"/>
              <w:jc w:val="center"/>
              <w:rPr>
                <w:rFonts w:ascii="Arial" w:eastAsia="Times New Roman" w:hAnsi="Arial" w:cs="Arial"/>
                <w:b/>
                <w:bCs/>
                <w:iCs/>
                <w:lang w:val="fr-FR"/>
              </w:rPr>
            </w:pPr>
            <w:r>
              <w:rPr>
                <w:rFonts w:ascii="Arial" w:eastAsia="Times New Roman" w:hAnsi="Arial" w:cs="Arial"/>
                <w:iCs/>
                <w:lang w:val="fr-FR"/>
              </w:rPr>
              <w:t>5</w:t>
            </w:r>
          </w:p>
        </w:tc>
      </w:tr>
      <w:tr w:rsidR="00E83B56" w:rsidRPr="005D2EE3" w14:paraId="7C578B71" w14:textId="77777777" w:rsidTr="35943DC7">
        <w:trPr>
          <w:trHeight w:val="89"/>
        </w:trPr>
        <w:tc>
          <w:tcPr>
            <w:tcW w:w="2297" w:type="dxa"/>
            <w:vMerge/>
            <w:vAlign w:val="center"/>
          </w:tcPr>
          <w:p w14:paraId="6904609B" w14:textId="77777777" w:rsidR="00E83B56" w:rsidRPr="005D2EE3" w:rsidRDefault="00E83B56" w:rsidP="00E83B56">
            <w:pPr>
              <w:spacing w:after="0" w:line="276" w:lineRule="auto"/>
              <w:rPr>
                <w:rFonts w:ascii="Arial" w:eastAsia="Times New Roman" w:hAnsi="Arial" w:cs="Arial"/>
                <w:b/>
                <w:bCs/>
                <w:lang w:val="fr-FR"/>
              </w:rPr>
            </w:pPr>
          </w:p>
        </w:tc>
        <w:tc>
          <w:tcPr>
            <w:tcW w:w="5317" w:type="dxa"/>
            <w:tcBorders>
              <w:left w:val="single" w:sz="4" w:space="0" w:color="000000" w:themeColor="text1"/>
              <w:bottom w:val="single" w:sz="4" w:space="0" w:color="000000" w:themeColor="text1"/>
              <w:right w:val="single" w:sz="4" w:space="0" w:color="000000" w:themeColor="text1"/>
            </w:tcBorders>
          </w:tcPr>
          <w:p w14:paraId="67FB132A" w14:textId="1B15BEAA" w:rsidR="00E83B56" w:rsidRPr="007E61E0" w:rsidRDefault="007E61E0" w:rsidP="007E61E0">
            <w:pPr>
              <w:spacing w:after="0" w:line="276" w:lineRule="auto"/>
              <w:rPr>
                <w:rFonts w:ascii="Arial" w:eastAsia="Times New Roman" w:hAnsi="Arial" w:cs="Arial"/>
                <w:sz w:val="18"/>
                <w:szCs w:val="18"/>
                <w:lang w:val="fr-FR"/>
              </w:rPr>
            </w:pPr>
            <w:r w:rsidRPr="007E61E0">
              <w:rPr>
                <w:rFonts w:ascii="Arial" w:eastAsia="Times New Roman" w:hAnsi="Arial" w:cs="Arial"/>
                <w:sz w:val="18"/>
                <w:szCs w:val="18"/>
                <w:lang w:val="fr-FR"/>
              </w:rPr>
              <w:t>Prise en compte des aspects de genre, diversité et inclusion dans la méthodologie et les livrables</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B31F0" w14:textId="20AE6541" w:rsidR="00E83B56" w:rsidRPr="005D2EE3" w:rsidRDefault="007B3AEC" w:rsidP="00E83B56">
            <w:pPr>
              <w:widowControl w:val="0"/>
              <w:spacing w:after="0" w:line="276" w:lineRule="auto"/>
              <w:ind w:left="34" w:right="248"/>
              <w:jc w:val="center"/>
              <w:rPr>
                <w:rFonts w:ascii="Arial" w:eastAsia="Times New Roman" w:hAnsi="Arial" w:cs="Arial"/>
                <w:b/>
                <w:bCs/>
                <w:iCs/>
                <w:lang w:val="fr-FR"/>
              </w:rPr>
            </w:pPr>
            <w:r>
              <w:rPr>
                <w:rFonts w:ascii="Arial" w:eastAsia="Times New Roman" w:hAnsi="Arial" w:cs="Arial"/>
                <w:iCs/>
                <w:lang w:val="fr-FR"/>
              </w:rPr>
              <w:t>5</w:t>
            </w:r>
          </w:p>
        </w:tc>
      </w:tr>
      <w:tr w:rsidR="00E83B56" w:rsidRPr="005D2EE3" w14:paraId="418D53AF" w14:textId="77777777" w:rsidTr="35943DC7">
        <w:trPr>
          <w:trHeight w:val="89"/>
        </w:trPr>
        <w:tc>
          <w:tcPr>
            <w:tcW w:w="2297" w:type="dxa"/>
            <w:vMerge/>
            <w:vAlign w:val="center"/>
          </w:tcPr>
          <w:p w14:paraId="458D644A" w14:textId="77777777" w:rsidR="00E83B56" w:rsidRPr="005D2EE3" w:rsidRDefault="00E83B56" w:rsidP="00E83B56">
            <w:pPr>
              <w:spacing w:after="0" w:line="276" w:lineRule="auto"/>
              <w:rPr>
                <w:rFonts w:ascii="Arial" w:eastAsia="Times New Roman" w:hAnsi="Arial" w:cs="Arial"/>
                <w:b/>
                <w:bCs/>
                <w:lang w:val="fr-FR"/>
              </w:rPr>
            </w:pPr>
          </w:p>
        </w:tc>
        <w:tc>
          <w:tcPr>
            <w:tcW w:w="5317" w:type="dxa"/>
            <w:tcBorders>
              <w:left w:val="single" w:sz="4" w:space="0" w:color="000000" w:themeColor="text1"/>
              <w:bottom w:val="single" w:sz="4" w:space="0" w:color="000000" w:themeColor="text1"/>
              <w:right w:val="single" w:sz="4" w:space="0" w:color="000000" w:themeColor="text1"/>
            </w:tcBorders>
          </w:tcPr>
          <w:p w14:paraId="5C4D36A2" w14:textId="436D7C5E" w:rsidR="00E83B56" w:rsidRPr="005D2EE3" w:rsidRDefault="005E23AB" w:rsidP="005E23AB">
            <w:pPr>
              <w:spacing w:after="0" w:line="276" w:lineRule="auto"/>
              <w:rPr>
                <w:rFonts w:ascii="Arial" w:eastAsia="Times New Roman" w:hAnsi="Arial" w:cs="Arial"/>
                <w:sz w:val="18"/>
                <w:szCs w:val="18"/>
                <w:lang w:val="fr-FR"/>
              </w:rPr>
            </w:pPr>
            <w:r w:rsidRPr="005D2EE3">
              <w:rPr>
                <w:rFonts w:ascii="Arial" w:eastAsia="Times New Roman" w:hAnsi="Arial" w:cs="Arial"/>
                <w:sz w:val="18"/>
                <w:szCs w:val="18"/>
                <w:lang w:val="fr-FR"/>
              </w:rPr>
              <w:t xml:space="preserve">Alignement clairement indiqué avec les valeurs </w:t>
            </w:r>
            <w:r w:rsidR="002A6AF6">
              <w:rPr>
                <w:rFonts w:ascii="Arial" w:eastAsia="Times New Roman" w:hAnsi="Arial" w:cs="Arial"/>
                <w:sz w:val="18"/>
                <w:szCs w:val="18"/>
                <w:lang w:val="fr-FR"/>
              </w:rPr>
              <w:t>des membres du consortium du projet ROSE</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5D732" w14:textId="0BA3DC38" w:rsidR="00E83B56" w:rsidRPr="005D2EE3" w:rsidRDefault="007B3AEC" w:rsidP="00E83B56">
            <w:pPr>
              <w:widowControl w:val="0"/>
              <w:spacing w:after="0" w:line="276" w:lineRule="auto"/>
              <w:ind w:left="34" w:right="248"/>
              <w:jc w:val="center"/>
              <w:rPr>
                <w:rFonts w:ascii="Arial" w:eastAsia="Times New Roman" w:hAnsi="Arial" w:cs="Arial"/>
                <w:b/>
                <w:bCs/>
                <w:iCs/>
                <w:lang w:val="fr-FR"/>
              </w:rPr>
            </w:pPr>
            <w:r>
              <w:rPr>
                <w:rFonts w:ascii="Arial" w:eastAsia="Times New Roman" w:hAnsi="Arial" w:cs="Arial"/>
                <w:iCs/>
                <w:lang w:val="fr-FR"/>
              </w:rPr>
              <w:t>5</w:t>
            </w:r>
          </w:p>
        </w:tc>
      </w:tr>
      <w:tr w:rsidR="00E83B56" w:rsidRPr="005D2EE3" w14:paraId="3414F16D" w14:textId="77777777" w:rsidTr="35943DC7">
        <w:trPr>
          <w:trHeight w:val="89"/>
        </w:trPr>
        <w:tc>
          <w:tcPr>
            <w:tcW w:w="2297" w:type="dxa"/>
            <w:vMerge/>
            <w:vAlign w:val="center"/>
          </w:tcPr>
          <w:p w14:paraId="65D03517" w14:textId="77777777" w:rsidR="00E83B56" w:rsidRPr="005D2EE3" w:rsidRDefault="00E83B56" w:rsidP="00E83B56">
            <w:pPr>
              <w:spacing w:after="0" w:line="276" w:lineRule="auto"/>
              <w:rPr>
                <w:rFonts w:ascii="Arial" w:eastAsia="Times New Roman" w:hAnsi="Arial" w:cs="Arial"/>
                <w:b/>
                <w:bCs/>
                <w:lang w:val="fr-FR"/>
              </w:rPr>
            </w:pPr>
          </w:p>
        </w:tc>
        <w:tc>
          <w:tcPr>
            <w:tcW w:w="5317" w:type="dxa"/>
            <w:tcBorders>
              <w:left w:val="single" w:sz="4" w:space="0" w:color="000000" w:themeColor="text1"/>
              <w:bottom w:val="single" w:sz="4" w:space="0" w:color="000000" w:themeColor="text1"/>
              <w:right w:val="single" w:sz="4" w:space="0" w:color="000000" w:themeColor="text1"/>
            </w:tcBorders>
          </w:tcPr>
          <w:p w14:paraId="7F91AF5C" w14:textId="70B01C53" w:rsidR="00E83B56" w:rsidRPr="007E61E0" w:rsidRDefault="007E61E0" w:rsidP="007E61E0">
            <w:pPr>
              <w:spacing w:after="0" w:line="276" w:lineRule="auto"/>
              <w:rPr>
                <w:rFonts w:ascii="Arial" w:eastAsia="Times New Roman" w:hAnsi="Arial" w:cs="Arial"/>
                <w:sz w:val="18"/>
                <w:szCs w:val="18"/>
                <w:lang w:val="fr-FR"/>
              </w:rPr>
            </w:pPr>
            <w:r w:rsidRPr="007E61E0">
              <w:rPr>
                <w:rFonts w:ascii="Arial" w:eastAsia="Times New Roman" w:hAnsi="Arial" w:cs="Arial"/>
                <w:sz w:val="18"/>
                <w:szCs w:val="18"/>
                <w:lang w:val="fr-FR"/>
              </w:rPr>
              <w:t>Capacité à garantir la sécurité physique et psychosociale</w:t>
            </w:r>
            <w:r w:rsidR="001C6D49">
              <w:rPr>
                <w:rFonts w:ascii="Arial" w:eastAsia="Times New Roman" w:hAnsi="Arial" w:cs="Arial"/>
                <w:sz w:val="18"/>
                <w:szCs w:val="18"/>
                <w:lang w:val="fr-FR"/>
              </w:rPr>
              <w:t xml:space="preserve"> (DoNoHarm)</w:t>
            </w:r>
            <w:r w:rsidRPr="007E61E0">
              <w:rPr>
                <w:rFonts w:ascii="Arial" w:eastAsia="Times New Roman" w:hAnsi="Arial" w:cs="Arial"/>
                <w:sz w:val="18"/>
                <w:szCs w:val="18"/>
                <w:lang w:val="fr-FR"/>
              </w:rPr>
              <w:t xml:space="preserve"> lors des activités terrain et réunions</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14DDE" w14:textId="571C40E3" w:rsidR="00E83B56" w:rsidRPr="005D2EE3" w:rsidRDefault="007B3AEC" w:rsidP="00E83B56">
            <w:pPr>
              <w:widowControl w:val="0"/>
              <w:spacing w:after="0" w:line="276" w:lineRule="auto"/>
              <w:ind w:left="34" w:right="248"/>
              <w:jc w:val="center"/>
              <w:rPr>
                <w:rFonts w:ascii="Arial" w:eastAsia="Times New Roman" w:hAnsi="Arial" w:cs="Arial"/>
                <w:b/>
                <w:bCs/>
                <w:iCs/>
                <w:lang w:val="fr-FR"/>
              </w:rPr>
            </w:pPr>
            <w:r>
              <w:rPr>
                <w:rFonts w:ascii="Arial" w:eastAsia="Times New Roman" w:hAnsi="Arial" w:cs="Arial"/>
                <w:iCs/>
                <w:lang w:val="fr-FR"/>
              </w:rPr>
              <w:t>5</w:t>
            </w:r>
          </w:p>
        </w:tc>
      </w:tr>
      <w:tr w:rsidR="00E83B56" w:rsidRPr="005D2EE3" w14:paraId="740754EF" w14:textId="77777777" w:rsidTr="35943DC7">
        <w:trPr>
          <w:trHeight w:val="89"/>
        </w:trPr>
        <w:tc>
          <w:tcPr>
            <w:tcW w:w="7614" w:type="dxa"/>
            <w:gridSpan w:val="2"/>
            <w:tcBorders>
              <w:left w:val="single" w:sz="4" w:space="0" w:color="000000" w:themeColor="text1"/>
              <w:bottom w:val="single" w:sz="4" w:space="0" w:color="000000" w:themeColor="text1"/>
              <w:right w:val="single" w:sz="4" w:space="0" w:color="000000" w:themeColor="text1"/>
            </w:tcBorders>
            <w:vAlign w:val="center"/>
          </w:tcPr>
          <w:p w14:paraId="1B2BBB42" w14:textId="77777777" w:rsidR="00E83B56" w:rsidRPr="005D2EE3" w:rsidRDefault="00E83B56" w:rsidP="00E83B56">
            <w:pPr>
              <w:spacing w:after="0" w:line="276" w:lineRule="auto"/>
              <w:jc w:val="right"/>
              <w:rPr>
                <w:rFonts w:ascii="Arial" w:eastAsia="Times New Roman" w:hAnsi="Arial" w:cs="Arial"/>
                <w:b/>
                <w:bCs/>
                <w:lang w:val="fr-FR"/>
              </w:rPr>
            </w:pPr>
            <w:r w:rsidRPr="005D2EE3">
              <w:rPr>
                <w:rFonts w:ascii="Arial" w:eastAsia="Times New Roman" w:hAnsi="Arial" w:cs="Arial"/>
                <w:b/>
                <w:bCs/>
                <w:lang w:val="fr-FR"/>
              </w:rPr>
              <w:t>TOTAL:</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BA073" w14:textId="24EE874B" w:rsidR="00E83B56" w:rsidRPr="005D2EE3" w:rsidRDefault="007B3AEC" w:rsidP="00E83B56">
            <w:pPr>
              <w:widowControl w:val="0"/>
              <w:spacing w:after="0" w:line="276" w:lineRule="auto"/>
              <w:ind w:left="34" w:right="248"/>
              <w:jc w:val="center"/>
              <w:rPr>
                <w:rFonts w:ascii="Arial" w:eastAsia="Times New Roman" w:hAnsi="Arial" w:cs="Arial"/>
                <w:b/>
                <w:bCs/>
                <w:iCs/>
                <w:lang w:val="fr-FR"/>
              </w:rPr>
            </w:pPr>
            <w:r>
              <w:rPr>
                <w:rFonts w:ascii="Arial" w:eastAsia="Times New Roman" w:hAnsi="Arial" w:cs="Arial"/>
                <w:b/>
                <w:bCs/>
                <w:iCs/>
                <w:lang w:val="fr-FR"/>
              </w:rPr>
              <w:t>130</w:t>
            </w:r>
          </w:p>
        </w:tc>
      </w:tr>
      <w:tr w:rsidR="00E83B56" w:rsidRPr="005D2EE3" w14:paraId="67F1122B" w14:textId="77777777" w:rsidTr="35943DC7">
        <w:trPr>
          <w:trHeight w:val="89"/>
        </w:trPr>
        <w:tc>
          <w:tcPr>
            <w:tcW w:w="10456" w:type="dxa"/>
            <w:gridSpan w:val="3"/>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8524A16" w14:textId="5FC8554C" w:rsidR="00E83B56" w:rsidRPr="005D2EE3" w:rsidRDefault="005E23AB" w:rsidP="005E23AB">
            <w:pPr>
              <w:widowControl w:val="0"/>
              <w:spacing w:after="0" w:line="276" w:lineRule="auto"/>
              <w:ind w:left="34" w:right="248"/>
              <w:jc w:val="both"/>
              <w:rPr>
                <w:rFonts w:ascii="Arial" w:eastAsia="Times New Roman" w:hAnsi="Arial" w:cs="Arial"/>
                <w:b/>
                <w:bCs/>
                <w:lang w:val="fr-FR"/>
              </w:rPr>
            </w:pPr>
            <w:r w:rsidRPr="005D2EE3">
              <w:rPr>
                <w:rFonts w:ascii="Arial" w:eastAsia="Times New Roman" w:hAnsi="Arial" w:cs="Arial"/>
                <w:b/>
                <w:bCs/>
                <w:lang w:val="fr-FR"/>
              </w:rPr>
              <w:t>Critères financiers</w:t>
            </w:r>
          </w:p>
        </w:tc>
      </w:tr>
      <w:tr w:rsidR="00E83B56" w:rsidRPr="005D2EE3" w14:paraId="66167F83" w14:textId="77777777" w:rsidTr="35943DC7">
        <w:trPr>
          <w:trHeight w:val="438"/>
        </w:trPr>
        <w:tc>
          <w:tcPr>
            <w:tcW w:w="2297" w:type="dxa"/>
            <w:tcBorders>
              <w:top w:val="single" w:sz="4" w:space="0" w:color="000000" w:themeColor="text1"/>
              <w:left w:val="single" w:sz="4" w:space="0" w:color="000000" w:themeColor="text1"/>
              <w:right w:val="single" w:sz="4" w:space="0" w:color="000000" w:themeColor="text1"/>
            </w:tcBorders>
            <w:vAlign w:val="center"/>
          </w:tcPr>
          <w:p w14:paraId="2652F635" w14:textId="2F205661" w:rsidR="00E83B56" w:rsidRPr="005D2EE3" w:rsidRDefault="006E2D58" w:rsidP="006E2D58">
            <w:pPr>
              <w:spacing w:after="0" w:line="240" w:lineRule="auto"/>
              <w:rPr>
                <w:rFonts w:ascii="Arial" w:eastAsia="Times New Roman" w:hAnsi="Arial" w:cs="Arial"/>
                <w:b/>
                <w:bCs/>
                <w:lang w:val="fr-FR"/>
              </w:rPr>
            </w:pPr>
            <w:r w:rsidRPr="005D2EE3">
              <w:rPr>
                <w:rFonts w:ascii="Arial" w:eastAsia="Times New Roman" w:hAnsi="Arial" w:cs="Arial"/>
                <w:b/>
                <w:bCs/>
                <w:lang w:val="fr-FR"/>
              </w:rPr>
              <w:t>Offre financière</w:t>
            </w:r>
          </w:p>
        </w:tc>
        <w:tc>
          <w:tcPr>
            <w:tcW w:w="5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C0906" w14:textId="441FF2CD" w:rsidR="00E83B56" w:rsidRPr="005D2EE3" w:rsidRDefault="005E23AB" w:rsidP="005E23AB">
            <w:pPr>
              <w:spacing w:after="0" w:line="276" w:lineRule="auto"/>
              <w:rPr>
                <w:rFonts w:ascii="Arial" w:eastAsia="Times New Roman" w:hAnsi="Arial" w:cs="Arial"/>
                <w:sz w:val="18"/>
                <w:szCs w:val="18"/>
                <w:lang w:val="fr-FR"/>
              </w:rPr>
            </w:pPr>
            <w:r w:rsidRPr="005D2EE3">
              <w:rPr>
                <w:rFonts w:ascii="Arial" w:eastAsia="Times New Roman" w:hAnsi="Arial" w:cs="Arial"/>
                <w:sz w:val="18"/>
                <w:szCs w:val="18"/>
                <w:lang w:val="fr-FR"/>
              </w:rPr>
              <w:t>Coût total de l'offre, tous services inclus (hors taxes ajoutées)</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306BD" w14:textId="42CC5ABF" w:rsidR="00E83B56" w:rsidRPr="005D2EE3" w:rsidRDefault="005067C4" w:rsidP="00E83B56">
            <w:pPr>
              <w:widowControl w:val="0"/>
              <w:spacing w:after="0" w:line="276" w:lineRule="auto"/>
              <w:ind w:left="34" w:right="248"/>
              <w:jc w:val="center"/>
              <w:rPr>
                <w:rFonts w:ascii="Arial" w:eastAsia="Times New Roman" w:hAnsi="Arial" w:cs="Arial"/>
                <w:iCs/>
                <w:lang w:val="fr-FR"/>
              </w:rPr>
            </w:pPr>
            <w:r>
              <w:rPr>
                <w:rFonts w:ascii="Arial" w:eastAsia="Times New Roman" w:hAnsi="Arial" w:cs="Arial"/>
                <w:iCs/>
                <w:lang w:val="fr-FR"/>
              </w:rPr>
              <w:t>20</w:t>
            </w:r>
          </w:p>
        </w:tc>
      </w:tr>
      <w:tr w:rsidR="00E83B56" w:rsidRPr="005D2EE3" w14:paraId="37F2C9EC" w14:textId="77777777" w:rsidTr="35943DC7">
        <w:trPr>
          <w:trHeight w:val="152"/>
        </w:trPr>
        <w:tc>
          <w:tcPr>
            <w:tcW w:w="7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8D94A" w14:textId="77777777" w:rsidR="00E83B56" w:rsidRPr="005D2EE3" w:rsidRDefault="00E83B56" w:rsidP="00E83B56">
            <w:pPr>
              <w:spacing w:after="0" w:line="276" w:lineRule="auto"/>
              <w:jc w:val="right"/>
              <w:rPr>
                <w:rFonts w:ascii="Arial" w:eastAsia="Times New Roman" w:hAnsi="Arial" w:cs="Arial"/>
                <w:b/>
                <w:bCs/>
                <w:sz w:val="22"/>
                <w:lang w:val="fr-FR"/>
              </w:rPr>
            </w:pPr>
            <w:r w:rsidRPr="005D2EE3">
              <w:rPr>
                <w:rFonts w:ascii="Arial" w:eastAsia="Times New Roman" w:hAnsi="Arial" w:cs="Arial"/>
                <w:b/>
                <w:bCs/>
                <w:lang w:val="fr-FR"/>
              </w:rPr>
              <w:t>TOTAL:</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4AB0C" w14:textId="0CD2D5F8" w:rsidR="00E83B56" w:rsidRPr="005D2EE3" w:rsidRDefault="005067C4" w:rsidP="00E83B56">
            <w:pPr>
              <w:widowControl w:val="0"/>
              <w:spacing w:after="0" w:line="276" w:lineRule="auto"/>
              <w:ind w:left="34" w:right="248"/>
              <w:jc w:val="center"/>
              <w:rPr>
                <w:rFonts w:ascii="Arial" w:eastAsia="Times New Roman" w:hAnsi="Arial" w:cs="Arial"/>
                <w:b/>
                <w:bCs/>
                <w:iCs/>
                <w:sz w:val="22"/>
                <w:lang w:val="fr-FR"/>
              </w:rPr>
            </w:pPr>
            <w:r>
              <w:rPr>
                <w:rFonts w:ascii="Arial" w:eastAsia="Times New Roman" w:hAnsi="Arial" w:cs="Arial"/>
                <w:b/>
                <w:bCs/>
                <w:iCs/>
                <w:lang w:val="fr-FR"/>
              </w:rPr>
              <w:t>150</w:t>
            </w:r>
          </w:p>
        </w:tc>
      </w:tr>
    </w:tbl>
    <w:p w14:paraId="0AF54DA2" w14:textId="36BB7970" w:rsidR="00D00F26" w:rsidRPr="005D2EE3" w:rsidRDefault="00D00F26" w:rsidP="00BF0751">
      <w:pPr>
        <w:rPr>
          <w:lang w:val="fr-FR"/>
        </w:rPr>
      </w:pPr>
    </w:p>
    <w:p w14:paraId="145751FD" w14:textId="33855F26" w:rsidR="000162A0" w:rsidRPr="005D2EE3" w:rsidRDefault="006E2D58" w:rsidP="006E2D58">
      <w:pPr>
        <w:rPr>
          <w:lang w:val="fr-FR"/>
        </w:rPr>
      </w:pPr>
      <w:r w:rsidRPr="005D2EE3">
        <w:rPr>
          <w:lang w:val="fr-FR"/>
        </w:rPr>
        <w:lastRenderedPageBreak/>
        <w:t xml:space="preserve">[Seules les offres avec des scores combinés d'au moins </w:t>
      </w:r>
      <w:r w:rsidR="00700D33">
        <w:rPr>
          <w:lang w:val="fr-FR"/>
        </w:rPr>
        <w:t>80</w:t>
      </w:r>
      <w:r w:rsidRPr="005D2EE3">
        <w:rPr>
          <w:lang w:val="fr-FR"/>
        </w:rPr>
        <w:t xml:space="preserve"> points pour les critères d'attribution techniques (document d'approche et CV) sont éligibles à l'évaluation financière.]</w:t>
      </w:r>
    </w:p>
    <w:p w14:paraId="2BD008F7" w14:textId="666F9756" w:rsidR="00627961" w:rsidRPr="005D2EE3" w:rsidRDefault="006E2D58" w:rsidP="00627961">
      <w:pPr>
        <w:rPr>
          <w:lang w:val="fr-FR"/>
        </w:rPr>
      </w:pPr>
      <w:r w:rsidRPr="005D2EE3">
        <w:rPr>
          <w:lang w:val="fr-FR"/>
        </w:rPr>
        <w:t>Oxfam se réserve le droit de mener des entretiens avec un ou plusieurs fournisseurs potentiels avant de prendre une décision d'attribution. L'objectif de ces entretiens est d'obtenir des précisions sur les devis soumis et d'en savoir plus sur le parcours et l'expérience des fournisseurs potentiels et de leurs équipes.</w:t>
      </w:r>
    </w:p>
    <w:p w14:paraId="50DC46B7" w14:textId="75F2AFDE" w:rsidR="00295E59" w:rsidRPr="005D2EE3" w:rsidRDefault="003244E3" w:rsidP="00715A57">
      <w:pPr>
        <w:pStyle w:val="Heading1"/>
        <w:rPr>
          <w:lang w:val="fr-FR"/>
        </w:rPr>
      </w:pPr>
      <w:r w:rsidRPr="005D2EE3">
        <w:rPr>
          <w:lang w:val="fr-FR"/>
        </w:rPr>
        <w:t>AUTRES CONDITIONS</w:t>
      </w:r>
    </w:p>
    <w:p w14:paraId="0F4C6FD6" w14:textId="7E477D35" w:rsidR="003244E3" w:rsidRPr="005D2EE3" w:rsidRDefault="003244E3" w:rsidP="003244E3">
      <w:pPr>
        <w:rPr>
          <w:rStyle w:val="Hyperlink"/>
          <w:rFonts w:ascii="Roboto" w:hAnsi="Roboto"/>
          <w:lang w:val="fr-FR"/>
        </w:rPr>
      </w:pPr>
      <w:r w:rsidRPr="005D2EE3">
        <w:rPr>
          <w:rFonts w:ascii="Roboto" w:hAnsi="Roboto"/>
          <w:lang w:val="fr-FR"/>
        </w:rPr>
        <w:t>Les conditions de participation au processus de passation des marchés sont détaillées dans le</w:t>
      </w:r>
      <w:r w:rsidR="72E9A76C" w:rsidRPr="005D2EE3">
        <w:rPr>
          <w:rFonts w:ascii="Roboto" w:hAnsi="Roboto"/>
          <w:lang w:val="fr-FR"/>
        </w:rPr>
        <w:t xml:space="preserve"> </w:t>
      </w:r>
      <w:r w:rsidRPr="005D2EE3">
        <w:rPr>
          <w:rFonts w:ascii="Roboto" w:hAnsi="Roboto"/>
          <w:lang w:val="fr-FR"/>
        </w:rPr>
        <w:t xml:space="preserve">lien : </w:t>
      </w:r>
      <w:r w:rsidRPr="005D2EE3">
        <w:fldChar w:fldCharType="begin"/>
      </w:r>
      <w:r w:rsidRPr="005D2EE3">
        <w:rPr>
          <w:lang w:val="fr-FR"/>
        </w:rPr>
        <w:instrText>HYPERLINK "https://oxfam.box.com/s/zzwzvcmp83i3lqh8wfigx13muacyef3z" \h</w:instrText>
      </w:r>
      <w:r w:rsidRPr="005D2EE3">
        <w:fldChar w:fldCharType="separate"/>
      </w:r>
    </w:p>
    <w:p w14:paraId="09C0893B" w14:textId="7E477D35" w:rsidR="002524DA" w:rsidRPr="005D2EE3" w:rsidRDefault="003244E3" w:rsidP="003244E3">
      <w:pPr>
        <w:jc w:val="both"/>
        <w:rPr>
          <w:lang w:val="fr-FR"/>
        </w:rPr>
      </w:pPr>
      <w:r w:rsidRPr="005D2EE3">
        <w:rPr>
          <w:rStyle w:val="Hyperlink"/>
          <w:rFonts w:ascii="Roboto" w:hAnsi="Roboto"/>
          <w:lang w:val="fr-FR"/>
        </w:rPr>
        <w:t>Conditions générales de l'appel d'offres</w:t>
      </w:r>
      <w:r w:rsidRPr="005D2EE3">
        <w:rPr>
          <w:rStyle w:val="Hyperlink"/>
          <w:lang w:val="fr-FR"/>
        </w:rPr>
        <w:fldChar w:fldCharType="end"/>
      </w:r>
    </w:p>
    <w:p w14:paraId="7F9CAF7A" w14:textId="06BDBCA9" w:rsidR="00295E59" w:rsidRPr="005D2EE3" w:rsidRDefault="00964A5F" w:rsidP="00715A57">
      <w:pPr>
        <w:pStyle w:val="Heading1"/>
        <w:rPr>
          <w:lang w:val="fr-FR"/>
        </w:rPr>
      </w:pPr>
      <w:r w:rsidRPr="005D2EE3">
        <w:rPr>
          <w:lang w:val="fr-FR"/>
        </w:rPr>
        <w:t>CODE DE CONDUITE</w:t>
      </w:r>
    </w:p>
    <w:p w14:paraId="074B48DD" w14:textId="77777777" w:rsidR="002966B9" w:rsidRPr="005D2EE3" w:rsidRDefault="002966B9" w:rsidP="00295E59">
      <w:pPr>
        <w:rPr>
          <w:lang w:val="fr-FR"/>
        </w:rPr>
      </w:pPr>
      <w:r w:rsidRPr="005D2EE3">
        <w:rPr>
          <w:lang w:val="fr-FR"/>
        </w:rPr>
        <w:t>Oxfam s'engage à garantir l'intégrité de ses opérations et de ses chaînes d'approvisionnement, ainsi qu'à respecter des normes éthiques élevées. Le respect de toutes les lois et réglementations et la garantie d'une concurrence loyale sont fondamentaux pour cet engagement. Nous promouvons activement ces principes et ces normes et attendons de tous nos fournisseurs qu'ils s'y engagent.</w:t>
      </w:r>
    </w:p>
    <w:p w14:paraId="212FF28F" w14:textId="317C3537" w:rsidR="002966B9" w:rsidRPr="005D2EE3" w:rsidRDefault="002966B9" w:rsidP="002966B9">
      <w:pPr>
        <w:rPr>
          <w:rStyle w:val="Hyperlink"/>
          <w:b/>
          <w:bCs/>
          <w:lang w:val="fr-FR"/>
        </w:rPr>
      </w:pPr>
      <w:r w:rsidRPr="005D2EE3">
        <w:rPr>
          <w:lang w:val="fr-FR"/>
        </w:rPr>
        <w:t xml:space="preserve">Tous les consultants/candidats sont tenus d'accepter et d'adhérer au  </w:t>
      </w:r>
      <w:r w:rsidRPr="005D2EE3">
        <w:fldChar w:fldCharType="begin"/>
      </w:r>
      <w:r w:rsidRPr="005D2EE3">
        <w:rPr>
          <w:lang w:val="fr-FR"/>
        </w:rPr>
        <w:instrText>HYPERLINK "https://oxfam.box.com/s/sr8j71t6ca1bu3p371cwot26qob15f1p"</w:instrText>
      </w:r>
      <w:r w:rsidRPr="005D2EE3">
        <w:fldChar w:fldCharType="separate"/>
      </w:r>
    </w:p>
    <w:p w14:paraId="07E85224" w14:textId="6060AB39" w:rsidR="00295E59" w:rsidRPr="005D2EE3" w:rsidRDefault="002966B9" w:rsidP="000D7285">
      <w:pPr>
        <w:rPr>
          <w:lang w:val="fr-FR"/>
        </w:rPr>
      </w:pPr>
      <w:r w:rsidRPr="005D2EE3">
        <w:rPr>
          <w:rStyle w:val="Hyperlink"/>
          <w:b/>
          <w:bCs/>
          <w:lang w:val="fr-FR"/>
        </w:rPr>
        <w:t>Code de conduite des fournisseurs d'Oxfam</w:t>
      </w:r>
      <w:r w:rsidRPr="005D2EE3">
        <w:rPr>
          <w:rStyle w:val="Hyperlink"/>
          <w:b/>
          <w:bCs/>
          <w:lang w:val="fr-FR"/>
        </w:rPr>
        <w:fldChar w:fldCharType="end"/>
      </w:r>
      <w:r w:rsidR="00295E59" w:rsidRPr="005D2EE3">
        <w:rPr>
          <w:lang w:val="fr-FR"/>
        </w:rPr>
        <w:t xml:space="preserve">, </w:t>
      </w:r>
      <w:r w:rsidRPr="005D2EE3">
        <w:rPr>
          <w:lang w:val="fr-FR"/>
        </w:rPr>
        <w:t xml:space="preserve">alors que les particuliers (y compris les consultants) doivent signer le </w:t>
      </w:r>
      <w:hyperlink r:id="rId12" w:history="1">
        <w:r w:rsidRPr="005D2EE3">
          <w:rPr>
            <w:rStyle w:val="Hyperlink"/>
            <w:b/>
            <w:bCs/>
            <w:lang w:val="fr-FR"/>
          </w:rPr>
          <w:t>Code de conduite des non-employés d'Oxfam</w:t>
        </w:r>
      </w:hyperlink>
      <w:r w:rsidR="00295E59" w:rsidRPr="005D2EE3">
        <w:rPr>
          <w:rStyle w:val="FootnoteReference"/>
          <w:b/>
          <w:bCs/>
          <w:lang w:val="fr-FR"/>
        </w:rPr>
        <w:footnoteReference w:id="1"/>
      </w:r>
      <w:r w:rsidR="00295E59" w:rsidRPr="005D2EE3">
        <w:rPr>
          <w:lang w:val="fr-FR"/>
        </w:rPr>
        <w:t xml:space="preserve">. </w:t>
      </w:r>
      <w:r w:rsidR="000D7285" w:rsidRPr="005D2EE3">
        <w:rPr>
          <w:lang w:val="fr-FR"/>
        </w:rPr>
        <w:t>Ces codes de conduite définissent les normes et principes spécifiques dans les domaines des droits de l’homme et du travail, de l’impact environnemental et de la lutte contre la corruption que les fournisseurs doivent respecter.</w:t>
      </w:r>
    </w:p>
    <w:p w14:paraId="200920E0" w14:textId="77777777" w:rsidR="00295E59" w:rsidRPr="005D2EE3" w:rsidRDefault="00295E59" w:rsidP="00715A57">
      <w:pPr>
        <w:pStyle w:val="Heading1"/>
        <w:rPr>
          <w:lang w:val="fr-FR"/>
        </w:rPr>
      </w:pPr>
      <w:r w:rsidRPr="005D2EE3">
        <w:rPr>
          <w:lang w:val="fr-FR"/>
        </w:rPr>
        <w:t>ANNEXES</w:t>
      </w:r>
    </w:p>
    <w:p w14:paraId="156307EF" w14:textId="3BE08033" w:rsidR="00295E59" w:rsidRPr="005D2EE3" w:rsidRDefault="00C3389F" w:rsidP="00295E59">
      <w:pPr>
        <w:pStyle w:val="ListParagraph"/>
        <w:numPr>
          <w:ilvl w:val="0"/>
          <w:numId w:val="31"/>
        </w:numPr>
        <w:rPr>
          <w:lang w:val="fr-FR"/>
        </w:rPr>
      </w:pPr>
      <w:hyperlink r:id="rId13">
        <w:r w:rsidRPr="005D2EE3">
          <w:rPr>
            <w:rStyle w:val="Hyperlink"/>
            <w:lang w:val="fr-FR"/>
          </w:rPr>
          <w:t xml:space="preserve">Formulaire de déclaration de conflit d’intérêts pour les </w:t>
        </w:r>
        <w:r w:rsidR="7053EFA7" w:rsidRPr="005D2EE3">
          <w:rPr>
            <w:rStyle w:val="Hyperlink"/>
            <w:lang w:val="fr-FR"/>
          </w:rPr>
          <w:t>parties</w:t>
        </w:r>
      </w:hyperlink>
    </w:p>
    <w:p w14:paraId="13342435" w14:textId="469FBC5B" w:rsidR="00295E59" w:rsidRPr="005D2EE3" w:rsidRDefault="00C3389F" w:rsidP="00295E59">
      <w:pPr>
        <w:pStyle w:val="ListParagraph"/>
        <w:numPr>
          <w:ilvl w:val="0"/>
          <w:numId w:val="31"/>
        </w:numPr>
        <w:rPr>
          <w:lang w:val="fr-FR"/>
        </w:rPr>
      </w:pPr>
      <w:hyperlink r:id="rId14" w:history="1">
        <w:r w:rsidRPr="005D2EE3">
          <w:rPr>
            <w:rStyle w:val="Hyperlink"/>
            <w:lang w:val="fr-FR"/>
          </w:rPr>
          <w:t>Politique de sauvegarde</w:t>
        </w:r>
      </w:hyperlink>
    </w:p>
    <w:p w14:paraId="525DCA90" w14:textId="12FEDAFC" w:rsidR="00295E59" w:rsidRPr="005D2EE3" w:rsidRDefault="00F229EF" w:rsidP="00295E59">
      <w:pPr>
        <w:pStyle w:val="ListParagraph"/>
        <w:numPr>
          <w:ilvl w:val="0"/>
          <w:numId w:val="31"/>
        </w:numPr>
        <w:rPr>
          <w:lang w:val="fr-FR"/>
        </w:rPr>
      </w:pPr>
      <w:r w:rsidRPr="005D2EE3">
        <w:rPr>
          <w:lang w:val="fr-FR"/>
        </w:rPr>
        <w:t xml:space="preserve">(Le cas échéant) </w:t>
      </w:r>
      <w:hyperlink r:id="rId15" w:history="1">
        <w:r w:rsidRPr="005D2EE3">
          <w:rPr>
            <w:rStyle w:val="Hyperlink"/>
            <w:lang w:val="fr-FR"/>
          </w:rPr>
          <w:t>Politique d’Oxfam de protection de l'enfance</w:t>
        </w:r>
      </w:hyperlink>
    </w:p>
    <w:p w14:paraId="051AD379" w14:textId="42BA3FCF" w:rsidR="00374AAC" w:rsidRPr="005D2EE3" w:rsidRDefault="00AD64F2" w:rsidP="00AD64F2">
      <w:pPr>
        <w:pStyle w:val="ListParagraph"/>
        <w:numPr>
          <w:ilvl w:val="0"/>
          <w:numId w:val="31"/>
        </w:numPr>
        <w:rPr>
          <w:lang w:val="fr-FR"/>
        </w:rPr>
      </w:pPr>
      <w:r w:rsidRPr="005D2EE3">
        <w:rPr>
          <w:lang w:val="fr-FR"/>
        </w:rPr>
        <w:t xml:space="preserve">(Modifier et utiliser si applicable) </w:t>
      </w:r>
      <w:hyperlink r:id="rId16">
        <w:r w:rsidRPr="005D2EE3">
          <w:rPr>
            <w:rStyle w:val="Hyperlink"/>
            <w:lang w:val="fr-FR"/>
          </w:rPr>
          <w:t>Exemple d'avis de confidentialité</w:t>
        </w:r>
      </w:hyperlink>
    </w:p>
    <w:sectPr w:rsidR="00374AAC" w:rsidRPr="005D2EE3" w:rsidSect="00320698">
      <w:footerReference w:type="default" r:id="rId1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441D" w14:textId="77777777" w:rsidR="00EB248C" w:rsidRDefault="00EB248C" w:rsidP="001E577E">
      <w:pPr>
        <w:spacing w:after="0" w:line="240" w:lineRule="auto"/>
      </w:pPr>
      <w:r>
        <w:separator/>
      </w:r>
    </w:p>
  </w:endnote>
  <w:endnote w:type="continuationSeparator" w:id="0">
    <w:p w14:paraId="2C224005" w14:textId="77777777" w:rsidR="00EB248C" w:rsidRDefault="00EB248C" w:rsidP="001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206BBADC" w:rsidR="001E577E" w:rsidRPr="001E577E" w:rsidRDefault="001E577E" w:rsidP="001E577E">
    <w:pPr>
      <w:pStyle w:val="Footer"/>
      <w:rPr>
        <w:color w:val="808080" w:themeColor="background1" w:themeShade="80"/>
        <w:sz w:val="16"/>
        <w:szCs w:val="16"/>
      </w:rPr>
    </w:pPr>
    <w:r w:rsidRPr="001E577E">
      <w:rPr>
        <w:color w:val="808080" w:themeColor="background1" w:themeShade="80"/>
        <w:sz w:val="16"/>
        <w:szCs w:val="16"/>
      </w:rPr>
      <w:t>Terms of reference</w:t>
    </w:r>
    <w:r w:rsidRPr="001E577E">
      <w:rPr>
        <w:color w:val="808080" w:themeColor="background1" w:themeShade="80"/>
        <w:sz w:val="16"/>
        <w:szCs w:val="16"/>
      </w:rPr>
      <w:ptab w:relativeTo="margin" w:alignment="center" w:leader="none"/>
    </w:r>
    <w:r w:rsidRPr="001E577E">
      <w:rPr>
        <w:color w:val="808080" w:themeColor="background1" w:themeShade="80"/>
        <w:sz w:val="16"/>
        <w:szCs w:val="16"/>
      </w:rPr>
      <w:ptab w:relativeTo="margin" w:alignment="right" w:leader="none"/>
    </w:r>
    <w:r w:rsidRPr="001E577E">
      <w:rPr>
        <w:color w:val="808080" w:themeColor="background1" w:themeShade="80"/>
        <w:sz w:val="16"/>
        <w:szCs w:val="16"/>
      </w:rPr>
      <w:fldChar w:fldCharType="begin"/>
    </w:r>
    <w:r w:rsidRPr="001E577E">
      <w:rPr>
        <w:color w:val="808080" w:themeColor="background1" w:themeShade="80"/>
        <w:sz w:val="16"/>
        <w:szCs w:val="16"/>
      </w:rPr>
      <w:instrText xml:space="preserve"> PAGE   \* MERGEFORMAT </w:instrText>
    </w:r>
    <w:r w:rsidRPr="001E577E">
      <w:rPr>
        <w:color w:val="808080" w:themeColor="background1" w:themeShade="80"/>
        <w:sz w:val="16"/>
        <w:szCs w:val="16"/>
      </w:rPr>
      <w:fldChar w:fldCharType="separate"/>
    </w:r>
    <w:r w:rsidR="00026E07">
      <w:rPr>
        <w:noProof/>
        <w:color w:val="808080" w:themeColor="background1" w:themeShade="80"/>
        <w:sz w:val="16"/>
        <w:szCs w:val="16"/>
      </w:rPr>
      <w:t>7</w:t>
    </w:r>
    <w:r w:rsidRPr="001E577E">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E70F7" w14:textId="77777777" w:rsidR="00EB248C" w:rsidRDefault="00EB248C" w:rsidP="001E577E">
      <w:pPr>
        <w:spacing w:after="0" w:line="240" w:lineRule="auto"/>
      </w:pPr>
      <w:r>
        <w:separator/>
      </w:r>
    </w:p>
  </w:footnote>
  <w:footnote w:type="continuationSeparator" w:id="0">
    <w:p w14:paraId="046608BE" w14:textId="77777777" w:rsidR="00EB248C" w:rsidRDefault="00EB248C" w:rsidP="001E577E">
      <w:pPr>
        <w:spacing w:after="0" w:line="240" w:lineRule="auto"/>
      </w:pPr>
      <w:r>
        <w:continuationSeparator/>
      </w:r>
    </w:p>
  </w:footnote>
  <w:footnote w:id="1">
    <w:p w14:paraId="41677F96" w14:textId="2F067164" w:rsidR="00295E59" w:rsidRPr="001E184D" w:rsidRDefault="00295E59" w:rsidP="001E184D">
      <w:pPr>
        <w:pStyle w:val="FootnoteText"/>
        <w:rPr>
          <w:lang w:val="fr-FR"/>
        </w:rPr>
      </w:pPr>
      <w:r>
        <w:rPr>
          <w:rStyle w:val="FootnoteReference"/>
        </w:rPr>
        <w:footnoteRef/>
      </w:r>
      <w:r w:rsidRPr="001E184D">
        <w:rPr>
          <w:lang w:val="fr-FR"/>
        </w:rPr>
        <w:t xml:space="preserve"> </w:t>
      </w:r>
      <w:r w:rsidR="001E184D" w:rsidRPr="001E184D">
        <w:rPr>
          <w:lang w:val="fr-FR"/>
        </w:rPr>
        <w:t>Le Code de conduite des non-employés s'applique à tous les travailleurs indépendants ou employés contractuels de fournisseurs qui travaillent sur les sites d'Oxfam, ou qui ont accès aux documents d'Oxfam, ou qui peuvent représenter Oxfam de quelque manière que ce soit mais ne font pas partie de l'entité juridique d'Oxfam)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16E"/>
    <w:multiLevelType w:val="multilevel"/>
    <w:tmpl w:val="20F0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C701F"/>
    <w:multiLevelType w:val="hybridMultilevel"/>
    <w:tmpl w:val="58A63E78"/>
    <w:lvl w:ilvl="0" w:tplc="0809000F">
      <w:start w:val="1"/>
      <w:numFmt w:val="decimal"/>
      <w:lvlText w:val="%1."/>
      <w:lvlJc w:val="left"/>
      <w:pPr>
        <w:ind w:left="5966" w:hanging="360"/>
      </w:pPr>
    </w:lvl>
    <w:lvl w:ilvl="1" w:tplc="08090019" w:tentative="1">
      <w:start w:val="1"/>
      <w:numFmt w:val="lowerLetter"/>
      <w:lvlText w:val="%2."/>
      <w:lvlJc w:val="left"/>
      <w:pPr>
        <w:ind w:left="6686" w:hanging="360"/>
      </w:pPr>
    </w:lvl>
    <w:lvl w:ilvl="2" w:tplc="0809001B" w:tentative="1">
      <w:start w:val="1"/>
      <w:numFmt w:val="lowerRoman"/>
      <w:lvlText w:val="%3."/>
      <w:lvlJc w:val="right"/>
      <w:pPr>
        <w:ind w:left="7406" w:hanging="180"/>
      </w:pPr>
    </w:lvl>
    <w:lvl w:ilvl="3" w:tplc="0809000F" w:tentative="1">
      <w:start w:val="1"/>
      <w:numFmt w:val="decimal"/>
      <w:lvlText w:val="%4."/>
      <w:lvlJc w:val="left"/>
      <w:pPr>
        <w:ind w:left="8126" w:hanging="360"/>
      </w:pPr>
    </w:lvl>
    <w:lvl w:ilvl="4" w:tplc="08090019" w:tentative="1">
      <w:start w:val="1"/>
      <w:numFmt w:val="lowerLetter"/>
      <w:lvlText w:val="%5."/>
      <w:lvlJc w:val="left"/>
      <w:pPr>
        <w:ind w:left="8846" w:hanging="360"/>
      </w:pPr>
    </w:lvl>
    <w:lvl w:ilvl="5" w:tplc="0809001B" w:tentative="1">
      <w:start w:val="1"/>
      <w:numFmt w:val="lowerRoman"/>
      <w:lvlText w:val="%6."/>
      <w:lvlJc w:val="right"/>
      <w:pPr>
        <w:ind w:left="9566" w:hanging="180"/>
      </w:pPr>
    </w:lvl>
    <w:lvl w:ilvl="6" w:tplc="0809000F" w:tentative="1">
      <w:start w:val="1"/>
      <w:numFmt w:val="decimal"/>
      <w:lvlText w:val="%7."/>
      <w:lvlJc w:val="left"/>
      <w:pPr>
        <w:ind w:left="10286" w:hanging="360"/>
      </w:pPr>
    </w:lvl>
    <w:lvl w:ilvl="7" w:tplc="08090019" w:tentative="1">
      <w:start w:val="1"/>
      <w:numFmt w:val="lowerLetter"/>
      <w:lvlText w:val="%8."/>
      <w:lvlJc w:val="left"/>
      <w:pPr>
        <w:ind w:left="11006" w:hanging="360"/>
      </w:pPr>
    </w:lvl>
    <w:lvl w:ilvl="8" w:tplc="0809001B" w:tentative="1">
      <w:start w:val="1"/>
      <w:numFmt w:val="lowerRoman"/>
      <w:lvlText w:val="%9."/>
      <w:lvlJc w:val="right"/>
      <w:pPr>
        <w:ind w:left="11726" w:hanging="180"/>
      </w:pPr>
    </w:lvl>
  </w:abstractNum>
  <w:abstractNum w:abstractNumId="2" w15:restartNumberingAfterBreak="0">
    <w:nsid w:val="07F61574"/>
    <w:multiLevelType w:val="hybridMultilevel"/>
    <w:tmpl w:val="5FC4537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77AD1"/>
    <w:multiLevelType w:val="hybridMultilevel"/>
    <w:tmpl w:val="5662662E"/>
    <w:lvl w:ilvl="0" w:tplc="238E59B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E1420"/>
    <w:multiLevelType w:val="multilevel"/>
    <w:tmpl w:val="7A1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B3AFE"/>
    <w:multiLevelType w:val="hybridMultilevel"/>
    <w:tmpl w:val="DF3CB836"/>
    <w:lvl w:ilvl="0" w:tplc="0809000F">
      <w:start w:val="1"/>
      <w:numFmt w:val="decimal"/>
      <w:lvlText w:val="%1."/>
      <w:lvlJc w:val="left"/>
      <w:pPr>
        <w:ind w:left="1440" w:hanging="360"/>
      </w:pPr>
    </w:lvl>
    <w:lvl w:ilvl="1" w:tplc="FFFFFFFF">
      <w:start w:val="1"/>
      <w:numFmt w:val="decimal"/>
      <w:lvlText w:val="%2."/>
      <w:lvlJc w:val="left"/>
      <w:pPr>
        <w:ind w:left="2520" w:hanging="720"/>
      </w:pPr>
      <w:rPr>
        <w:rFonts w:hint="default"/>
      </w:rPr>
    </w:lvl>
    <w:lvl w:ilvl="2" w:tplc="FFFFFFFF">
      <w:start w:val="1"/>
      <w:numFmt w:val="lowerLetter"/>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8594BD0"/>
    <w:multiLevelType w:val="multilevel"/>
    <w:tmpl w:val="5EB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54687"/>
    <w:multiLevelType w:val="hybridMultilevel"/>
    <w:tmpl w:val="DCA8D1CC"/>
    <w:lvl w:ilvl="0" w:tplc="AC223410">
      <w:start w:val="3"/>
      <w:numFmt w:val="bullet"/>
      <w:lvlText w:val="•"/>
      <w:lvlJc w:val="left"/>
      <w:pPr>
        <w:ind w:left="1114" w:hanging="72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2E263AB"/>
    <w:multiLevelType w:val="hybridMultilevel"/>
    <w:tmpl w:val="18D608FC"/>
    <w:lvl w:ilvl="0" w:tplc="B8B0C9B0">
      <w:start w:val="1"/>
      <w:numFmt w:val="lowerRoman"/>
      <w:lvlText w:val="%1."/>
      <w:lvlJc w:val="right"/>
      <w:pPr>
        <w:ind w:left="1440" w:hanging="360"/>
      </w:pPr>
    </w:lvl>
    <w:lvl w:ilvl="1" w:tplc="5C1C3168">
      <w:start w:val="1"/>
      <w:numFmt w:val="decimal"/>
      <w:lvlText w:val="%2."/>
      <w:lvlJc w:val="left"/>
      <w:pPr>
        <w:ind w:left="2520" w:hanging="720"/>
      </w:pPr>
      <w:rPr>
        <w:rFonts w:hint="default"/>
      </w:rPr>
    </w:lvl>
    <w:lvl w:ilvl="2" w:tplc="7B0E4AF0">
      <w:start w:val="1"/>
      <w:numFmt w:val="lowerLetter"/>
      <w:lvlText w:val="%3)"/>
      <w:lvlJc w:val="left"/>
      <w:pPr>
        <w:ind w:left="3420" w:hanging="72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3CE41FB"/>
    <w:multiLevelType w:val="hybridMultilevel"/>
    <w:tmpl w:val="103AF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574E7"/>
    <w:multiLevelType w:val="hybridMultilevel"/>
    <w:tmpl w:val="1858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C385F"/>
    <w:multiLevelType w:val="hybridMultilevel"/>
    <w:tmpl w:val="6C74382C"/>
    <w:lvl w:ilvl="0" w:tplc="BEDEC3A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3C7A28"/>
    <w:multiLevelType w:val="hybridMultilevel"/>
    <w:tmpl w:val="5054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40B55C3"/>
    <w:multiLevelType w:val="multilevel"/>
    <w:tmpl w:val="E006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343B9"/>
    <w:multiLevelType w:val="hybridMultilevel"/>
    <w:tmpl w:val="B3766CF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6525E9"/>
    <w:multiLevelType w:val="hybridMultilevel"/>
    <w:tmpl w:val="E842F058"/>
    <w:lvl w:ilvl="0" w:tplc="EC2AB888">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07213B"/>
    <w:multiLevelType w:val="hybridMultilevel"/>
    <w:tmpl w:val="8ADEF53E"/>
    <w:lvl w:ilvl="0" w:tplc="0D9685A0">
      <w:start w:val="1"/>
      <w:numFmt w:val="decimal"/>
      <w:pStyle w:val="Heading1"/>
      <w:lvlText w:val="%1."/>
      <w:lvlJc w:val="left"/>
      <w:pPr>
        <w:ind w:left="720" w:hanging="360"/>
      </w:pPr>
    </w:lvl>
    <w:lvl w:ilvl="1" w:tplc="2B886E8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B376B"/>
    <w:multiLevelType w:val="hybridMultilevel"/>
    <w:tmpl w:val="7E166E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394752"/>
    <w:multiLevelType w:val="multilevel"/>
    <w:tmpl w:val="D15C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21EFB"/>
    <w:multiLevelType w:val="multilevel"/>
    <w:tmpl w:val="7296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E15E7"/>
    <w:multiLevelType w:val="hybridMultilevel"/>
    <w:tmpl w:val="B3766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0B4611"/>
    <w:multiLevelType w:val="hybridMultilevel"/>
    <w:tmpl w:val="6B3E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D2682"/>
    <w:multiLevelType w:val="hybridMultilevel"/>
    <w:tmpl w:val="0BC01B08"/>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20717"/>
    <w:multiLevelType w:val="multilevel"/>
    <w:tmpl w:val="5566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90164"/>
    <w:multiLevelType w:val="hybridMultilevel"/>
    <w:tmpl w:val="7E166EA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49EF2A2A"/>
    <w:multiLevelType w:val="hybridMultilevel"/>
    <w:tmpl w:val="725A6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3B7272"/>
    <w:multiLevelType w:val="multilevel"/>
    <w:tmpl w:val="7C12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2736D"/>
    <w:multiLevelType w:val="hybridMultilevel"/>
    <w:tmpl w:val="5F329642"/>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1EB8"/>
    <w:multiLevelType w:val="hybridMultilevel"/>
    <w:tmpl w:val="4E82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974E4"/>
    <w:multiLevelType w:val="hybridMultilevel"/>
    <w:tmpl w:val="9F1A3746"/>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D2CC5"/>
    <w:multiLevelType w:val="hybridMultilevel"/>
    <w:tmpl w:val="7B66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0680E"/>
    <w:multiLevelType w:val="hybridMultilevel"/>
    <w:tmpl w:val="F344286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8C4B08"/>
    <w:multiLevelType w:val="hybridMultilevel"/>
    <w:tmpl w:val="7A22EB10"/>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6375FF"/>
    <w:multiLevelType w:val="hybridMultilevel"/>
    <w:tmpl w:val="184C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B53BBB"/>
    <w:multiLevelType w:val="hybridMultilevel"/>
    <w:tmpl w:val="7E166E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353513"/>
    <w:multiLevelType w:val="hybridMultilevel"/>
    <w:tmpl w:val="984664B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C02DE"/>
    <w:multiLevelType w:val="hybridMultilevel"/>
    <w:tmpl w:val="435ED9B0"/>
    <w:lvl w:ilvl="0" w:tplc="71ECFC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71684">
    <w:abstractNumId w:val="27"/>
  </w:num>
  <w:num w:numId="2" w16cid:durableId="1867479251">
    <w:abstractNumId w:val="18"/>
  </w:num>
  <w:num w:numId="3" w16cid:durableId="103572705">
    <w:abstractNumId w:val="1"/>
  </w:num>
  <w:num w:numId="4" w16cid:durableId="954871684">
    <w:abstractNumId w:val="8"/>
  </w:num>
  <w:num w:numId="5" w16cid:durableId="1409382827">
    <w:abstractNumId w:val="31"/>
  </w:num>
  <w:num w:numId="6" w16cid:durableId="1745030182">
    <w:abstractNumId w:val="33"/>
  </w:num>
  <w:num w:numId="7" w16cid:durableId="1112240592">
    <w:abstractNumId w:val="3"/>
  </w:num>
  <w:num w:numId="8" w16cid:durableId="1652173935">
    <w:abstractNumId w:val="23"/>
  </w:num>
  <w:num w:numId="9" w16cid:durableId="404039066">
    <w:abstractNumId w:val="12"/>
  </w:num>
  <w:num w:numId="10" w16cid:durableId="1186401355">
    <w:abstractNumId w:val="30"/>
  </w:num>
  <w:num w:numId="11" w16cid:durableId="648438253">
    <w:abstractNumId w:val="40"/>
  </w:num>
  <w:num w:numId="12" w16cid:durableId="1968511796">
    <w:abstractNumId w:val="13"/>
  </w:num>
  <w:num w:numId="13" w16cid:durableId="1262567740">
    <w:abstractNumId w:val="32"/>
  </w:num>
  <w:num w:numId="14" w16cid:durableId="1552382943">
    <w:abstractNumId w:val="34"/>
  </w:num>
  <w:num w:numId="15" w16cid:durableId="887491836">
    <w:abstractNumId w:val="24"/>
  </w:num>
  <w:num w:numId="16" w16cid:durableId="484974378">
    <w:abstractNumId w:val="5"/>
  </w:num>
  <w:num w:numId="17" w16cid:durableId="755633214">
    <w:abstractNumId w:val="19"/>
  </w:num>
  <w:num w:numId="18" w16cid:durableId="1650131657">
    <w:abstractNumId w:val="26"/>
  </w:num>
  <w:num w:numId="19" w16cid:durableId="753867497">
    <w:abstractNumId w:val="38"/>
  </w:num>
  <w:num w:numId="20" w16cid:durableId="858857285">
    <w:abstractNumId w:val="16"/>
  </w:num>
  <w:num w:numId="21" w16cid:durableId="175508222">
    <w:abstractNumId w:val="14"/>
  </w:num>
  <w:num w:numId="22" w16cid:durableId="741608399">
    <w:abstractNumId w:val="2"/>
  </w:num>
  <w:num w:numId="23" w16cid:durableId="1407069637">
    <w:abstractNumId w:val="29"/>
  </w:num>
  <w:num w:numId="24" w16cid:durableId="699161363">
    <w:abstractNumId w:val="10"/>
  </w:num>
  <w:num w:numId="25" w16cid:durableId="712996057">
    <w:abstractNumId w:val="11"/>
  </w:num>
  <w:num w:numId="26" w16cid:durableId="906300550">
    <w:abstractNumId w:val="36"/>
  </w:num>
  <w:num w:numId="27" w16cid:durableId="217133614">
    <w:abstractNumId w:val="35"/>
  </w:num>
  <w:num w:numId="28" w16cid:durableId="746003000">
    <w:abstractNumId w:val="22"/>
  </w:num>
  <w:num w:numId="29" w16cid:durableId="988292217">
    <w:abstractNumId w:val="39"/>
  </w:num>
  <w:num w:numId="30" w16cid:durableId="856043650">
    <w:abstractNumId w:val="7"/>
  </w:num>
  <w:num w:numId="31" w16cid:durableId="839806859">
    <w:abstractNumId w:val="37"/>
  </w:num>
  <w:num w:numId="32" w16cid:durableId="2094037280">
    <w:abstractNumId w:val="18"/>
    <w:lvlOverride w:ilvl="0">
      <w:startOverride w:val="1"/>
    </w:lvlOverride>
  </w:num>
  <w:num w:numId="33" w16cid:durableId="679695470">
    <w:abstractNumId w:val="17"/>
  </w:num>
  <w:num w:numId="34" w16cid:durableId="984436726">
    <w:abstractNumId w:val="6"/>
  </w:num>
  <w:num w:numId="35" w16cid:durableId="485904780">
    <w:abstractNumId w:val="15"/>
  </w:num>
  <w:num w:numId="36" w16cid:durableId="1061098502">
    <w:abstractNumId w:val="4"/>
  </w:num>
  <w:num w:numId="37" w16cid:durableId="715616967">
    <w:abstractNumId w:val="20"/>
  </w:num>
  <w:num w:numId="38" w16cid:durableId="823473975">
    <w:abstractNumId w:val="0"/>
  </w:num>
  <w:num w:numId="39" w16cid:durableId="401374940">
    <w:abstractNumId w:val="9"/>
  </w:num>
  <w:num w:numId="40" w16cid:durableId="13385929">
    <w:abstractNumId w:val="18"/>
  </w:num>
  <w:num w:numId="41" w16cid:durableId="1779908276">
    <w:abstractNumId w:val="28"/>
  </w:num>
  <w:num w:numId="42" w16cid:durableId="1308048489">
    <w:abstractNumId w:val="25"/>
  </w:num>
  <w:num w:numId="43" w16cid:durableId="19892459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8"/>
    <w:rsid w:val="000018DF"/>
    <w:rsid w:val="00005566"/>
    <w:rsid w:val="00007110"/>
    <w:rsid w:val="000162A0"/>
    <w:rsid w:val="00016EBC"/>
    <w:rsid w:val="00017762"/>
    <w:rsid w:val="0002064E"/>
    <w:rsid w:val="00026E07"/>
    <w:rsid w:val="00052FDF"/>
    <w:rsid w:val="00071442"/>
    <w:rsid w:val="00096074"/>
    <w:rsid w:val="000A05D1"/>
    <w:rsid w:val="000A233F"/>
    <w:rsid w:val="000A251A"/>
    <w:rsid w:val="000B10C0"/>
    <w:rsid w:val="000B4549"/>
    <w:rsid w:val="000C14F0"/>
    <w:rsid w:val="000C756E"/>
    <w:rsid w:val="000D0342"/>
    <w:rsid w:val="000D7285"/>
    <w:rsid w:val="000D7DE6"/>
    <w:rsid w:val="000E4211"/>
    <w:rsid w:val="000E5B13"/>
    <w:rsid w:val="000F3318"/>
    <w:rsid w:val="001017FF"/>
    <w:rsid w:val="0010388A"/>
    <w:rsid w:val="00111C01"/>
    <w:rsid w:val="00112B6E"/>
    <w:rsid w:val="0011653B"/>
    <w:rsid w:val="0012092C"/>
    <w:rsid w:val="001220DB"/>
    <w:rsid w:val="00122493"/>
    <w:rsid w:val="00127E16"/>
    <w:rsid w:val="00134896"/>
    <w:rsid w:val="00165426"/>
    <w:rsid w:val="00167D0C"/>
    <w:rsid w:val="00171EF5"/>
    <w:rsid w:val="00183F89"/>
    <w:rsid w:val="001849B2"/>
    <w:rsid w:val="0019405F"/>
    <w:rsid w:val="001A6447"/>
    <w:rsid w:val="001B289C"/>
    <w:rsid w:val="001B31FF"/>
    <w:rsid w:val="001C134B"/>
    <w:rsid w:val="001C2308"/>
    <w:rsid w:val="001C2737"/>
    <w:rsid w:val="001C2B36"/>
    <w:rsid w:val="001C6D49"/>
    <w:rsid w:val="001C6E3D"/>
    <w:rsid w:val="001D4403"/>
    <w:rsid w:val="001D7FA4"/>
    <w:rsid w:val="001E184D"/>
    <w:rsid w:val="001E577E"/>
    <w:rsid w:val="001F571E"/>
    <w:rsid w:val="001F7C6F"/>
    <w:rsid w:val="00204402"/>
    <w:rsid w:val="00204488"/>
    <w:rsid w:val="00215CE4"/>
    <w:rsid w:val="00236567"/>
    <w:rsid w:val="00237556"/>
    <w:rsid w:val="002411D8"/>
    <w:rsid w:val="00241368"/>
    <w:rsid w:val="0024219E"/>
    <w:rsid w:val="00243C43"/>
    <w:rsid w:val="002524DA"/>
    <w:rsid w:val="002548DF"/>
    <w:rsid w:val="002563BC"/>
    <w:rsid w:val="00257070"/>
    <w:rsid w:val="00260412"/>
    <w:rsid w:val="00261F8D"/>
    <w:rsid w:val="00264FD6"/>
    <w:rsid w:val="0026555D"/>
    <w:rsid w:val="00276815"/>
    <w:rsid w:val="00277515"/>
    <w:rsid w:val="002800AE"/>
    <w:rsid w:val="002917FD"/>
    <w:rsid w:val="00294306"/>
    <w:rsid w:val="0029515E"/>
    <w:rsid w:val="00295E59"/>
    <w:rsid w:val="002966B9"/>
    <w:rsid w:val="002A6AF6"/>
    <w:rsid w:val="002A6CF8"/>
    <w:rsid w:val="002B1907"/>
    <w:rsid w:val="002B1FE4"/>
    <w:rsid w:val="002B2ED5"/>
    <w:rsid w:val="002C1CDF"/>
    <w:rsid w:val="002C28FA"/>
    <w:rsid w:val="002D1CC1"/>
    <w:rsid w:val="002D2FB0"/>
    <w:rsid w:val="002E38D1"/>
    <w:rsid w:val="002F01BC"/>
    <w:rsid w:val="002F0794"/>
    <w:rsid w:val="002F6503"/>
    <w:rsid w:val="002F7F8E"/>
    <w:rsid w:val="00310255"/>
    <w:rsid w:val="0031028C"/>
    <w:rsid w:val="003178E6"/>
    <w:rsid w:val="00320698"/>
    <w:rsid w:val="00324418"/>
    <w:rsid w:val="003244E3"/>
    <w:rsid w:val="003302DD"/>
    <w:rsid w:val="003362A3"/>
    <w:rsid w:val="00340338"/>
    <w:rsid w:val="003539FE"/>
    <w:rsid w:val="00353C7E"/>
    <w:rsid w:val="00354D7A"/>
    <w:rsid w:val="003653DB"/>
    <w:rsid w:val="00370D6D"/>
    <w:rsid w:val="00374AAC"/>
    <w:rsid w:val="00380643"/>
    <w:rsid w:val="00380B58"/>
    <w:rsid w:val="00382701"/>
    <w:rsid w:val="00387A45"/>
    <w:rsid w:val="00393058"/>
    <w:rsid w:val="003A685A"/>
    <w:rsid w:val="003B2EC1"/>
    <w:rsid w:val="003B2F89"/>
    <w:rsid w:val="003B48F4"/>
    <w:rsid w:val="003B7569"/>
    <w:rsid w:val="003C7079"/>
    <w:rsid w:val="003C7926"/>
    <w:rsid w:val="003D0ED5"/>
    <w:rsid w:val="003D197F"/>
    <w:rsid w:val="003D2FCC"/>
    <w:rsid w:val="003D3C94"/>
    <w:rsid w:val="003D6873"/>
    <w:rsid w:val="003E5C49"/>
    <w:rsid w:val="003F4E2B"/>
    <w:rsid w:val="00400945"/>
    <w:rsid w:val="00400AE1"/>
    <w:rsid w:val="00401309"/>
    <w:rsid w:val="00413864"/>
    <w:rsid w:val="004360FB"/>
    <w:rsid w:val="004370E6"/>
    <w:rsid w:val="00443C40"/>
    <w:rsid w:val="00456776"/>
    <w:rsid w:val="00477C61"/>
    <w:rsid w:val="00494DA1"/>
    <w:rsid w:val="004A02CD"/>
    <w:rsid w:val="004A3C3D"/>
    <w:rsid w:val="004B10CB"/>
    <w:rsid w:val="004B3C0C"/>
    <w:rsid w:val="004B416F"/>
    <w:rsid w:val="004C3359"/>
    <w:rsid w:val="004C3483"/>
    <w:rsid w:val="004C3ADC"/>
    <w:rsid w:val="004C5BA7"/>
    <w:rsid w:val="004D0D71"/>
    <w:rsid w:val="004D4502"/>
    <w:rsid w:val="004E2FF5"/>
    <w:rsid w:val="004F08EC"/>
    <w:rsid w:val="004F48C3"/>
    <w:rsid w:val="004F555B"/>
    <w:rsid w:val="00504070"/>
    <w:rsid w:val="0050669E"/>
    <w:rsid w:val="005067C4"/>
    <w:rsid w:val="0050720E"/>
    <w:rsid w:val="0051151D"/>
    <w:rsid w:val="0051228C"/>
    <w:rsid w:val="00517CFD"/>
    <w:rsid w:val="00524E2A"/>
    <w:rsid w:val="00526570"/>
    <w:rsid w:val="00527A04"/>
    <w:rsid w:val="00540ACB"/>
    <w:rsid w:val="00552FD0"/>
    <w:rsid w:val="0057030A"/>
    <w:rsid w:val="005741E2"/>
    <w:rsid w:val="005772C8"/>
    <w:rsid w:val="005A22FC"/>
    <w:rsid w:val="005A39D7"/>
    <w:rsid w:val="005A5ABC"/>
    <w:rsid w:val="005C0A61"/>
    <w:rsid w:val="005C3214"/>
    <w:rsid w:val="005C7B03"/>
    <w:rsid w:val="005D2EE3"/>
    <w:rsid w:val="005E0767"/>
    <w:rsid w:val="005E23AB"/>
    <w:rsid w:val="005F1681"/>
    <w:rsid w:val="005F18BE"/>
    <w:rsid w:val="005F51E0"/>
    <w:rsid w:val="00601DCB"/>
    <w:rsid w:val="00602452"/>
    <w:rsid w:val="00605612"/>
    <w:rsid w:val="0060723D"/>
    <w:rsid w:val="00613C72"/>
    <w:rsid w:val="00617B50"/>
    <w:rsid w:val="006203DB"/>
    <w:rsid w:val="00621EC8"/>
    <w:rsid w:val="0062392B"/>
    <w:rsid w:val="00624D98"/>
    <w:rsid w:val="00627961"/>
    <w:rsid w:val="00627D65"/>
    <w:rsid w:val="00631133"/>
    <w:rsid w:val="0063236A"/>
    <w:rsid w:val="00632F23"/>
    <w:rsid w:val="006432DF"/>
    <w:rsid w:val="00653B88"/>
    <w:rsid w:val="0065786D"/>
    <w:rsid w:val="0067446B"/>
    <w:rsid w:val="006801AB"/>
    <w:rsid w:val="006809EA"/>
    <w:rsid w:val="00684BA6"/>
    <w:rsid w:val="006957AD"/>
    <w:rsid w:val="006A0865"/>
    <w:rsid w:val="006A5D63"/>
    <w:rsid w:val="006B7EA4"/>
    <w:rsid w:val="006C067E"/>
    <w:rsid w:val="006C08A2"/>
    <w:rsid w:val="006C6050"/>
    <w:rsid w:val="006D6594"/>
    <w:rsid w:val="006E18B2"/>
    <w:rsid w:val="006E2D58"/>
    <w:rsid w:val="006F20B3"/>
    <w:rsid w:val="00700D33"/>
    <w:rsid w:val="00701B23"/>
    <w:rsid w:val="00703415"/>
    <w:rsid w:val="00707244"/>
    <w:rsid w:val="00710D67"/>
    <w:rsid w:val="00714E10"/>
    <w:rsid w:val="00715A57"/>
    <w:rsid w:val="00721E4B"/>
    <w:rsid w:val="00722FC7"/>
    <w:rsid w:val="00724E0D"/>
    <w:rsid w:val="00726A08"/>
    <w:rsid w:val="00736881"/>
    <w:rsid w:val="00743546"/>
    <w:rsid w:val="007461A3"/>
    <w:rsid w:val="007514DF"/>
    <w:rsid w:val="00756DB5"/>
    <w:rsid w:val="00766E2B"/>
    <w:rsid w:val="007737FD"/>
    <w:rsid w:val="007867FB"/>
    <w:rsid w:val="00797FB8"/>
    <w:rsid w:val="007A000B"/>
    <w:rsid w:val="007B3AEC"/>
    <w:rsid w:val="007C667C"/>
    <w:rsid w:val="007D0D09"/>
    <w:rsid w:val="007D3292"/>
    <w:rsid w:val="007E02C0"/>
    <w:rsid w:val="007E2FE5"/>
    <w:rsid w:val="007E45A8"/>
    <w:rsid w:val="007E61E0"/>
    <w:rsid w:val="007F5E72"/>
    <w:rsid w:val="00803FA5"/>
    <w:rsid w:val="00806571"/>
    <w:rsid w:val="00814A11"/>
    <w:rsid w:val="0084024D"/>
    <w:rsid w:val="00851E96"/>
    <w:rsid w:val="00876583"/>
    <w:rsid w:val="008809B1"/>
    <w:rsid w:val="008874A9"/>
    <w:rsid w:val="008A2AAF"/>
    <w:rsid w:val="008A3C28"/>
    <w:rsid w:val="008A670A"/>
    <w:rsid w:val="008B62DA"/>
    <w:rsid w:val="008C0FA0"/>
    <w:rsid w:val="008D3305"/>
    <w:rsid w:val="008E1FF0"/>
    <w:rsid w:val="008E3631"/>
    <w:rsid w:val="008E67A5"/>
    <w:rsid w:val="008F2CAC"/>
    <w:rsid w:val="008F2D4F"/>
    <w:rsid w:val="008F4D57"/>
    <w:rsid w:val="00903A12"/>
    <w:rsid w:val="00913509"/>
    <w:rsid w:val="00927D5F"/>
    <w:rsid w:val="00932297"/>
    <w:rsid w:val="00964A5F"/>
    <w:rsid w:val="00971F41"/>
    <w:rsid w:val="009842F9"/>
    <w:rsid w:val="00985A18"/>
    <w:rsid w:val="00996976"/>
    <w:rsid w:val="00996A8D"/>
    <w:rsid w:val="0099763C"/>
    <w:rsid w:val="009A2AF8"/>
    <w:rsid w:val="009B0731"/>
    <w:rsid w:val="009B118E"/>
    <w:rsid w:val="009B429C"/>
    <w:rsid w:val="009C5A87"/>
    <w:rsid w:val="009D3AF2"/>
    <w:rsid w:val="009D5063"/>
    <w:rsid w:val="009D6267"/>
    <w:rsid w:val="009D765F"/>
    <w:rsid w:val="009E1FB0"/>
    <w:rsid w:val="009E5DEB"/>
    <w:rsid w:val="009E5F14"/>
    <w:rsid w:val="009E6053"/>
    <w:rsid w:val="009F0065"/>
    <w:rsid w:val="009F13BF"/>
    <w:rsid w:val="009F2E4E"/>
    <w:rsid w:val="009F301D"/>
    <w:rsid w:val="009F5862"/>
    <w:rsid w:val="009F5AFA"/>
    <w:rsid w:val="00A0362C"/>
    <w:rsid w:val="00A04944"/>
    <w:rsid w:val="00A15E4A"/>
    <w:rsid w:val="00A21F6C"/>
    <w:rsid w:val="00A22427"/>
    <w:rsid w:val="00A2334E"/>
    <w:rsid w:val="00A24C5A"/>
    <w:rsid w:val="00A25ED3"/>
    <w:rsid w:val="00A26BFD"/>
    <w:rsid w:val="00A27DA0"/>
    <w:rsid w:val="00A34E23"/>
    <w:rsid w:val="00A470D2"/>
    <w:rsid w:val="00A5268B"/>
    <w:rsid w:val="00A77850"/>
    <w:rsid w:val="00A8437F"/>
    <w:rsid w:val="00A9103E"/>
    <w:rsid w:val="00A9222C"/>
    <w:rsid w:val="00A96024"/>
    <w:rsid w:val="00AA1C55"/>
    <w:rsid w:val="00AB7E9B"/>
    <w:rsid w:val="00AC572E"/>
    <w:rsid w:val="00AD3B2D"/>
    <w:rsid w:val="00AD64F2"/>
    <w:rsid w:val="00AD7FDD"/>
    <w:rsid w:val="00AE1345"/>
    <w:rsid w:val="00AF18C4"/>
    <w:rsid w:val="00AF5F81"/>
    <w:rsid w:val="00AF625D"/>
    <w:rsid w:val="00B00FF5"/>
    <w:rsid w:val="00B1119C"/>
    <w:rsid w:val="00B1394C"/>
    <w:rsid w:val="00B23A9F"/>
    <w:rsid w:val="00B26F13"/>
    <w:rsid w:val="00B349B7"/>
    <w:rsid w:val="00B35FAB"/>
    <w:rsid w:val="00B36552"/>
    <w:rsid w:val="00B40E27"/>
    <w:rsid w:val="00B42C81"/>
    <w:rsid w:val="00B54338"/>
    <w:rsid w:val="00B560E0"/>
    <w:rsid w:val="00B62AED"/>
    <w:rsid w:val="00B667A5"/>
    <w:rsid w:val="00B73612"/>
    <w:rsid w:val="00B7728A"/>
    <w:rsid w:val="00B80C2E"/>
    <w:rsid w:val="00B81616"/>
    <w:rsid w:val="00B90892"/>
    <w:rsid w:val="00B92433"/>
    <w:rsid w:val="00B9362A"/>
    <w:rsid w:val="00BA43D8"/>
    <w:rsid w:val="00BD2913"/>
    <w:rsid w:val="00BE01D7"/>
    <w:rsid w:val="00BE1C16"/>
    <w:rsid w:val="00BE547D"/>
    <w:rsid w:val="00BF04A8"/>
    <w:rsid w:val="00BF0751"/>
    <w:rsid w:val="00BF091F"/>
    <w:rsid w:val="00BF715A"/>
    <w:rsid w:val="00C20DDF"/>
    <w:rsid w:val="00C32A34"/>
    <w:rsid w:val="00C3389F"/>
    <w:rsid w:val="00C3431D"/>
    <w:rsid w:val="00C34546"/>
    <w:rsid w:val="00C360DE"/>
    <w:rsid w:val="00C37F1D"/>
    <w:rsid w:val="00C54801"/>
    <w:rsid w:val="00C651F1"/>
    <w:rsid w:val="00C8159E"/>
    <w:rsid w:val="00C96E39"/>
    <w:rsid w:val="00CA0F6B"/>
    <w:rsid w:val="00CC488B"/>
    <w:rsid w:val="00CD20E4"/>
    <w:rsid w:val="00CE6C10"/>
    <w:rsid w:val="00CF3322"/>
    <w:rsid w:val="00D00F26"/>
    <w:rsid w:val="00D13727"/>
    <w:rsid w:val="00D154BC"/>
    <w:rsid w:val="00D15DB0"/>
    <w:rsid w:val="00D26D23"/>
    <w:rsid w:val="00D342B8"/>
    <w:rsid w:val="00D36906"/>
    <w:rsid w:val="00D44FC5"/>
    <w:rsid w:val="00D56CB3"/>
    <w:rsid w:val="00D5786B"/>
    <w:rsid w:val="00D605D1"/>
    <w:rsid w:val="00D66871"/>
    <w:rsid w:val="00D72A05"/>
    <w:rsid w:val="00D83B33"/>
    <w:rsid w:val="00D9127E"/>
    <w:rsid w:val="00D92465"/>
    <w:rsid w:val="00D934CA"/>
    <w:rsid w:val="00D94181"/>
    <w:rsid w:val="00D973F4"/>
    <w:rsid w:val="00DB24CB"/>
    <w:rsid w:val="00DC316A"/>
    <w:rsid w:val="00DD1BCA"/>
    <w:rsid w:val="00DE3454"/>
    <w:rsid w:val="00DE66C5"/>
    <w:rsid w:val="00DF25CB"/>
    <w:rsid w:val="00DF38DF"/>
    <w:rsid w:val="00E019CD"/>
    <w:rsid w:val="00E05442"/>
    <w:rsid w:val="00E056F4"/>
    <w:rsid w:val="00E10340"/>
    <w:rsid w:val="00E10769"/>
    <w:rsid w:val="00E12717"/>
    <w:rsid w:val="00E20DC3"/>
    <w:rsid w:val="00E2363A"/>
    <w:rsid w:val="00E25E21"/>
    <w:rsid w:val="00E3439C"/>
    <w:rsid w:val="00E37CDB"/>
    <w:rsid w:val="00E44E4C"/>
    <w:rsid w:val="00E44ED0"/>
    <w:rsid w:val="00E518BB"/>
    <w:rsid w:val="00E53D23"/>
    <w:rsid w:val="00E56609"/>
    <w:rsid w:val="00E60275"/>
    <w:rsid w:val="00E60DED"/>
    <w:rsid w:val="00E62E10"/>
    <w:rsid w:val="00E646E3"/>
    <w:rsid w:val="00E71472"/>
    <w:rsid w:val="00E83B56"/>
    <w:rsid w:val="00E8588D"/>
    <w:rsid w:val="00E91508"/>
    <w:rsid w:val="00E91FFC"/>
    <w:rsid w:val="00E929EB"/>
    <w:rsid w:val="00E95298"/>
    <w:rsid w:val="00EA58E3"/>
    <w:rsid w:val="00EB248C"/>
    <w:rsid w:val="00EB6F88"/>
    <w:rsid w:val="00EE0862"/>
    <w:rsid w:val="00EF46C3"/>
    <w:rsid w:val="00EF5A1C"/>
    <w:rsid w:val="00F07F75"/>
    <w:rsid w:val="00F17199"/>
    <w:rsid w:val="00F22242"/>
    <w:rsid w:val="00F229EF"/>
    <w:rsid w:val="00F252C3"/>
    <w:rsid w:val="00F25AB9"/>
    <w:rsid w:val="00F25C35"/>
    <w:rsid w:val="00F34904"/>
    <w:rsid w:val="00F37A34"/>
    <w:rsid w:val="00F400DD"/>
    <w:rsid w:val="00F4522B"/>
    <w:rsid w:val="00F55CC5"/>
    <w:rsid w:val="00F60462"/>
    <w:rsid w:val="00F65F40"/>
    <w:rsid w:val="00F71D44"/>
    <w:rsid w:val="00F8783A"/>
    <w:rsid w:val="00F914A4"/>
    <w:rsid w:val="00F93684"/>
    <w:rsid w:val="00FA573B"/>
    <w:rsid w:val="00FA6885"/>
    <w:rsid w:val="00FC1A2D"/>
    <w:rsid w:val="00FC250F"/>
    <w:rsid w:val="00FD0977"/>
    <w:rsid w:val="00FD4E8C"/>
    <w:rsid w:val="00FE1BF6"/>
    <w:rsid w:val="00FF783D"/>
    <w:rsid w:val="05FD55CE"/>
    <w:rsid w:val="34B964DC"/>
    <w:rsid w:val="35943DC7"/>
    <w:rsid w:val="5EDB3D67"/>
    <w:rsid w:val="7053EFA7"/>
    <w:rsid w:val="7108E222"/>
    <w:rsid w:val="72E9A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06"/>
    <w:rPr>
      <w:rFonts w:asciiTheme="minorBidi" w:hAnsiTheme="minorBidi"/>
      <w:sz w:val="20"/>
    </w:rPr>
  </w:style>
  <w:style w:type="paragraph" w:styleId="Heading1">
    <w:name w:val="heading 1"/>
    <w:basedOn w:val="Normal"/>
    <w:next w:val="Normal"/>
    <w:link w:val="Heading1Char"/>
    <w:autoRedefine/>
    <w:uiPriority w:val="9"/>
    <w:qFormat/>
    <w:rsid w:val="00715A57"/>
    <w:pPr>
      <w:keepNext/>
      <w:keepLines/>
      <w:numPr>
        <w:numId w:val="2"/>
      </w:numPr>
      <w:spacing w:before="240" w:after="12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A57"/>
    <w:rPr>
      <w:rFonts w:ascii="Arial" w:eastAsiaTheme="majorEastAsia" w:hAnsi="Arial" w:cstheme="majorBidi"/>
      <w:b/>
      <w:color w:val="000000" w:themeColor="text1"/>
      <w:sz w:val="28"/>
      <w:szCs w:val="32"/>
    </w:rPr>
  </w:style>
  <w:style w:type="paragraph" w:styleId="NoSpacing">
    <w:name w:val="No Spacing"/>
    <w:uiPriority w:val="1"/>
    <w:qFormat/>
    <w:rsid w:val="00320698"/>
    <w:pPr>
      <w:spacing w:after="0" w:line="240" w:lineRule="auto"/>
    </w:pPr>
    <w:rPr>
      <w:rFonts w:asciiTheme="minorBidi" w:hAnsiTheme="minorBidi"/>
    </w:rPr>
  </w:style>
  <w:style w:type="paragraph" w:styleId="Title">
    <w:name w:val="Title"/>
    <w:basedOn w:val="Normal"/>
    <w:next w:val="Normal"/>
    <w:link w:val="TitleCh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leChar">
    <w:name w:val="Title Char"/>
    <w:basedOn w:val="DefaultParagraphFont"/>
    <w:link w:val="Title"/>
    <w:uiPriority w:val="10"/>
    <w:rsid w:val="001E577E"/>
    <w:rPr>
      <w:rFonts w:ascii="Arial" w:eastAsiaTheme="majorEastAsia" w:hAnsi="Arial" w:cstheme="majorBidi"/>
      <w:color w:val="44841A"/>
      <w:spacing w:val="-10"/>
      <w:kern w:val="28"/>
      <w:sz w:val="56"/>
      <w:szCs w:val="56"/>
    </w:rPr>
  </w:style>
  <w:style w:type="paragraph" w:styleId="ListParagraph">
    <w:name w:val="List Paragraph"/>
    <w:aliases w:val="LISTA"/>
    <w:basedOn w:val="Normal"/>
    <w:uiPriority w:val="99"/>
    <w:qFormat/>
    <w:rsid w:val="00320698"/>
    <w:pPr>
      <w:ind w:left="720"/>
      <w:contextualSpacing/>
    </w:pPr>
  </w:style>
  <w:style w:type="table" w:styleId="TableGrid">
    <w:name w:val="Table Grid"/>
    <w:basedOn w:val="Table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77E"/>
    <w:rPr>
      <w:rFonts w:asciiTheme="minorBidi" w:hAnsiTheme="minorBidi"/>
    </w:rPr>
  </w:style>
  <w:style w:type="paragraph" w:styleId="Footer">
    <w:name w:val="footer"/>
    <w:basedOn w:val="Normal"/>
    <w:link w:val="FooterChar"/>
    <w:uiPriority w:val="99"/>
    <w:unhideWhenUsed/>
    <w:rsid w:val="001E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77E"/>
  </w:style>
  <w:style w:type="character" w:customStyle="1" w:styleId="normaltextrun">
    <w:name w:val="normaltextrun"/>
    <w:basedOn w:val="DefaultParagraphFont"/>
    <w:rsid w:val="001E577E"/>
  </w:style>
  <w:style w:type="character" w:customStyle="1" w:styleId="Heading2Char">
    <w:name w:val="Heading 2 Char"/>
    <w:basedOn w:val="DefaultParagraphFont"/>
    <w:link w:val="Heading2"/>
    <w:uiPriority w:val="9"/>
    <w:rsid w:val="002C1CDF"/>
    <w:rPr>
      <w:rFonts w:asciiTheme="minorBidi" w:eastAsiaTheme="majorEastAsia" w:hAnsiTheme="minorBidi" w:cstheme="majorBidi"/>
      <w:b/>
      <w:color w:val="000000" w:themeColor="text1"/>
      <w:szCs w:val="26"/>
    </w:rPr>
  </w:style>
  <w:style w:type="character" w:styleId="Hyperlink">
    <w:name w:val="Hyperlink"/>
    <w:basedOn w:val="DefaultParagraphFont"/>
    <w:uiPriority w:val="99"/>
    <w:unhideWhenUsed/>
    <w:rsid w:val="008874A9"/>
    <w:rPr>
      <w:color w:val="E33889" w:themeColor="hyperlink"/>
      <w:u w:val="single"/>
    </w:rPr>
  </w:style>
  <w:style w:type="character" w:customStyle="1" w:styleId="UnresolvedMention1">
    <w:name w:val="Unresolved Mention1"/>
    <w:basedOn w:val="DefaultParagraphFont"/>
    <w:uiPriority w:val="99"/>
    <w:semiHidden/>
    <w:unhideWhenUsed/>
    <w:rsid w:val="008874A9"/>
    <w:rPr>
      <w:color w:val="605E5C"/>
      <w:shd w:val="clear" w:color="auto" w:fill="E1DFDD"/>
    </w:rPr>
  </w:style>
  <w:style w:type="character" w:styleId="CommentReference">
    <w:name w:val="annotation reference"/>
    <w:basedOn w:val="DefaultParagraphFont"/>
    <w:uiPriority w:val="99"/>
    <w:semiHidden/>
    <w:unhideWhenUsed/>
    <w:rsid w:val="007E02C0"/>
    <w:rPr>
      <w:sz w:val="16"/>
      <w:szCs w:val="16"/>
    </w:rPr>
  </w:style>
  <w:style w:type="paragraph" w:styleId="CommentText">
    <w:name w:val="annotation text"/>
    <w:basedOn w:val="Normal"/>
    <w:link w:val="CommentTextChar"/>
    <w:uiPriority w:val="99"/>
    <w:unhideWhenUsed/>
    <w:rsid w:val="007E02C0"/>
    <w:pPr>
      <w:spacing w:line="240" w:lineRule="auto"/>
    </w:pPr>
    <w:rPr>
      <w:szCs w:val="20"/>
    </w:rPr>
  </w:style>
  <w:style w:type="character" w:customStyle="1" w:styleId="CommentTextChar">
    <w:name w:val="Comment Text Char"/>
    <w:basedOn w:val="DefaultParagraphFont"/>
    <w:link w:val="CommentText"/>
    <w:uiPriority w:val="99"/>
    <w:rsid w:val="007E02C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E02C0"/>
    <w:rPr>
      <w:b/>
      <w:bCs/>
    </w:rPr>
  </w:style>
  <w:style w:type="character" w:customStyle="1" w:styleId="CommentSubjectChar">
    <w:name w:val="Comment Subject Char"/>
    <w:basedOn w:val="CommentTextChar"/>
    <w:link w:val="CommentSubject"/>
    <w:uiPriority w:val="99"/>
    <w:semiHidden/>
    <w:rsid w:val="007E02C0"/>
    <w:rPr>
      <w:rFonts w:asciiTheme="minorBidi" w:hAnsiTheme="minorBidi"/>
      <w:b/>
      <w:bCs/>
      <w:sz w:val="20"/>
      <w:szCs w:val="20"/>
    </w:rPr>
  </w:style>
  <w:style w:type="paragraph" w:styleId="FootnoteText">
    <w:name w:val="footnote text"/>
    <w:basedOn w:val="Normal"/>
    <w:link w:val="FootnoteTextChar"/>
    <w:uiPriority w:val="99"/>
    <w:semiHidden/>
    <w:unhideWhenUsed/>
    <w:rsid w:val="004B3C0C"/>
    <w:pPr>
      <w:spacing w:after="0" w:line="240" w:lineRule="auto"/>
    </w:pPr>
    <w:rPr>
      <w:szCs w:val="20"/>
    </w:rPr>
  </w:style>
  <w:style w:type="character" w:customStyle="1" w:styleId="FootnoteTextChar">
    <w:name w:val="Footnote Text Char"/>
    <w:basedOn w:val="DefaultParagraphFont"/>
    <w:link w:val="FootnoteText"/>
    <w:uiPriority w:val="99"/>
    <w:semiHidden/>
    <w:rsid w:val="004B3C0C"/>
    <w:rPr>
      <w:rFonts w:asciiTheme="minorBidi" w:hAnsiTheme="minorBidi"/>
      <w:sz w:val="20"/>
      <w:szCs w:val="20"/>
    </w:rPr>
  </w:style>
  <w:style w:type="character" w:styleId="FootnoteReference">
    <w:name w:val="footnote reference"/>
    <w:basedOn w:val="DefaultParagraphFont"/>
    <w:uiPriority w:val="99"/>
    <w:semiHidden/>
    <w:unhideWhenUsed/>
    <w:rsid w:val="004B3C0C"/>
    <w:rPr>
      <w:vertAlign w:val="superscript"/>
    </w:rPr>
  </w:style>
  <w:style w:type="paragraph" w:styleId="Revision">
    <w:name w:val="Revision"/>
    <w:hidden/>
    <w:uiPriority w:val="99"/>
    <w:semiHidden/>
    <w:rsid w:val="006C067E"/>
    <w:pPr>
      <w:spacing w:after="0" w:line="240" w:lineRule="auto"/>
    </w:pPr>
    <w:rPr>
      <w:rFonts w:asciiTheme="minorBidi" w:hAnsiTheme="minorBidi"/>
      <w:sz w:val="20"/>
    </w:rPr>
  </w:style>
  <w:style w:type="paragraph" w:styleId="BalloonText">
    <w:name w:val="Balloon Text"/>
    <w:basedOn w:val="Normal"/>
    <w:link w:val="BalloonTextChar"/>
    <w:uiPriority w:val="99"/>
    <w:semiHidden/>
    <w:unhideWhenUsed/>
    <w:rsid w:val="0002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07"/>
    <w:rPr>
      <w:rFonts w:ascii="Segoe UI" w:hAnsi="Segoe UI" w:cs="Segoe UI"/>
      <w:sz w:val="18"/>
      <w:szCs w:val="18"/>
    </w:rPr>
  </w:style>
  <w:style w:type="character" w:styleId="UnresolvedMention">
    <w:name w:val="Unresolved Mention"/>
    <w:basedOn w:val="DefaultParagraphFont"/>
    <w:uiPriority w:val="99"/>
    <w:semiHidden/>
    <w:unhideWhenUsed/>
    <w:rsid w:val="009E5F14"/>
    <w:rPr>
      <w:color w:val="605E5C"/>
      <w:shd w:val="clear" w:color="auto" w:fill="E1DFDD"/>
    </w:rPr>
  </w:style>
  <w:style w:type="character" w:styleId="FollowedHyperlink">
    <w:name w:val="FollowedHyperlink"/>
    <w:basedOn w:val="DefaultParagraphFont"/>
    <w:uiPriority w:val="99"/>
    <w:semiHidden/>
    <w:unhideWhenUsed/>
    <w:rsid w:val="00CE6C10"/>
    <w:rPr>
      <w:color w:val="59C6E9" w:themeColor="followedHyperlink"/>
      <w:u w:val="single"/>
    </w:rPr>
  </w:style>
  <w:style w:type="paragraph" w:styleId="BodyText2">
    <w:name w:val="Body Text 2"/>
    <w:basedOn w:val="Normal"/>
    <w:link w:val="BodyText2Char"/>
    <w:rsid w:val="006E18B2"/>
    <w:pPr>
      <w:shd w:val="clear" w:color="auto" w:fill="FFFF00"/>
      <w:spacing w:after="0" w:line="240" w:lineRule="auto"/>
    </w:pPr>
    <w:rPr>
      <w:rFonts w:ascii="Garamond" w:eastAsia="Times New Roman" w:hAnsi="Garamond" w:cs="Times New Roman"/>
      <w:b/>
      <w:bCs/>
      <w:sz w:val="24"/>
      <w:szCs w:val="24"/>
    </w:rPr>
  </w:style>
  <w:style w:type="character" w:customStyle="1" w:styleId="BodyText2Char">
    <w:name w:val="Body Text 2 Char"/>
    <w:basedOn w:val="DefaultParagraphFont"/>
    <w:link w:val="BodyText2"/>
    <w:rsid w:val="006E18B2"/>
    <w:rPr>
      <w:rFonts w:ascii="Garamond" w:eastAsia="Times New Roman" w:hAnsi="Garamond" w:cs="Times New Roman"/>
      <w:b/>
      <w:bCs/>
      <w:sz w:val="24"/>
      <w:szCs w:val="24"/>
      <w:shd w:val="clear" w:color="auto" w:fill="FFFF00"/>
    </w:rPr>
  </w:style>
  <w:style w:type="paragraph" w:styleId="HTMLPreformatted">
    <w:name w:val="HTML Preformatted"/>
    <w:basedOn w:val="Normal"/>
    <w:link w:val="HTMLPreformattedChar"/>
    <w:uiPriority w:val="99"/>
    <w:semiHidden/>
    <w:unhideWhenUsed/>
    <w:rsid w:val="00A2242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22427"/>
    <w:rPr>
      <w:rFonts w:ascii="Consolas" w:hAnsi="Consolas"/>
      <w:sz w:val="20"/>
      <w:szCs w:val="20"/>
    </w:rPr>
  </w:style>
  <w:style w:type="paragraph" w:styleId="NormalWeb">
    <w:name w:val="Normal (Web)"/>
    <w:basedOn w:val="Normal"/>
    <w:uiPriority w:val="99"/>
    <w:semiHidden/>
    <w:unhideWhenUsed/>
    <w:rsid w:val="005D2EE3"/>
    <w:rPr>
      <w:rFonts w:ascii="Times New Roman" w:hAnsi="Times New Roman" w:cs="Times New Roman"/>
      <w:sz w:val="24"/>
      <w:szCs w:val="24"/>
    </w:rPr>
  </w:style>
  <w:style w:type="character" w:styleId="Strong">
    <w:name w:val="Strong"/>
    <w:basedOn w:val="DefaultParagraphFont"/>
    <w:uiPriority w:val="22"/>
    <w:qFormat/>
    <w:rsid w:val="00C81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5350">
      <w:bodyDiv w:val="1"/>
      <w:marLeft w:val="0"/>
      <w:marRight w:val="0"/>
      <w:marTop w:val="0"/>
      <w:marBottom w:val="0"/>
      <w:divBdr>
        <w:top w:val="none" w:sz="0" w:space="0" w:color="auto"/>
        <w:left w:val="none" w:sz="0" w:space="0" w:color="auto"/>
        <w:bottom w:val="none" w:sz="0" w:space="0" w:color="auto"/>
        <w:right w:val="none" w:sz="0" w:space="0" w:color="auto"/>
      </w:divBdr>
    </w:div>
    <w:div w:id="167328208">
      <w:bodyDiv w:val="1"/>
      <w:marLeft w:val="0"/>
      <w:marRight w:val="0"/>
      <w:marTop w:val="0"/>
      <w:marBottom w:val="0"/>
      <w:divBdr>
        <w:top w:val="none" w:sz="0" w:space="0" w:color="auto"/>
        <w:left w:val="none" w:sz="0" w:space="0" w:color="auto"/>
        <w:bottom w:val="none" w:sz="0" w:space="0" w:color="auto"/>
        <w:right w:val="none" w:sz="0" w:space="0" w:color="auto"/>
      </w:divBdr>
    </w:div>
    <w:div w:id="170142613">
      <w:bodyDiv w:val="1"/>
      <w:marLeft w:val="0"/>
      <w:marRight w:val="0"/>
      <w:marTop w:val="0"/>
      <w:marBottom w:val="0"/>
      <w:divBdr>
        <w:top w:val="none" w:sz="0" w:space="0" w:color="auto"/>
        <w:left w:val="none" w:sz="0" w:space="0" w:color="auto"/>
        <w:bottom w:val="none" w:sz="0" w:space="0" w:color="auto"/>
        <w:right w:val="none" w:sz="0" w:space="0" w:color="auto"/>
      </w:divBdr>
    </w:div>
    <w:div w:id="183055266">
      <w:bodyDiv w:val="1"/>
      <w:marLeft w:val="0"/>
      <w:marRight w:val="0"/>
      <w:marTop w:val="0"/>
      <w:marBottom w:val="0"/>
      <w:divBdr>
        <w:top w:val="none" w:sz="0" w:space="0" w:color="auto"/>
        <w:left w:val="none" w:sz="0" w:space="0" w:color="auto"/>
        <w:bottom w:val="none" w:sz="0" w:space="0" w:color="auto"/>
        <w:right w:val="none" w:sz="0" w:space="0" w:color="auto"/>
      </w:divBdr>
    </w:div>
    <w:div w:id="242881957">
      <w:bodyDiv w:val="1"/>
      <w:marLeft w:val="0"/>
      <w:marRight w:val="0"/>
      <w:marTop w:val="0"/>
      <w:marBottom w:val="0"/>
      <w:divBdr>
        <w:top w:val="none" w:sz="0" w:space="0" w:color="auto"/>
        <w:left w:val="none" w:sz="0" w:space="0" w:color="auto"/>
        <w:bottom w:val="none" w:sz="0" w:space="0" w:color="auto"/>
        <w:right w:val="none" w:sz="0" w:space="0" w:color="auto"/>
      </w:divBdr>
    </w:div>
    <w:div w:id="255555325">
      <w:bodyDiv w:val="1"/>
      <w:marLeft w:val="0"/>
      <w:marRight w:val="0"/>
      <w:marTop w:val="0"/>
      <w:marBottom w:val="0"/>
      <w:divBdr>
        <w:top w:val="none" w:sz="0" w:space="0" w:color="auto"/>
        <w:left w:val="none" w:sz="0" w:space="0" w:color="auto"/>
        <w:bottom w:val="none" w:sz="0" w:space="0" w:color="auto"/>
        <w:right w:val="none" w:sz="0" w:space="0" w:color="auto"/>
      </w:divBdr>
    </w:div>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421874787">
      <w:bodyDiv w:val="1"/>
      <w:marLeft w:val="0"/>
      <w:marRight w:val="0"/>
      <w:marTop w:val="0"/>
      <w:marBottom w:val="0"/>
      <w:divBdr>
        <w:top w:val="none" w:sz="0" w:space="0" w:color="auto"/>
        <w:left w:val="none" w:sz="0" w:space="0" w:color="auto"/>
        <w:bottom w:val="none" w:sz="0" w:space="0" w:color="auto"/>
        <w:right w:val="none" w:sz="0" w:space="0" w:color="auto"/>
      </w:divBdr>
    </w:div>
    <w:div w:id="516237831">
      <w:bodyDiv w:val="1"/>
      <w:marLeft w:val="0"/>
      <w:marRight w:val="0"/>
      <w:marTop w:val="0"/>
      <w:marBottom w:val="0"/>
      <w:divBdr>
        <w:top w:val="none" w:sz="0" w:space="0" w:color="auto"/>
        <w:left w:val="none" w:sz="0" w:space="0" w:color="auto"/>
        <w:bottom w:val="none" w:sz="0" w:space="0" w:color="auto"/>
        <w:right w:val="none" w:sz="0" w:space="0" w:color="auto"/>
      </w:divBdr>
    </w:div>
    <w:div w:id="574366212">
      <w:bodyDiv w:val="1"/>
      <w:marLeft w:val="0"/>
      <w:marRight w:val="0"/>
      <w:marTop w:val="0"/>
      <w:marBottom w:val="0"/>
      <w:divBdr>
        <w:top w:val="none" w:sz="0" w:space="0" w:color="auto"/>
        <w:left w:val="none" w:sz="0" w:space="0" w:color="auto"/>
        <w:bottom w:val="none" w:sz="0" w:space="0" w:color="auto"/>
        <w:right w:val="none" w:sz="0" w:space="0" w:color="auto"/>
      </w:divBdr>
    </w:div>
    <w:div w:id="656764292">
      <w:bodyDiv w:val="1"/>
      <w:marLeft w:val="0"/>
      <w:marRight w:val="0"/>
      <w:marTop w:val="0"/>
      <w:marBottom w:val="0"/>
      <w:divBdr>
        <w:top w:val="none" w:sz="0" w:space="0" w:color="auto"/>
        <w:left w:val="none" w:sz="0" w:space="0" w:color="auto"/>
        <w:bottom w:val="none" w:sz="0" w:space="0" w:color="auto"/>
        <w:right w:val="none" w:sz="0" w:space="0" w:color="auto"/>
      </w:divBdr>
    </w:div>
    <w:div w:id="658996350">
      <w:bodyDiv w:val="1"/>
      <w:marLeft w:val="0"/>
      <w:marRight w:val="0"/>
      <w:marTop w:val="0"/>
      <w:marBottom w:val="0"/>
      <w:divBdr>
        <w:top w:val="none" w:sz="0" w:space="0" w:color="auto"/>
        <w:left w:val="none" w:sz="0" w:space="0" w:color="auto"/>
        <w:bottom w:val="none" w:sz="0" w:space="0" w:color="auto"/>
        <w:right w:val="none" w:sz="0" w:space="0" w:color="auto"/>
      </w:divBdr>
    </w:div>
    <w:div w:id="690453745">
      <w:bodyDiv w:val="1"/>
      <w:marLeft w:val="0"/>
      <w:marRight w:val="0"/>
      <w:marTop w:val="0"/>
      <w:marBottom w:val="0"/>
      <w:divBdr>
        <w:top w:val="none" w:sz="0" w:space="0" w:color="auto"/>
        <w:left w:val="none" w:sz="0" w:space="0" w:color="auto"/>
        <w:bottom w:val="none" w:sz="0" w:space="0" w:color="auto"/>
        <w:right w:val="none" w:sz="0" w:space="0" w:color="auto"/>
      </w:divBdr>
    </w:div>
    <w:div w:id="713962544">
      <w:bodyDiv w:val="1"/>
      <w:marLeft w:val="0"/>
      <w:marRight w:val="0"/>
      <w:marTop w:val="0"/>
      <w:marBottom w:val="0"/>
      <w:divBdr>
        <w:top w:val="none" w:sz="0" w:space="0" w:color="auto"/>
        <w:left w:val="none" w:sz="0" w:space="0" w:color="auto"/>
        <w:bottom w:val="none" w:sz="0" w:space="0" w:color="auto"/>
        <w:right w:val="none" w:sz="0" w:space="0" w:color="auto"/>
      </w:divBdr>
    </w:div>
    <w:div w:id="721945016">
      <w:bodyDiv w:val="1"/>
      <w:marLeft w:val="0"/>
      <w:marRight w:val="0"/>
      <w:marTop w:val="0"/>
      <w:marBottom w:val="0"/>
      <w:divBdr>
        <w:top w:val="none" w:sz="0" w:space="0" w:color="auto"/>
        <w:left w:val="none" w:sz="0" w:space="0" w:color="auto"/>
        <w:bottom w:val="none" w:sz="0" w:space="0" w:color="auto"/>
        <w:right w:val="none" w:sz="0" w:space="0" w:color="auto"/>
      </w:divBdr>
    </w:div>
    <w:div w:id="898244943">
      <w:bodyDiv w:val="1"/>
      <w:marLeft w:val="0"/>
      <w:marRight w:val="0"/>
      <w:marTop w:val="0"/>
      <w:marBottom w:val="0"/>
      <w:divBdr>
        <w:top w:val="none" w:sz="0" w:space="0" w:color="auto"/>
        <w:left w:val="none" w:sz="0" w:space="0" w:color="auto"/>
        <w:bottom w:val="none" w:sz="0" w:space="0" w:color="auto"/>
        <w:right w:val="none" w:sz="0" w:space="0" w:color="auto"/>
      </w:divBdr>
    </w:div>
    <w:div w:id="924650479">
      <w:bodyDiv w:val="1"/>
      <w:marLeft w:val="0"/>
      <w:marRight w:val="0"/>
      <w:marTop w:val="0"/>
      <w:marBottom w:val="0"/>
      <w:divBdr>
        <w:top w:val="none" w:sz="0" w:space="0" w:color="auto"/>
        <w:left w:val="none" w:sz="0" w:space="0" w:color="auto"/>
        <w:bottom w:val="none" w:sz="0" w:space="0" w:color="auto"/>
        <w:right w:val="none" w:sz="0" w:space="0" w:color="auto"/>
      </w:divBdr>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973413670">
      <w:bodyDiv w:val="1"/>
      <w:marLeft w:val="0"/>
      <w:marRight w:val="0"/>
      <w:marTop w:val="0"/>
      <w:marBottom w:val="0"/>
      <w:divBdr>
        <w:top w:val="none" w:sz="0" w:space="0" w:color="auto"/>
        <w:left w:val="none" w:sz="0" w:space="0" w:color="auto"/>
        <w:bottom w:val="none" w:sz="0" w:space="0" w:color="auto"/>
        <w:right w:val="none" w:sz="0" w:space="0" w:color="auto"/>
      </w:divBdr>
    </w:div>
    <w:div w:id="977733080">
      <w:bodyDiv w:val="1"/>
      <w:marLeft w:val="0"/>
      <w:marRight w:val="0"/>
      <w:marTop w:val="0"/>
      <w:marBottom w:val="0"/>
      <w:divBdr>
        <w:top w:val="none" w:sz="0" w:space="0" w:color="auto"/>
        <w:left w:val="none" w:sz="0" w:space="0" w:color="auto"/>
        <w:bottom w:val="none" w:sz="0" w:space="0" w:color="auto"/>
        <w:right w:val="none" w:sz="0" w:space="0" w:color="auto"/>
      </w:divBdr>
    </w:div>
    <w:div w:id="991064805">
      <w:bodyDiv w:val="1"/>
      <w:marLeft w:val="0"/>
      <w:marRight w:val="0"/>
      <w:marTop w:val="0"/>
      <w:marBottom w:val="0"/>
      <w:divBdr>
        <w:top w:val="none" w:sz="0" w:space="0" w:color="auto"/>
        <w:left w:val="none" w:sz="0" w:space="0" w:color="auto"/>
        <w:bottom w:val="none" w:sz="0" w:space="0" w:color="auto"/>
        <w:right w:val="none" w:sz="0" w:space="0" w:color="auto"/>
      </w:divBdr>
    </w:div>
    <w:div w:id="997004395">
      <w:bodyDiv w:val="1"/>
      <w:marLeft w:val="0"/>
      <w:marRight w:val="0"/>
      <w:marTop w:val="0"/>
      <w:marBottom w:val="0"/>
      <w:divBdr>
        <w:top w:val="none" w:sz="0" w:space="0" w:color="auto"/>
        <w:left w:val="none" w:sz="0" w:space="0" w:color="auto"/>
        <w:bottom w:val="none" w:sz="0" w:space="0" w:color="auto"/>
        <w:right w:val="none" w:sz="0" w:space="0" w:color="auto"/>
      </w:divBdr>
    </w:div>
    <w:div w:id="1022705521">
      <w:bodyDiv w:val="1"/>
      <w:marLeft w:val="0"/>
      <w:marRight w:val="0"/>
      <w:marTop w:val="0"/>
      <w:marBottom w:val="0"/>
      <w:divBdr>
        <w:top w:val="none" w:sz="0" w:space="0" w:color="auto"/>
        <w:left w:val="none" w:sz="0" w:space="0" w:color="auto"/>
        <w:bottom w:val="none" w:sz="0" w:space="0" w:color="auto"/>
        <w:right w:val="none" w:sz="0" w:space="0" w:color="auto"/>
      </w:divBdr>
    </w:div>
    <w:div w:id="1101294323">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8265">
      <w:bodyDiv w:val="1"/>
      <w:marLeft w:val="0"/>
      <w:marRight w:val="0"/>
      <w:marTop w:val="0"/>
      <w:marBottom w:val="0"/>
      <w:divBdr>
        <w:top w:val="none" w:sz="0" w:space="0" w:color="auto"/>
        <w:left w:val="none" w:sz="0" w:space="0" w:color="auto"/>
        <w:bottom w:val="none" w:sz="0" w:space="0" w:color="auto"/>
        <w:right w:val="none" w:sz="0" w:space="0" w:color="auto"/>
      </w:divBdr>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 w:id="1203444042">
      <w:bodyDiv w:val="1"/>
      <w:marLeft w:val="0"/>
      <w:marRight w:val="0"/>
      <w:marTop w:val="0"/>
      <w:marBottom w:val="0"/>
      <w:divBdr>
        <w:top w:val="none" w:sz="0" w:space="0" w:color="auto"/>
        <w:left w:val="none" w:sz="0" w:space="0" w:color="auto"/>
        <w:bottom w:val="none" w:sz="0" w:space="0" w:color="auto"/>
        <w:right w:val="none" w:sz="0" w:space="0" w:color="auto"/>
      </w:divBdr>
    </w:div>
    <w:div w:id="1234896058">
      <w:bodyDiv w:val="1"/>
      <w:marLeft w:val="0"/>
      <w:marRight w:val="0"/>
      <w:marTop w:val="0"/>
      <w:marBottom w:val="0"/>
      <w:divBdr>
        <w:top w:val="none" w:sz="0" w:space="0" w:color="auto"/>
        <w:left w:val="none" w:sz="0" w:space="0" w:color="auto"/>
        <w:bottom w:val="none" w:sz="0" w:space="0" w:color="auto"/>
        <w:right w:val="none" w:sz="0" w:space="0" w:color="auto"/>
      </w:divBdr>
    </w:div>
    <w:div w:id="1285578358">
      <w:bodyDiv w:val="1"/>
      <w:marLeft w:val="0"/>
      <w:marRight w:val="0"/>
      <w:marTop w:val="0"/>
      <w:marBottom w:val="0"/>
      <w:divBdr>
        <w:top w:val="none" w:sz="0" w:space="0" w:color="auto"/>
        <w:left w:val="none" w:sz="0" w:space="0" w:color="auto"/>
        <w:bottom w:val="none" w:sz="0" w:space="0" w:color="auto"/>
        <w:right w:val="none" w:sz="0" w:space="0" w:color="auto"/>
      </w:divBdr>
    </w:div>
    <w:div w:id="1364289190">
      <w:bodyDiv w:val="1"/>
      <w:marLeft w:val="0"/>
      <w:marRight w:val="0"/>
      <w:marTop w:val="0"/>
      <w:marBottom w:val="0"/>
      <w:divBdr>
        <w:top w:val="none" w:sz="0" w:space="0" w:color="auto"/>
        <w:left w:val="none" w:sz="0" w:space="0" w:color="auto"/>
        <w:bottom w:val="none" w:sz="0" w:space="0" w:color="auto"/>
        <w:right w:val="none" w:sz="0" w:space="0" w:color="auto"/>
      </w:divBdr>
    </w:div>
    <w:div w:id="1406882295">
      <w:bodyDiv w:val="1"/>
      <w:marLeft w:val="0"/>
      <w:marRight w:val="0"/>
      <w:marTop w:val="0"/>
      <w:marBottom w:val="0"/>
      <w:divBdr>
        <w:top w:val="none" w:sz="0" w:space="0" w:color="auto"/>
        <w:left w:val="none" w:sz="0" w:space="0" w:color="auto"/>
        <w:bottom w:val="none" w:sz="0" w:space="0" w:color="auto"/>
        <w:right w:val="none" w:sz="0" w:space="0" w:color="auto"/>
      </w:divBdr>
    </w:div>
    <w:div w:id="1457599484">
      <w:bodyDiv w:val="1"/>
      <w:marLeft w:val="0"/>
      <w:marRight w:val="0"/>
      <w:marTop w:val="0"/>
      <w:marBottom w:val="0"/>
      <w:divBdr>
        <w:top w:val="none" w:sz="0" w:space="0" w:color="auto"/>
        <w:left w:val="none" w:sz="0" w:space="0" w:color="auto"/>
        <w:bottom w:val="none" w:sz="0" w:space="0" w:color="auto"/>
        <w:right w:val="none" w:sz="0" w:space="0" w:color="auto"/>
      </w:divBdr>
    </w:div>
    <w:div w:id="1558515915">
      <w:bodyDiv w:val="1"/>
      <w:marLeft w:val="0"/>
      <w:marRight w:val="0"/>
      <w:marTop w:val="0"/>
      <w:marBottom w:val="0"/>
      <w:divBdr>
        <w:top w:val="none" w:sz="0" w:space="0" w:color="auto"/>
        <w:left w:val="none" w:sz="0" w:space="0" w:color="auto"/>
        <w:bottom w:val="none" w:sz="0" w:space="0" w:color="auto"/>
        <w:right w:val="none" w:sz="0" w:space="0" w:color="auto"/>
      </w:divBdr>
    </w:div>
    <w:div w:id="1595360198">
      <w:bodyDiv w:val="1"/>
      <w:marLeft w:val="0"/>
      <w:marRight w:val="0"/>
      <w:marTop w:val="0"/>
      <w:marBottom w:val="0"/>
      <w:divBdr>
        <w:top w:val="none" w:sz="0" w:space="0" w:color="auto"/>
        <w:left w:val="none" w:sz="0" w:space="0" w:color="auto"/>
        <w:bottom w:val="none" w:sz="0" w:space="0" w:color="auto"/>
        <w:right w:val="none" w:sz="0" w:space="0" w:color="auto"/>
      </w:divBdr>
    </w:div>
    <w:div w:id="1693218354">
      <w:bodyDiv w:val="1"/>
      <w:marLeft w:val="0"/>
      <w:marRight w:val="0"/>
      <w:marTop w:val="0"/>
      <w:marBottom w:val="0"/>
      <w:divBdr>
        <w:top w:val="none" w:sz="0" w:space="0" w:color="auto"/>
        <w:left w:val="none" w:sz="0" w:space="0" w:color="auto"/>
        <w:bottom w:val="none" w:sz="0" w:space="0" w:color="auto"/>
        <w:right w:val="none" w:sz="0" w:space="0" w:color="auto"/>
      </w:divBdr>
    </w:div>
    <w:div w:id="1741362175">
      <w:bodyDiv w:val="1"/>
      <w:marLeft w:val="0"/>
      <w:marRight w:val="0"/>
      <w:marTop w:val="0"/>
      <w:marBottom w:val="0"/>
      <w:divBdr>
        <w:top w:val="none" w:sz="0" w:space="0" w:color="auto"/>
        <w:left w:val="none" w:sz="0" w:space="0" w:color="auto"/>
        <w:bottom w:val="none" w:sz="0" w:space="0" w:color="auto"/>
        <w:right w:val="none" w:sz="0" w:space="0" w:color="auto"/>
      </w:divBdr>
    </w:div>
    <w:div w:id="1840268462">
      <w:bodyDiv w:val="1"/>
      <w:marLeft w:val="0"/>
      <w:marRight w:val="0"/>
      <w:marTop w:val="0"/>
      <w:marBottom w:val="0"/>
      <w:divBdr>
        <w:top w:val="none" w:sz="0" w:space="0" w:color="auto"/>
        <w:left w:val="none" w:sz="0" w:space="0" w:color="auto"/>
        <w:bottom w:val="none" w:sz="0" w:space="0" w:color="auto"/>
        <w:right w:val="none" w:sz="0" w:space="0" w:color="auto"/>
      </w:divBdr>
    </w:div>
    <w:div w:id="1898664113">
      <w:bodyDiv w:val="1"/>
      <w:marLeft w:val="0"/>
      <w:marRight w:val="0"/>
      <w:marTop w:val="0"/>
      <w:marBottom w:val="0"/>
      <w:divBdr>
        <w:top w:val="none" w:sz="0" w:space="0" w:color="auto"/>
        <w:left w:val="none" w:sz="0" w:space="0" w:color="auto"/>
        <w:bottom w:val="none" w:sz="0" w:space="0" w:color="auto"/>
        <w:right w:val="none" w:sz="0" w:space="0" w:color="auto"/>
      </w:divBdr>
    </w:div>
    <w:div w:id="1924947417">
      <w:bodyDiv w:val="1"/>
      <w:marLeft w:val="0"/>
      <w:marRight w:val="0"/>
      <w:marTop w:val="0"/>
      <w:marBottom w:val="0"/>
      <w:divBdr>
        <w:top w:val="none" w:sz="0" w:space="0" w:color="auto"/>
        <w:left w:val="none" w:sz="0" w:space="0" w:color="auto"/>
        <w:bottom w:val="none" w:sz="0" w:space="0" w:color="auto"/>
        <w:right w:val="none" w:sz="0" w:space="0" w:color="auto"/>
      </w:divBdr>
    </w:div>
    <w:div w:id="1952588095">
      <w:bodyDiv w:val="1"/>
      <w:marLeft w:val="0"/>
      <w:marRight w:val="0"/>
      <w:marTop w:val="0"/>
      <w:marBottom w:val="0"/>
      <w:divBdr>
        <w:top w:val="none" w:sz="0" w:space="0" w:color="auto"/>
        <w:left w:val="none" w:sz="0" w:space="0" w:color="auto"/>
        <w:bottom w:val="none" w:sz="0" w:space="0" w:color="auto"/>
        <w:right w:val="none" w:sz="0" w:space="0" w:color="auto"/>
      </w:divBdr>
    </w:div>
    <w:div w:id="1988506560">
      <w:bodyDiv w:val="1"/>
      <w:marLeft w:val="0"/>
      <w:marRight w:val="0"/>
      <w:marTop w:val="0"/>
      <w:marBottom w:val="0"/>
      <w:divBdr>
        <w:top w:val="none" w:sz="0" w:space="0" w:color="auto"/>
        <w:left w:val="none" w:sz="0" w:space="0" w:color="auto"/>
        <w:bottom w:val="none" w:sz="0" w:space="0" w:color="auto"/>
        <w:right w:val="none" w:sz="0" w:space="0" w:color="auto"/>
      </w:divBdr>
    </w:div>
    <w:div w:id="2025206887">
      <w:bodyDiv w:val="1"/>
      <w:marLeft w:val="0"/>
      <w:marRight w:val="0"/>
      <w:marTop w:val="0"/>
      <w:marBottom w:val="0"/>
      <w:divBdr>
        <w:top w:val="none" w:sz="0" w:space="0" w:color="auto"/>
        <w:left w:val="none" w:sz="0" w:space="0" w:color="auto"/>
        <w:bottom w:val="none" w:sz="0" w:space="0" w:color="auto"/>
        <w:right w:val="none" w:sz="0" w:space="0" w:color="auto"/>
      </w:divBdr>
    </w:div>
    <w:div w:id="2040424910">
      <w:bodyDiv w:val="1"/>
      <w:marLeft w:val="0"/>
      <w:marRight w:val="0"/>
      <w:marTop w:val="0"/>
      <w:marBottom w:val="0"/>
      <w:divBdr>
        <w:top w:val="none" w:sz="0" w:space="0" w:color="auto"/>
        <w:left w:val="none" w:sz="0" w:space="0" w:color="auto"/>
        <w:bottom w:val="none" w:sz="0" w:space="0" w:color="auto"/>
        <w:right w:val="none" w:sz="0" w:space="0" w:color="auto"/>
      </w:divBdr>
    </w:div>
    <w:div w:id="2127235293">
      <w:bodyDiv w:val="1"/>
      <w:marLeft w:val="0"/>
      <w:marRight w:val="0"/>
      <w:marTop w:val="0"/>
      <w:marBottom w:val="0"/>
      <w:divBdr>
        <w:top w:val="none" w:sz="0" w:space="0" w:color="auto"/>
        <w:left w:val="none" w:sz="0" w:space="0" w:color="auto"/>
        <w:bottom w:val="none" w:sz="0" w:space="0" w:color="auto"/>
        <w:right w:val="none" w:sz="0" w:space="0" w:color="auto"/>
      </w:divBdr>
    </w:div>
    <w:div w:id="2136830717">
      <w:bodyDiv w:val="1"/>
      <w:marLeft w:val="0"/>
      <w:marRight w:val="0"/>
      <w:marTop w:val="0"/>
      <w:marBottom w:val="0"/>
      <w:divBdr>
        <w:top w:val="none" w:sz="0" w:space="0" w:color="auto"/>
        <w:left w:val="none" w:sz="0" w:space="0" w:color="auto"/>
        <w:bottom w:val="none" w:sz="0" w:space="0" w:color="auto"/>
        <w:right w:val="none" w:sz="0" w:space="0" w:color="auto"/>
      </w:divBdr>
    </w:div>
    <w:div w:id="2143111667">
      <w:bodyDiv w:val="1"/>
      <w:marLeft w:val="0"/>
      <w:marRight w:val="0"/>
      <w:marTop w:val="0"/>
      <w:marBottom w:val="0"/>
      <w:divBdr>
        <w:top w:val="none" w:sz="0" w:space="0" w:color="auto"/>
        <w:left w:val="none" w:sz="0" w:space="0" w:color="auto"/>
        <w:bottom w:val="none" w:sz="0" w:space="0" w:color="auto"/>
        <w:right w:val="none" w:sz="0" w:space="0" w:color="auto"/>
      </w:divBdr>
    </w:div>
    <w:div w:id="21469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am.box.com/s/grbvwi0fbg8dl1bnexo4pha5jylnf81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xfam.box.com/s/03bmcha7n01pqj9i62uw1t2a7pygbq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xfam.box.com/s/mo8artt9l8a2x0cnpqrqqrugt8k0r7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xfam.box.com/s/o2w2dmf8racpaewj6muz9yqs88yiuy8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xfam.box.com/s/l6ykk3npbffwxdpg3ly3kgftxb87fy1f" TargetMode="Externa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CD85D2-C494-4E2A-81EC-9C2F5175E493}">
  <ds:schemaRefs>
    <ds:schemaRef ds:uri="http://schemas.openxmlformats.org/officeDocument/2006/bibliography"/>
  </ds:schemaRefs>
</ds:datastoreItem>
</file>

<file path=customXml/itemProps2.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49642-0BC6-4D6E-8F2E-8E2B28BB8AFB}">
  <ds:schemaRefs>
    <ds:schemaRef ds:uri="http://schemas.microsoft.com/sharepoint/v3/contenttype/forms"/>
  </ds:schemaRefs>
</ds:datastoreItem>
</file>

<file path=customXml/itemProps4.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OXFAM</cp:lastModifiedBy>
  <cp:revision>68</cp:revision>
  <dcterms:created xsi:type="dcterms:W3CDTF">2025-07-28T07:48:00Z</dcterms:created>
  <dcterms:modified xsi:type="dcterms:W3CDTF">2025-08-25T13:47:00Z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