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left" w:leader="none" w:pos="5208"/>
        </w:tabs>
        <w:bidi w:val="1"/>
        <w:jc w:val="center"/>
        <w:rPr>
          <w:b w:val="1"/>
          <w:color w:val="c55911"/>
          <w:sz w:val="40"/>
          <w:szCs w:val="40"/>
        </w:rPr>
      </w:pPr>
      <w:r w:rsidDel="00000000" w:rsidR="00000000" w:rsidRPr="00000000">
        <w:rPr>
          <w:b w:val="1"/>
          <w:color w:val="c55911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left</wp:align>
            </wp:positionH>
            <wp:positionV relativeFrom="margin">
              <wp:posOffset>-60959</wp:posOffset>
            </wp:positionV>
            <wp:extent cx="7953376" cy="1346602"/>
            <wp:effectExtent b="0" l="0" r="0" t="0"/>
            <wp:wrapSquare wrapText="bothSides" distB="0" distT="0" distL="114300" distR="114300"/>
            <wp:docPr id="181191208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76" cy="13466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c55911"/>
          <w:sz w:val="40"/>
          <w:szCs w:val="40"/>
          <w:rtl w:val="1"/>
        </w:rPr>
        <w:t xml:space="preserve">المبادئ</w:t>
      </w:r>
      <w:r w:rsidDel="00000000" w:rsidR="00000000" w:rsidRPr="00000000">
        <w:rPr>
          <w:b w:val="1"/>
          <w:color w:val="c5591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c55911"/>
          <w:sz w:val="40"/>
          <w:szCs w:val="40"/>
          <w:rtl w:val="1"/>
        </w:rPr>
        <w:t xml:space="preserve">التوجيهية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-1292859</wp:posOffset>
            </wp:positionH>
            <wp:positionV relativeFrom="paragraph">
              <wp:posOffset>2540</wp:posOffset>
            </wp:positionV>
            <wp:extent cx="7953376" cy="1346602"/>
            <wp:effectExtent b="0" l="0" r="0" t="0"/>
            <wp:wrapSquare wrapText="bothSides" distB="0" distT="0" distL="114300" distR="114300"/>
            <wp:docPr id="18119120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76" cy="13466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-899793</wp:posOffset>
            </wp:positionH>
            <wp:positionV relativeFrom="paragraph">
              <wp:posOffset>0</wp:posOffset>
            </wp:positionV>
            <wp:extent cx="7953376" cy="1346602"/>
            <wp:effectExtent b="0" l="0" r="0" t="0"/>
            <wp:wrapSquare wrapText="bothSides" distB="0" distT="0" distL="114300" distR="114300"/>
            <wp:docPr id="18119120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76" cy="13466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4472c4"/>
          <w:sz w:val="40"/>
          <w:szCs w:val="40"/>
        </w:rPr>
      </w:pP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دعوة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لتقديم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مقترحات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لتنفيذ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تجارب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الإدماج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40"/>
          <w:szCs w:val="40"/>
          <w:rtl w:val="1"/>
        </w:rPr>
        <w:t xml:space="preserve">الاجتماعي</w:t>
      </w:r>
    </w:p>
    <w:p w:rsidR="00000000" w:rsidDel="00000000" w:rsidP="00000000" w:rsidRDefault="00000000" w:rsidRPr="00000000" w14:paraId="00000003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43c0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لمحة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0"/>
        </w:rPr>
        <w:t xml:space="preserve">DEFIS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الإدماج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تحدي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DEFIS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تبذلها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الإدماج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الإدماج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هشاشة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ائتلاف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للإعاقة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HI</w:t>
      </w:r>
      <w:r w:rsidDel="00000000" w:rsidR="00000000" w:rsidRPr="00000000">
        <w:rPr>
          <w:rtl w:val="1"/>
        </w:rPr>
        <w:t xml:space="preserve">) 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الإقصاء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FACE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TUNISIE</w:t>
      </w:r>
      <w:r w:rsidDel="00000000" w:rsidR="00000000" w:rsidRPr="00000000">
        <w:rPr>
          <w:rtl w:val="1"/>
        </w:rPr>
        <w:t xml:space="preserve">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( (</w:t>
      </w:r>
      <w:r w:rsidDel="00000000" w:rsidR="00000000" w:rsidRPr="00000000">
        <w:rPr>
          <w:rtl w:val="0"/>
        </w:rPr>
        <w:t xml:space="preserve">CRES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للنهوض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CGPS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MAS</w:t>
      </w:r>
      <w:r w:rsidDel="00000000" w:rsidR="00000000" w:rsidRPr="00000000">
        <w:rPr>
          <w:rtl w:val="1"/>
        </w:rPr>
        <w:t xml:space="preserve">)  .</w:t>
      </w:r>
    </w:p>
    <w:p w:rsidR="00000000" w:rsidDel="00000000" w:rsidP="00000000" w:rsidRDefault="00000000" w:rsidRPr="00000000" w14:paraId="00000007">
      <w:pPr>
        <w:bidi w:val="1"/>
        <w:jc w:val="both"/>
        <w:rPr/>
      </w:pP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تحدي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DEFIS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spacing w:after="0" w:before="280" w:line="240" w:lineRule="auto"/>
        <w:ind w:left="720" w:hanging="360"/>
        <w:rPr/>
      </w:pP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المشخصنة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هشاشة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المتدخلة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المشخصنة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spacing w:after="280" w:before="0" w:line="240" w:lineRule="auto"/>
        <w:ind w:left="720" w:hanging="360"/>
        <w:rPr/>
      </w:pP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المقاربات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الميدانية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الاستراتيجي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حوار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القطاعية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ممارسات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المشخصنة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ستساهم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تحفيز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واثراء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وتنفيذها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والتنسيق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القطاعي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المتدخلين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ممارسات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المشخصنة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المركزي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تسليط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وممارسات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المتدخلين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المحورين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تنخرط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المقترحات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ومحاور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المقترحات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والموارد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مكافحة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jc w:val="both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الأهداف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للدعوة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لتقديم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ممارسات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المشخصنة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والتنسيق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الفاعلين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ولوج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هشاشة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مستهدفة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jc w:val="both"/>
        <w:rPr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1"/>
        </w:rPr>
        <w:t xml:space="preserve">المحاور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bidi w:val="1"/>
        <w:jc w:val="both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الأول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الإعداد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للإدماج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والوقاية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الإقصاء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الشباب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المستفيدين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CDIS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والشباب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الفتيات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والأمهات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العازبات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النساء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ضحايا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الوقاية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الاقصاء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الشباب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التونسيين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قصرية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ومسرحي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السجون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والإصلاحيات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jc w:val="both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الثاني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المرافقة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لدعم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الاقتصادية</w:t>
      </w:r>
    </w:p>
    <w:p w:rsidR="00000000" w:rsidDel="00000000" w:rsidP="00000000" w:rsidRDefault="00000000" w:rsidRPr="00000000" w14:paraId="0000001B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الشباب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المستفيدين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والشباب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الفتيات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والأمهات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العازبات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النساء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ضحايا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التونسيين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قصرية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ضحايا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ومسرحي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السجون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والإصلاحيات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both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الثالث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تحسين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عملية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الفئات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وضعيات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هشاشة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المؤهلين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للانتفاع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ببرنامج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الأمان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</w:t>
      </w:r>
    </w:p>
    <w:p w:rsidR="00000000" w:rsidDel="00000000" w:rsidP="00000000" w:rsidRDefault="00000000" w:rsidRPr="00000000" w14:paraId="0000001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الأطفال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وضحايا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تندرج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المحاور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الثلاثة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ويتطلب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فاعلين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( </w:t>
      </w:r>
      <w:r w:rsidDel="00000000" w:rsidR="00000000" w:rsidRPr="00000000">
        <w:rPr>
          <w:rtl w:val="0"/>
        </w:rPr>
        <w:t xml:space="preserve">(ULPS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rtl w:val="0"/>
        </w:rPr>
        <w:t xml:space="preserve"> CDIS)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الإحاطة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  <w:t xml:space="preserve">CEOS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)...) </w:t>
      </w:r>
      <w:r w:rsidDel="00000000" w:rsidR="00000000" w:rsidRPr="00000000">
        <w:rPr>
          <w:sz w:val="24"/>
          <w:szCs w:val="24"/>
          <w:rtl w:val="1"/>
        </w:rPr>
        <w:t xml:space="preserve">ومنظمات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المشخصنة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تصاغ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المنفذة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اتفاقية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إعدادها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مرحلة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تحدي</w:t>
      </w:r>
      <w:r w:rsidDel="00000000" w:rsidR="00000000" w:rsidRPr="00000000">
        <w:rPr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2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يتعين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وجوبيا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DEFIS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تكميلي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مقترحاتها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1,950,000 </w:t>
      </w:r>
      <w:r w:rsidDel="00000000" w:rsidR="00000000" w:rsidRPr="00000000">
        <w:rPr>
          <w:sz w:val="24"/>
          <w:szCs w:val="24"/>
          <w:rtl w:val="1"/>
        </w:rPr>
        <w:t xml:space="preserve">دينار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تونسي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ويحتفظ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المتاحة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الجغرافية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تغطيها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المقترحات</w:t>
      </w:r>
    </w:p>
    <w:p w:rsidR="00000000" w:rsidDel="00000000" w:rsidP="00000000" w:rsidRDefault="00000000" w:rsidRPr="00000000" w14:paraId="00000026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الجغرافية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tblpPr w:leftFromText="141" w:rightFromText="141" w:topFromText="0" w:bottomFromText="0" w:vertAnchor="text" w:horzAnchor="text" w:tblpX="3575" w:tblpY="0"/>
        <w:bidiVisual w:val="1"/>
        <w:tblW w:w="6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3833"/>
        <w:tblGridChange w:id="0">
          <w:tblGrid>
            <w:gridCol w:w="2547"/>
            <w:gridCol w:w="38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قابس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ڤابس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قابس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الغربية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قابس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الحبيب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جندوبة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غار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الدماء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فرنانة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دراهم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جندوبة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الشمالية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القيروان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القيروان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الشمالية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بوحجلة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السبيخة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الوسلاتية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بوزيد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جلمة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الرڤاب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سيدي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بوزيد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الغربية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الجديد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تونس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الكبرى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سيدي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حسين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السيجومي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هيشر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فوشانة</w:t>
            </w:r>
          </w:p>
        </w:tc>
      </w:tr>
    </w:tbl>
    <w:p w:rsidR="00000000" w:rsidDel="00000000" w:rsidP="00000000" w:rsidRDefault="00000000" w:rsidRPr="00000000" w14:paraId="0000004D">
      <w:pPr>
        <w:bidi w:val="1"/>
        <w:ind w:left="595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4E">
      <w:pPr>
        <w:bidi w:val="1"/>
        <w:ind w:left="59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ind w:left="59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ind w:left="59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ind w:left="59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المقدمين</w:t>
      </w:r>
    </w:p>
    <w:p w:rsidR="00000000" w:rsidDel="00000000" w:rsidP="00000000" w:rsidRDefault="00000000" w:rsidRPr="00000000" w14:paraId="00000053">
      <w:pPr>
        <w:bidi w:val="1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مخصصة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لتقديم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مقترحات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التونسي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5">
      <w:pPr>
        <w:bidi w:val="1"/>
        <w:jc w:val="both"/>
        <w:rPr/>
      </w:pP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ائتلاف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جمعياتي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معايير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الأهلية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الإدارية</w:t>
      </w:r>
      <w:r w:rsidDel="00000000" w:rsidR="00000000" w:rsidRPr="00000000">
        <w:rPr>
          <w:b w:val="1"/>
          <w:color w:val="00b050"/>
          <w:rtl w:val="1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؛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2025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الأحزاب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؛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88 </w:t>
      </w:r>
      <w:r w:rsidDel="00000000" w:rsidR="00000000" w:rsidRPr="00000000">
        <w:rPr>
          <w:rtl w:val="1"/>
        </w:rPr>
        <w:t xml:space="preserve">لسنة</w:t>
      </w:r>
      <w:r w:rsidDel="00000000" w:rsidR="00000000" w:rsidRPr="00000000">
        <w:rPr>
          <w:rtl w:val="1"/>
        </w:rPr>
        <w:t xml:space="preserve"> 2011؛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التقيد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48 - 2018 </w:t>
      </w:r>
      <w:r w:rsidDel="00000000" w:rsidR="00000000" w:rsidRPr="00000000">
        <w:rPr>
          <w:rtl w:val="1"/>
        </w:rPr>
        <w:t xml:space="preserve">المتعلق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بالتصريح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الإثراء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وتضارب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المصالح</w:t>
      </w:r>
      <w:r w:rsidDel="00000000" w:rsidR="00000000" w:rsidRPr="00000000">
        <w:rPr>
          <w:rtl w:val="1"/>
        </w:rPr>
        <w:t xml:space="preserve">؛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52-2018.</w:t>
      </w:r>
    </w:p>
    <w:p w:rsidR="00000000" w:rsidDel="00000000" w:rsidP="00000000" w:rsidRDefault="00000000" w:rsidRPr="00000000" w14:paraId="0000005D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المستندات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المطلوب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تقديمها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لإثبات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الأهلية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  <w:t xml:space="preserve">IX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معايير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الأهلية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العملية</w:t>
      </w:r>
      <w:r w:rsidDel="00000000" w:rsidR="00000000" w:rsidRPr="00000000">
        <w:rPr>
          <w:b w:val="1"/>
          <w:color w:val="00b050"/>
          <w:rtl w:val="1"/>
        </w:rPr>
        <w:t xml:space="preserve">: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bidi w:val="1"/>
        <w:ind w:left="720" w:hanging="360"/>
        <w:jc w:val="both"/>
        <w:rPr/>
      </w:pPr>
      <w:r w:rsidDel="00000000" w:rsidR="00000000" w:rsidRPr="00000000">
        <w:rPr>
          <w:b w:val="1"/>
          <w:rtl w:val="1"/>
        </w:rPr>
        <w:t xml:space="preserve">خبرة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سابقة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المرافقة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المشخصنة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الأشخاص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هشاشة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b w:val="1"/>
          <w:rtl w:val="1"/>
        </w:rPr>
        <w:t xml:space="preserve">الأشخاص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الإعاقة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ضحايا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المسرحين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والإصلاحيات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التونسيين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قصرية</w:t>
      </w:r>
      <w:r w:rsidDel="00000000" w:rsidR="00000000" w:rsidRPr="00000000">
        <w:rPr>
          <w:sz w:val="24"/>
          <w:szCs w:val="24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التمكين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المرافقة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الاجتماعية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المرافقة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الاجتماعية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المهنية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والصحة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bidi w:val="1"/>
        <w:ind w:left="720" w:hanging="360"/>
        <w:jc w:val="both"/>
        <w:rPr/>
      </w:pPr>
      <w:r w:rsidDel="00000000" w:rsidR="00000000" w:rsidRPr="00000000">
        <w:rPr>
          <w:b w:val="1"/>
          <w:rtl w:val="1"/>
        </w:rPr>
        <w:t xml:space="preserve">خبرة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سابقة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المشخصنة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قائدة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الجمعياتي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بخبرة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تعادل</w:t>
      </w:r>
      <w:r w:rsidDel="00000000" w:rsidR="00000000" w:rsidRPr="00000000">
        <w:rPr>
          <w:rtl w:val="1"/>
        </w:rPr>
        <w:t xml:space="preserve"> 50%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2022 - 2024 (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: 25,000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منحة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قدرها</w:t>
      </w:r>
      <w:r w:rsidDel="00000000" w:rsidR="00000000" w:rsidRPr="00000000">
        <w:rPr>
          <w:rtl w:val="1"/>
        </w:rPr>
        <w:t xml:space="preserve"> 50,000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اقتراحاتهم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ائتلاف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جمعياتي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قدرها</w:t>
      </w:r>
      <w:r w:rsidDel="00000000" w:rsidR="00000000" w:rsidRPr="00000000">
        <w:rPr>
          <w:rtl w:val="1"/>
        </w:rPr>
        <w:t xml:space="preserve"> 30,000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تتلقى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20%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والثانية</w:t>
      </w:r>
      <w:r w:rsidDel="00000000" w:rsidR="00000000" w:rsidRPr="00000000">
        <w:rPr>
          <w:rtl w:val="1"/>
        </w:rPr>
        <w:t xml:space="preserve"> 80%.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20%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والثاني</w:t>
      </w:r>
      <w:r w:rsidDel="00000000" w:rsidR="00000000" w:rsidRPr="00000000">
        <w:rPr>
          <w:rtl w:val="1"/>
        </w:rPr>
        <w:t xml:space="preserve"> 80%.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3,000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تعادل</w:t>
      </w:r>
      <w:r w:rsidDel="00000000" w:rsidR="00000000" w:rsidRPr="00000000">
        <w:rPr>
          <w:rtl w:val="1"/>
        </w:rPr>
        <w:t xml:space="preserve"> 12,000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الخبرات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الملحق</w:t>
      </w:r>
      <w:r w:rsidDel="00000000" w:rsidR="00000000" w:rsidRPr="00000000">
        <w:rPr>
          <w:rtl w:val="1"/>
        </w:rPr>
        <w:t xml:space="preserve"> 1).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</w:t>
      </w:r>
      <w:r w:rsidDel="00000000" w:rsidR="00000000" w:rsidRPr="00000000">
        <w:rPr>
          <w:b w:val="1"/>
          <w:rtl w:val="1"/>
        </w:rPr>
        <w:t xml:space="preserve">ئتلافات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منفصل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jc w:val="both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مشاريعكم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 5</w:t>
      </w:r>
      <w:r w:rsidDel="00000000" w:rsidR="00000000" w:rsidRPr="00000000">
        <w:rPr>
          <w:rtl w:val="1"/>
        </w:rPr>
        <w:t xml:space="preserve">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5">
      <w:pPr>
        <w:bidi w:val="1"/>
        <w:jc w:val="both"/>
        <w:rPr/>
      </w:pP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برنامج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تحدي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تمويلها</w:t>
      </w:r>
    </w:p>
    <w:p w:rsidR="00000000" w:rsidDel="00000000" w:rsidP="00000000" w:rsidRDefault="00000000" w:rsidRPr="00000000" w14:paraId="00000067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تندرج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المحاور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وجوبي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bidi w:val="1"/>
        <w:spacing w:after="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لواحدة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bidi w:val="1"/>
        <w:spacing w:after="28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B">
      <w:pPr>
        <w:jc w:val="right"/>
        <w:rPr>
          <w:b w:val="1"/>
          <w:color w:val="1f3864"/>
          <w:u w:val="single"/>
        </w:rPr>
      </w:pPr>
      <w:r w:rsidDel="00000000" w:rsidR="00000000" w:rsidRPr="00000000">
        <w:rPr>
          <w:b w:val="1"/>
          <w:color w:val="1f3864"/>
          <w:u w:val="single"/>
          <w:rtl w:val="1"/>
        </w:rPr>
        <w:t xml:space="preserve">أمثلة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على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الأنشطة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التي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يمكن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تمويلها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إطار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3864"/>
          <w:u w:val="single"/>
          <w:rtl w:val="1"/>
        </w:rPr>
        <w:t xml:space="preserve">المشروع</w:t>
      </w:r>
      <w:r w:rsidDel="00000000" w:rsidR="00000000" w:rsidRPr="00000000">
        <w:rPr>
          <w:b w:val="1"/>
          <w:color w:val="1f386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6C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والتوضيح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ترك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المدني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وشركائها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إمكانية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الملاءمة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D">
      <w:pPr>
        <w:bidi w:val="1"/>
        <w:spacing w:after="280" w:before="28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1: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الاعداد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للإدماج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والوقاية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الإقصاء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bidi w:val="1"/>
        <w:spacing w:after="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بالنفس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لتحسيس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التمييز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لتمكين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التماسك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المقصية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bidi w:val="1"/>
        <w:spacing w:after="28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لتشجيع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انفتاح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after="280" w:before="28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2: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المرافقة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لدعم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لرفع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هشاشة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الادماج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بآليات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المتاحة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للدخل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bidi w:val="1"/>
        <w:spacing w:after="280" w:before="0" w:line="240" w:lineRule="auto"/>
        <w:ind w:left="720" w:hanging="36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التيسيرية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المعقولة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التدابير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التعويضية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التكوين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79">
      <w:pPr>
        <w:bidi w:val="1"/>
        <w:spacing w:after="280" w:before="28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المحور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3: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تحسين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عملية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تحديد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الفئات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وضعيات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هشاشة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المؤهلين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للانتفاع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ببرنامج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الأمان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الاجتماعي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bidi w:val="1"/>
        <w:spacing w:after="0" w:before="280" w:line="240" w:lineRule="auto"/>
        <w:ind w:left="720" w:hanging="360"/>
        <w:rPr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المسداة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المتاحة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لاستكمال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bidi w:val="1"/>
        <w:spacing w:after="28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الفاعلين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والمصالح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. (...</w:t>
      </w:r>
      <w:r w:rsidDel="00000000" w:rsidR="00000000" w:rsidRPr="00000000">
        <w:rPr>
          <w:sz w:val="24"/>
          <w:szCs w:val="24"/>
          <w:rtl w:val="0"/>
        </w:rPr>
        <w:t xml:space="preserve">ULPS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DPS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الأنظمة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أنشطة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عرضية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ستساهم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bidi w:val="1"/>
        <w:spacing w:after="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لتشخيص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التيسيرية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المعقولة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التيسيرية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المعقولة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التشبيك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والإحالة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وأساليب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الممارسات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المتدخلين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bidi w:val="1"/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التبادلات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والتنسيق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bidi w:val="1"/>
        <w:spacing w:after="28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هشاشة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والأطراف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المتداخلة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7"/>
          <w:szCs w:val="27"/>
          <w:u w:val="none"/>
          <w:shd w:fill="auto" w:val="clear"/>
          <w:vertAlign w:val="baseline"/>
          <w:rtl w:val="1"/>
        </w:rPr>
        <w:t xml:space="preserve">المشروع</w:t>
      </w:r>
    </w:p>
    <w:p w:rsidR="00000000" w:rsidDel="00000000" w:rsidP="00000000" w:rsidRDefault="00000000" w:rsidRPr="00000000" w14:paraId="00000089">
      <w:pPr>
        <w:bidi w:val="1"/>
        <w:spacing w:after="280" w:before="28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الشراكة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A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اقتراح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جمعياتي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بالنسبة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يقتصر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3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أقصى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القائدة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الأهلية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الدعوة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تحدي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والمالية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والأدبية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المنصوص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للمنحة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بأكملها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اتفاقية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ممثلي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تحدي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إصدار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تحدي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سيكونون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التكوين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jc w:val="right"/>
        <w:rPr/>
      </w:pP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وتمنح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التوكيل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استكمال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bidi w:val="1"/>
        <w:rPr>
          <w:rFonts w:ascii="Calibri" w:cs="Calibri" w:eastAsia="Calibri" w:hAnsi="Calibri"/>
          <w:b w:val="1"/>
          <w:color w:val="4472c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المتداخلة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rtl w:val="1"/>
        </w:rPr>
        <w:t xml:space="preserve">المشروع</w:t>
      </w:r>
      <w:r w:rsidDel="00000000" w:rsidR="00000000" w:rsidRPr="00000000">
        <w:rPr>
          <w:b w:val="1"/>
          <w:color w:val="4472c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يتبنى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تعبئة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فاعلين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الوحدات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للنهوض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الهشاشة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لوضعية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المتداخلة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تتعاون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مسؤولة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تنفيذه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المتداخلة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جمعياتية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تضمين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نفقاتهم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المشروع</w:t>
      </w:r>
    </w:p>
    <w:p w:rsidR="00000000" w:rsidDel="00000000" w:rsidP="00000000" w:rsidRDefault="00000000" w:rsidRPr="00000000" w14:paraId="00000096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97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للمدة</w:t>
      </w:r>
      <w:r w:rsidDel="00000000" w:rsidR="00000000" w:rsidRPr="00000000">
        <w:rPr>
          <w:rtl w:val="1"/>
        </w:rPr>
        <w:t xml:space="preserve">: 12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98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للمدة</w:t>
      </w:r>
      <w:r w:rsidDel="00000000" w:rsidR="00000000" w:rsidRPr="00000000">
        <w:rPr>
          <w:rtl w:val="1"/>
        </w:rPr>
        <w:t xml:space="preserve">: 18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99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والنفقات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القابلة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للتمويل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C">
      <w:pPr>
        <w:bidi w:val="1"/>
        <w:jc w:val="both"/>
        <w:rPr>
          <w:color w:val="4472c4"/>
          <w:u w:val="single"/>
        </w:rPr>
      </w:pPr>
      <w:r w:rsidDel="00000000" w:rsidR="00000000" w:rsidRPr="00000000">
        <w:rPr>
          <w:color w:val="4472c4"/>
          <w:u w:val="single"/>
          <w:rtl w:val="1"/>
        </w:rPr>
        <w:t xml:space="preserve">حجم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المنح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الممنوحة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E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: 100000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F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: :199000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265000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الجمعياتي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A0">
      <w:pPr>
        <w:bidi w:val="1"/>
        <w:jc w:val="both"/>
        <w:rPr>
          <w:color w:val="4472c4"/>
          <w:u w:val="single"/>
        </w:rPr>
      </w:pPr>
      <w:r w:rsidDel="00000000" w:rsidR="00000000" w:rsidRPr="00000000">
        <w:rPr>
          <w:color w:val="4472c4"/>
          <w:u w:val="single"/>
          <w:rtl w:val="1"/>
        </w:rPr>
        <w:t xml:space="preserve">النفقات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القابلة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للتمويل</w:t>
      </w:r>
      <w:r w:rsidDel="00000000" w:rsidR="00000000" w:rsidRPr="00000000">
        <w:rPr>
          <w:color w:val="4472c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A1">
      <w:pPr>
        <w:jc w:val="right"/>
        <w:rPr/>
      </w:pP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المنجزة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2">
      <w:pPr>
        <w:jc w:val="right"/>
        <w:rPr/>
      </w:pP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الفواتير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مذكرات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إيصالات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خلاصها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سيغطي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4">
      <w:pPr>
        <w:bidi w:val="1"/>
        <w:jc w:val="both"/>
        <w:rPr/>
      </w:pP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استيفاء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التسيير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الاستهلاكية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والتكاليف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بالمقرات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التسيير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كجزء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المكلفين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الترتيبات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التيسيرية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المعقولة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أدوات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والتحسيس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التحسيس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التماسك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jc w:val="both"/>
        <w:rPr>
          <w:color w:val="4472c4"/>
          <w:u w:val="single"/>
        </w:rPr>
      </w:pPr>
      <w:r w:rsidDel="00000000" w:rsidR="00000000" w:rsidRPr="00000000">
        <w:rPr>
          <w:color w:val="4472c4"/>
          <w:u w:val="single"/>
          <w:rtl w:val="1"/>
        </w:rPr>
        <w:t xml:space="preserve">النفقات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الغير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قابلة</w:t>
      </w:r>
      <w:r w:rsidDel="00000000" w:rsidR="00000000" w:rsidRPr="00000000">
        <w:rPr>
          <w:color w:val="4472c4"/>
          <w:u w:val="single"/>
          <w:rtl w:val="1"/>
        </w:rPr>
        <w:t xml:space="preserve"> </w:t>
      </w:r>
      <w:r w:rsidDel="00000000" w:rsidR="00000000" w:rsidRPr="00000000">
        <w:rPr>
          <w:color w:val="4472c4"/>
          <w:u w:val="single"/>
          <w:rtl w:val="1"/>
        </w:rPr>
        <w:t xml:space="preserve">للتمويل</w:t>
      </w:r>
      <w:r w:rsidDel="00000000" w:rsidR="00000000" w:rsidRPr="00000000">
        <w:rPr>
          <w:color w:val="4472c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AC">
      <w:pPr>
        <w:bidi w:val="1"/>
        <w:jc w:val="both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الأراضي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الإنشاءات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والبنية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والكهرباء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الطرق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احتياطات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الخسائر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الديون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أليات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  <w:rtl w:val="1"/>
        </w:rPr>
        <w:t xml:space="preserve">الاختيار</w:t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مرحلتين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2.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B8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للمشروع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ind w:firstLine="708"/>
        <w:jc w:val="both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أ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الأولى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الاختيار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الأولي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لأفكار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BB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BC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1: </w:t>
      </w:r>
      <w:r w:rsidDel="00000000" w:rsidR="00000000" w:rsidRPr="00000000">
        <w:rPr>
          <w:b w:val="1"/>
          <w:color w:val="00b050"/>
          <w:rtl w:val="1"/>
        </w:rPr>
        <w:t xml:space="preserve">مراجعة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الأهلية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الإدارية</w:t>
      </w:r>
    </w:p>
    <w:tbl>
      <w:tblPr>
        <w:tblStyle w:val="Table2"/>
        <w:bidiVisual w:val="1"/>
        <w:tblW w:w="9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2"/>
        <w:gridCol w:w="3825"/>
        <w:gridCol w:w="1418"/>
        <w:tblGridChange w:id="0">
          <w:tblGrid>
            <w:gridCol w:w="4392"/>
            <w:gridCol w:w="3825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المعايير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الداعمة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التونسية</w:t>
            </w:r>
            <w:r w:rsidDel="00000000" w:rsidR="00000000" w:rsidRPr="00000000">
              <w:rPr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C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تأسيس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</w:t>
            </w:r>
          </w:p>
          <w:p w:rsidR="00000000" w:rsidDel="00000000" w:rsidP="00000000" w:rsidRDefault="00000000" w:rsidRPr="00000000" w14:paraId="000000C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RNE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  <w:t xml:space="preserve">☺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spacing w:after="16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إنشاؤها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منذ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سنوات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الأقل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ايداع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12 </w:t>
            </w:r>
            <w:r w:rsidDel="00000000" w:rsidR="00000000" w:rsidRPr="00000000">
              <w:rPr>
                <w:rtl w:val="1"/>
              </w:rPr>
              <w:t xml:space="preserve">مارس</w:t>
            </w:r>
            <w:r w:rsidDel="00000000" w:rsidR="00000000" w:rsidRPr="00000000">
              <w:rPr>
                <w:rtl w:val="1"/>
              </w:rPr>
              <w:t xml:space="preserve"> 2025</w:t>
            </w:r>
          </w:p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تأسيس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</w:t>
            </w:r>
          </w:p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مستقلة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الأحزاب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الحركات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السياسية</w:t>
            </w:r>
            <w:r w:rsidDel="00000000" w:rsidR="00000000" w:rsidRPr="00000000">
              <w:rPr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يشهد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نائب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نائبيه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حيثما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ينطبق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والكاتب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ليسوا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حزب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سياسي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الملحق</w:t>
            </w:r>
            <w:r w:rsidDel="00000000" w:rsidR="00000000" w:rsidRPr="00000000">
              <w:rPr>
                <w:rtl w:val="1"/>
              </w:rPr>
              <w:t xml:space="preserve"> 5)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طبقا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المرسوم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88 </w:t>
            </w:r>
            <w:r w:rsidDel="00000000" w:rsidR="00000000" w:rsidRPr="00000000">
              <w:rPr>
                <w:rtl w:val="1"/>
              </w:rPr>
              <w:t xml:space="preserve">لسنة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جلسة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</w:p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لمراقب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48 </w:t>
            </w:r>
            <w:r w:rsidDel="00000000" w:rsidR="00000000" w:rsidRPr="00000000">
              <w:rPr>
                <w:rtl w:val="1"/>
              </w:rPr>
              <w:t xml:space="preserve">لسنة</w:t>
            </w:r>
            <w:r w:rsidDel="00000000" w:rsidR="00000000" w:rsidRPr="00000000">
              <w:rPr>
                <w:rtl w:val="1"/>
              </w:rPr>
              <w:t xml:space="preserve"> 2018 </w:t>
            </w:r>
            <w:r w:rsidDel="00000000" w:rsidR="00000000" w:rsidRPr="00000000">
              <w:rPr>
                <w:rtl w:val="1"/>
              </w:rPr>
              <w:t xml:space="preserve">المتعلق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والمصالح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ومكافحة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الإثراء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وتضارب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المصالح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لمراقب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bidi w:val="1"/>
              <w:spacing w:after="200" w:line="276" w:lineRule="auto"/>
              <w:rPr/>
            </w:pP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طبقا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52-2018.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RNE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E1">
            <w:pPr>
              <w:bidi w:val="1"/>
              <w:ind w:left="-1057" w:firstLine="1057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bidi w:val="1"/>
              <w:spacing w:after="200" w:line="276" w:lineRule="auto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الضرائب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للضمان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الضريبية</w:t>
            </w:r>
          </w:p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رصيد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CNSS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</w:tbl>
    <w:p w:rsidR="00000000" w:rsidDel="00000000" w:rsidP="00000000" w:rsidRDefault="00000000" w:rsidRPr="00000000" w14:paraId="000000E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المؤهلة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للخطوة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استفاءها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الجمعياتي</w:t>
      </w:r>
      <w:r w:rsidDel="00000000" w:rsidR="00000000" w:rsidRPr="00000000">
        <w:rPr>
          <w:b w:val="1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بأكمله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مؤهل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A">
      <w:pPr>
        <w:bidi w:val="1"/>
        <w:rPr/>
      </w:pP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تحدي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أقصاها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نهائي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EC">
      <w:pPr>
        <w:bidi w:val="1"/>
        <w:rPr/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2     :  </w:t>
      </w:r>
      <w:r w:rsidDel="00000000" w:rsidR="00000000" w:rsidRPr="00000000">
        <w:rPr>
          <w:b w:val="1"/>
          <w:color w:val="00b050"/>
          <w:rtl w:val="1"/>
        </w:rPr>
        <w:t xml:space="preserve">مراجعة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الاهلية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العملية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2835"/>
        <w:gridCol w:w="1418"/>
        <w:tblGridChange w:id="0">
          <w:tblGrid>
            <w:gridCol w:w="5382"/>
            <w:gridCol w:w="2835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المعايير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الداعمة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الاقتصادي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النفسية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والصحة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للمنظمة</w:t>
            </w:r>
          </w:p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والأنشطة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F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المشخصنة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الأولوية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وتشمل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هشاشة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هشاشة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الفتيات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النساء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محدودة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ضحايا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العنف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المسرحين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السجون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والإصلاحيات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التونسيين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العائدين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طوعية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قصرية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0F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الفردية</w:t>
            </w:r>
            <w:r w:rsidDel="00000000" w:rsidR="00000000" w:rsidRPr="00000000">
              <w:rPr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F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 /   </w:t>
            </w: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قائدة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الائتلاف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الجمعياتي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ولذلك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ميزانية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تعادل</w:t>
            </w:r>
            <w:r w:rsidDel="00000000" w:rsidR="00000000" w:rsidRPr="00000000">
              <w:rPr>
                <w:rtl w:val="1"/>
              </w:rPr>
              <w:t xml:space="preserve"> 50%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الفترة</w:t>
            </w:r>
            <w:r w:rsidDel="00000000" w:rsidR="00000000" w:rsidRPr="00000000">
              <w:rPr>
                <w:rtl w:val="1"/>
              </w:rPr>
              <w:t xml:space="preserve"> 2022 - 2024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 /   </w:t>
            </w: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والمانحين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</w:tbl>
    <w:p w:rsidR="00000000" w:rsidDel="00000000" w:rsidP="00000000" w:rsidRDefault="00000000" w:rsidRPr="00000000" w14:paraId="0000010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jc w:val="both"/>
        <w:rPr>
          <w:color w:val="000000"/>
          <w:u w:val="single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الهيئة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fldChar w:fldCharType="begin"/>
        <w:instrText xml:space="preserve"> HYPERLINK "https://www.social.gov.tn/fr/node/4306"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الائتلافبأكمله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10A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للخطوة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استفاءها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بأكمله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rPr/>
      </w:pP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0C">
      <w:pPr>
        <w:bidi w:val="1"/>
        <w:rPr/>
      </w:pP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الاستلام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10D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الثالثة</w:t>
      </w:r>
      <w:r w:rsidDel="00000000" w:rsidR="00000000" w:rsidRPr="00000000">
        <w:rPr>
          <w:b w:val="1"/>
          <w:color w:val="00b050"/>
          <w:rtl w:val="1"/>
        </w:rPr>
        <w:t xml:space="preserve">: </w:t>
      </w:r>
      <w:r w:rsidDel="00000000" w:rsidR="00000000" w:rsidRPr="00000000">
        <w:rPr>
          <w:b w:val="1"/>
          <w:color w:val="00b050"/>
          <w:rtl w:val="1"/>
        </w:rPr>
        <w:t xml:space="preserve">تحليل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فكرة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المشروع</w:t>
      </w:r>
    </w:p>
    <w:p w:rsidR="00000000" w:rsidDel="00000000" w:rsidP="00000000" w:rsidRDefault="00000000" w:rsidRPr="00000000" w14:paraId="0000010E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</w:p>
    <w:tbl>
      <w:tblPr>
        <w:tblStyle w:val="Table4"/>
        <w:bidiVisual w:val="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1843"/>
        <w:tblGridChange w:id="0">
          <w:tblGrid>
            <w:gridCol w:w="807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ind w:left="28" w:firstLine="0"/>
              <w:jc w:val="center"/>
              <w:rPr>
                <w:b w:val="1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فكرة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الأقصى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النقاط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مراكز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والدفاع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والوحدات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للنهوض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ستلعبها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المتداخلة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  <w:p w:rsidR="00000000" w:rsidDel="00000000" w:rsidP="00000000" w:rsidRDefault="00000000" w:rsidRPr="00000000" w14:paraId="00000115">
            <w:pPr>
              <w:bidi w:val="1"/>
              <w:ind w:left="28" w:firstLine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المشخصنة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والمقاربة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الركائز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  <w:r w:rsidDel="00000000" w:rsidR="00000000" w:rsidRPr="00000000">
              <w:rPr>
                <w:rtl w:val="1"/>
              </w:rPr>
              <w:t xml:space="preserve">   </w:t>
            </w:r>
            <w:r w:rsidDel="00000000" w:rsidR="00000000" w:rsidRPr="00000000">
              <w:rPr>
                <w:rtl w:val="1"/>
              </w:rPr>
              <w:t xml:space="preserve">وللتدخل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ويستوجب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أولي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للمنهج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8">
            <w:pPr>
              <w:bidi w:val="1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التمييز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تقليل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الولوج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التماسك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إلخ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1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أو</w:t>
            </w:r>
          </w:p>
          <w:p w:rsidR="00000000" w:rsidDel="00000000" w:rsidP="00000000" w:rsidRDefault="00000000" w:rsidRPr="00000000" w14:paraId="0000011C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المترشحة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bidi w:val="1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متلائمة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المنشود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ومتناسقة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بينها</w:t>
            </w:r>
          </w:p>
          <w:p w:rsidR="00000000" w:rsidDel="00000000" w:rsidP="00000000" w:rsidRDefault="00000000" w:rsidRPr="00000000" w14:paraId="00000120">
            <w:pPr>
              <w:bidi w:val="1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المستفيدين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بوضوح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تؤدي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هشاشتهمفي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التدخل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3">
            <w:pPr>
              <w:bidi w:val="1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تسلط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الضوء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مقاربة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وتأخذ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الاعتبارالفئات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تعرض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للتمييز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ذوو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الإعاقة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والنساء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ضحايا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العنف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والفتيات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</w:p>
          <w:p w:rsidR="00000000" w:rsidDel="00000000" w:rsidP="00000000" w:rsidRDefault="00000000" w:rsidRPr="00000000" w14:paraId="00000126">
            <w:pPr>
              <w:bidi w:val="1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والميزانية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الموضوعة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واقعية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المنشود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تتوافق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bidi w:val="1"/>
              <w:ind w:left="28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12E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4: </w:t>
      </w:r>
      <w:r w:rsidDel="00000000" w:rsidR="00000000" w:rsidRPr="00000000">
        <w:rPr>
          <w:b w:val="1"/>
          <w:color w:val="00b050"/>
          <w:rtl w:val="1"/>
        </w:rPr>
        <w:t xml:space="preserve">التحقق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من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صحة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قائمة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منظمات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المجتمع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المدني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المختارة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أوليا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مع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لجنة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الاختيار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الجهوية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ثم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مع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الهيئة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العامة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للنهوض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b w:val="1"/>
          <w:color w:val="00b050"/>
          <w:sz w:val="24"/>
          <w:szCs w:val="24"/>
          <w:rtl w:val="1"/>
        </w:rPr>
        <w:t xml:space="preserve">.</w:t>
      </w:r>
      <w:r w:rsidDel="00000000" w:rsidR="00000000" w:rsidRPr="00000000">
        <w:fldChar w:fldCharType="begin"/>
        <w:instrText xml:space="preserve"> HYPERLINK "https://www.social.gov.tn/fr/node/4306"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jc w:val="both"/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3  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20 (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60%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3)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3)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3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لهيئة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ستتضمن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الأقل</w:t>
      </w:r>
      <w:r w:rsidDel="00000000" w:rsidR="00000000" w:rsidRPr="00000000">
        <w:rPr>
          <w:sz w:val="24"/>
          <w:szCs w:val="24"/>
          <w:rtl w:val="1"/>
        </w:rPr>
        <w:t xml:space="preserve"> 12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35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للجنة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المنضمات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appel-a-projet-defis@outlook.com.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ind w:firstLine="708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1"/>
        </w:rPr>
        <w:t xml:space="preserve">ب</w:t>
      </w:r>
      <w:r w:rsidDel="00000000" w:rsidR="00000000" w:rsidRPr="00000000">
        <w:rPr>
          <w:b w:val="1"/>
          <w:color w:val="4472c4"/>
          <w:rtl w:val="1"/>
        </w:rPr>
        <w:t xml:space="preserve">. </w:t>
      </w:r>
      <w:r w:rsidDel="00000000" w:rsidR="00000000" w:rsidRPr="00000000">
        <w:rPr>
          <w:b w:val="1"/>
          <w:color w:val="4472c4"/>
          <w:rtl w:val="1"/>
        </w:rPr>
        <w:t xml:space="preserve">المرحلة</w:t>
      </w:r>
      <w:r w:rsidDel="00000000" w:rsidR="00000000" w:rsidRPr="00000000">
        <w:rPr>
          <w:b w:val="1"/>
          <w:color w:val="4472c4"/>
          <w:rtl w:val="1"/>
        </w:rPr>
        <w:t xml:space="preserve"> 2. </w:t>
      </w:r>
      <w:r w:rsidDel="00000000" w:rsidR="00000000" w:rsidRPr="00000000">
        <w:rPr>
          <w:b w:val="1"/>
          <w:color w:val="4472c4"/>
          <w:rtl w:val="1"/>
        </w:rPr>
        <w:t xml:space="preserve">عملية</w:t>
      </w:r>
      <w:r w:rsidDel="00000000" w:rsidR="00000000" w:rsidRPr="00000000">
        <w:rPr>
          <w:b w:val="1"/>
          <w:color w:val="4472c4"/>
          <w:rtl w:val="1"/>
        </w:rPr>
        <w:t xml:space="preserve"> </w:t>
      </w:r>
      <w:r w:rsidDel="00000000" w:rsidR="00000000" w:rsidRPr="00000000">
        <w:rPr>
          <w:b w:val="1"/>
          <w:color w:val="4472c4"/>
          <w:rtl w:val="1"/>
        </w:rPr>
        <w:t xml:space="preserve">الحضانة</w:t>
      </w:r>
      <w:r w:rsidDel="00000000" w:rsidR="00000000" w:rsidRPr="00000000">
        <w:rPr>
          <w:b w:val="1"/>
          <w:color w:val="4472c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jc w:val="both"/>
        <w:rPr/>
      </w:pP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اجباري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ستمتد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حولي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أقصى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38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ائتلاف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بإمكان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ومبررة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39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جماعية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ستتم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اختيارها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محاور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التدريبالتي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يرغبون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الحصصإلزامية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اختياري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فردية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ممثلي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الجلسات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حصتان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مبادرة</w:t>
      </w:r>
    </w:p>
    <w:p w:rsidR="00000000" w:rsidDel="00000000" w:rsidP="00000000" w:rsidRDefault="00000000" w:rsidRPr="00000000" w14:paraId="0000013C">
      <w:pPr>
        <w:bidi w:val="1"/>
        <w:jc w:val="both"/>
        <w:rPr/>
      </w:pP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تلتزم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3D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ind w:firstLine="708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1"/>
        </w:rPr>
        <w:t xml:space="preserve">ج</w:t>
      </w:r>
      <w:r w:rsidDel="00000000" w:rsidR="00000000" w:rsidRPr="00000000">
        <w:rPr>
          <w:b w:val="1"/>
          <w:color w:val="4472c4"/>
          <w:rtl w:val="1"/>
        </w:rPr>
        <w:t xml:space="preserve">. </w:t>
      </w:r>
      <w:r w:rsidDel="00000000" w:rsidR="00000000" w:rsidRPr="00000000">
        <w:rPr>
          <w:b w:val="1"/>
          <w:color w:val="4472c4"/>
          <w:rtl w:val="1"/>
        </w:rPr>
        <w:t xml:space="preserve">المرحلة</w:t>
      </w:r>
      <w:r w:rsidDel="00000000" w:rsidR="00000000" w:rsidRPr="00000000">
        <w:rPr>
          <w:b w:val="1"/>
          <w:color w:val="4472c4"/>
          <w:rtl w:val="1"/>
        </w:rPr>
        <w:t xml:space="preserve"> 3.  </w:t>
      </w:r>
      <w:r w:rsidDel="00000000" w:rsidR="00000000" w:rsidRPr="00000000">
        <w:rPr>
          <w:b w:val="1"/>
          <w:color w:val="4472c4"/>
          <w:rtl w:val="1"/>
        </w:rPr>
        <w:t xml:space="preserve">الاختيار</w:t>
      </w:r>
      <w:r w:rsidDel="00000000" w:rsidR="00000000" w:rsidRPr="00000000">
        <w:rPr>
          <w:b w:val="1"/>
          <w:color w:val="4472c4"/>
          <w:rtl w:val="1"/>
        </w:rPr>
        <w:t xml:space="preserve"> </w:t>
      </w:r>
      <w:r w:rsidDel="00000000" w:rsidR="00000000" w:rsidRPr="00000000">
        <w:rPr>
          <w:b w:val="1"/>
          <w:color w:val="4472c4"/>
          <w:rtl w:val="1"/>
        </w:rPr>
        <w:t xml:space="preserve">النهائي</w:t>
      </w:r>
      <w:r w:rsidDel="00000000" w:rsidR="00000000" w:rsidRPr="00000000">
        <w:rPr>
          <w:b w:val="1"/>
          <w:color w:val="4472c4"/>
          <w:rtl w:val="1"/>
        </w:rPr>
        <w:t xml:space="preserve"> </w:t>
      </w:r>
      <w:r w:rsidDel="00000000" w:rsidR="00000000" w:rsidRPr="00000000">
        <w:rPr>
          <w:b w:val="1"/>
          <w:color w:val="4472c4"/>
          <w:rtl w:val="1"/>
        </w:rPr>
        <w:t xml:space="preserve">للمشاريع</w:t>
      </w:r>
      <w:r w:rsidDel="00000000" w:rsidR="00000000" w:rsidRPr="00000000">
        <w:rPr>
          <w:b w:val="1"/>
          <w:color w:val="4472c4"/>
          <w:rtl w:val="1"/>
        </w:rPr>
        <w:t xml:space="preserve">   </w:t>
      </w:r>
      <w:r w:rsidDel="00000000" w:rsidR="00000000" w:rsidRPr="00000000">
        <w:rPr>
          <w:b w:val="1"/>
          <w:color w:val="4472c4"/>
          <w:rtl w:val="1"/>
        </w:rPr>
        <w:t xml:space="preserve">الكاملة</w:t>
      </w:r>
      <w:r w:rsidDel="00000000" w:rsidR="00000000" w:rsidRPr="00000000">
        <w:rPr>
          <w:b w:val="1"/>
          <w:color w:val="4472c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الأولى</w:t>
      </w:r>
      <w:r w:rsidDel="00000000" w:rsidR="00000000" w:rsidRPr="00000000">
        <w:rPr>
          <w:b w:val="1"/>
          <w:color w:val="00b050"/>
          <w:rtl w:val="1"/>
        </w:rPr>
        <w:t xml:space="preserve">: </w:t>
      </w:r>
      <w:r w:rsidDel="00000000" w:rsidR="00000000" w:rsidRPr="00000000">
        <w:rPr>
          <w:b w:val="1"/>
          <w:color w:val="00b050"/>
          <w:rtl w:val="1"/>
        </w:rPr>
        <w:t xml:space="preserve">مراجعة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أهلية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الطلب</w:t>
      </w:r>
    </w:p>
    <w:tbl>
      <w:tblPr>
        <w:tblStyle w:val="Table5"/>
        <w:bidiVisual w:val="1"/>
        <w:tblW w:w="62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1418"/>
        <w:tblGridChange w:id="0">
          <w:tblGrid>
            <w:gridCol w:w="4815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معايير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استمارة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كاملة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استمارة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مكتملة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إيداع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المنظمة</w:t>
            </w:r>
            <w:r w:rsidDel="00000000" w:rsidR="00000000" w:rsidRPr="00000000">
              <w:rPr>
                <w:rtl w:val="1"/>
              </w:rPr>
              <w:t xml:space="preserve"> ( (</w:t>
            </w:r>
            <w:r w:rsidDel="00000000" w:rsidR="00000000" w:rsidRPr="00000000">
              <w:rPr>
                <w:rtl w:val="1"/>
              </w:rPr>
              <w:t xml:space="preserve">قائد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الائتلافإن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أمكن</w:t>
            </w:r>
            <w:r w:rsidDel="00000000" w:rsidR="00000000" w:rsidRPr="00000000">
              <w:rPr>
                <w:rtl w:val="1"/>
              </w:rPr>
              <w:t xml:space="preserve">) ، </w:t>
            </w:r>
            <w:r w:rsidDel="00000000" w:rsidR="00000000" w:rsidRPr="00000000">
              <w:rPr>
                <w:rtl w:val="1"/>
              </w:rPr>
              <w:t xml:space="preserve">معايير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الاقتراح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باطلاعها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محدثة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المديرة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اللجنة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التوجيهية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  <w:t xml:space="preserve">☺</w:t>
            </w:r>
          </w:p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يتناسب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للدعوة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فردية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4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ويتضمن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المقاربة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4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المناطق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الجغرافية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حددتها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تتراوح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12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18 </w:t>
            </w:r>
            <w:r w:rsidDel="00000000" w:rsidR="00000000" w:rsidRPr="00000000">
              <w:rPr>
                <w:rtl w:val="1"/>
              </w:rPr>
              <w:t xml:space="preserve">شهرا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الأقصى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الأقصى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التسيير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☺</w:t>
            </w:r>
          </w:p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</w:tbl>
    <w:p w:rsidR="00000000" w:rsidDel="00000000" w:rsidP="00000000" w:rsidRDefault="00000000" w:rsidRPr="00000000" w14:paraId="0000015C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للقبول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5D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الثانية</w:t>
      </w:r>
      <w:r w:rsidDel="00000000" w:rsidR="00000000" w:rsidRPr="00000000">
        <w:rPr>
          <w:b w:val="1"/>
          <w:color w:val="00b050"/>
          <w:rtl w:val="1"/>
        </w:rPr>
        <w:t xml:space="preserve">: </w:t>
      </w:r>
      <w:r w:rsidDel="00000000" w:rsidR="00000000" w:rsidRPr="00000000">
        <w:rPr>
          <w:b w:val="1"/>
          <w:color w:val="00b050"/>
          <w:rtl w:val="1"/>
        </w:rPr>
        <w:t xml:space="preserve">تحليل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المشروع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بالكامل</w:t>
      </w:r>
    </w:p>
    <w:p w:rsidR="00000000" w:rsidDel="00000000" w:rsidP="00000000" w:rsidRDefault="00000000" w:rsidRPr="00000000" w14:paraId="0000015F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1843"/>
        <w:tblGridChange w:id="0">
          <w:tblGrid>
            <w:gridCol w:w="807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bidi w:val="1"/>
              <w:ind w:left="2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الكاملة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الأقصى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النقاط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bidi w:val="1"/>
              <w:ind w:left="2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1"/>
              </w:rPr>
              <w:t xml:space="preserve">يلبي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أهداف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الأبعاد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للهشاشة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الاعتبار</w:t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مصممة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بطريقة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متناسقة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لتلبية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احتياجات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بطريقة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1"/>
              </w:rPr>
              <w:t xml:space="preserve">يستجيب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لتحديات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C">
            <w:pPr>
              <w:bidi w:val="1"/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bidi w:val="1"/>
              <w:ind w:left="2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إمكانية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ويعكس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متينا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المطروحة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وقدرات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المتداخلة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المعنية</w:t>
            </w:r>
            <w:r w:rsidDel="00000000" w:rsidR="00000000" w:rsidRPr="00000000">
              <w:rPr>
                <w:rtl w:val="1"/>
              </w:rPr>
              <w:t xml:space="preserve">  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المعنيين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متماسكة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وقابلة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المحلي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المتداخلة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وتوضيح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تشريك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الوحدة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للنهوض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والفاعلين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ناجح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متماسكة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وواقعية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المخاطر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الناجمة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بالحماية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مقترحات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المقاربات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يركزالمشروع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العمليةمع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الفاعلين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استجابة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للأشخاصفي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هشاشة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آليات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يقدمها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تتمحور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وتشجع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المصير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واستدامة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يخطط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لإجراء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تعديلات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لتأخذ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واحتياجاتهم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الاتلاف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يضم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الإعاقة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bidi w:val="1"/>
              <w:ind w:left="2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الإدارة</w:t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تتوافق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المرصودة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المجهود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اللازمة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للمراقبة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تتمظهر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النفقات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قابلة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للتمويل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واقعية</w:t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الأقصى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لتكلفة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التسيير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bidi w:val="1"/>
              <w:ind w:left="2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198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bidi w:val="1"/>
        <w:rPr/>
      </w:pP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المراجعة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DEFIS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ميزانيته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احتسابها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19A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3: </w:t>
      </w:r>
      <w:r w:rsidDel="00000000" w:rsidR="00000000" w:rsidRPr="00000000">
        <w:rPr>
          <w:b w:val="1"/>
          <w:color w:val="00b050"/>
          <w:rtl w:val="1"/>
        </w:rPr>
        <w:t xml:space="preserve">التحقق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من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صحة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نتائج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التحليل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من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قبل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لجنة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الاختيار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الوطنية</w:t>
      </w:r>
    </w:p>
    <w:p w:rsidR="00000000" w:rsidDel="00000000" w:rsidP="00000000" w:rsidRDefault="00000000" w:rsidRPr="00000000" w14:paraId="0000019C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المرحلتين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9D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45 (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60%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). )</w:t>
      </w:r>
    </w:p>
    <w:p w:rsidR="00000000" w:rsidDel="00000000" w:rsidP="00000000" w:rsidRDefault="00000000" w:rsidRPr="00000000" w14:paraId="0000019E">
      <w:pPr>
        <w:bidi w:val="1"/>
        <w:jc w:val="both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المنضمات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appel-a-projet-defis@outlook.com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bidi w:val="1"/>
        <w:jc w:val="both"/>
        <w:rPr>
          <w:b w:val="1"/>
        </w:rPr>
      </w:pPr>
      <w:r w:rsidDel="00000000" w:rsidR="00000000" w:rsidRPr="00000000">
        <w:rPr>
          <w:rtl w:val="1"/>
        </w:rPr>
        <w:t xml:space="preserve">ستتم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تحفيزية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4: </w:t>
      </w:r>
      <w:r w:rsidDel="00000000" w:rsidR="00000000" w:rsidRPr="00000000">
        <w:rPr>
          <w:b w:val="1"/>
          <w:color w:val="00b050"/>
          <w:rtl w:val="1"/>
        </w:rPr>
        <w:t xml:space="preserve">المقابلة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التحفيزية</w:t>
      </w:r>
      <w:r w:rsidDel="00000000" w:rsidR="00000000" w:rsidRPr="00000000">
        <w:rPr>
          <w:b w:val="1"/>
          <w:color w:val="00b050"/>
          <w:rtl w:val="1"/>
        </w:rPr>
        <w:t xml:space="preserve"> </w:t>
      </w:r>
    </w:p>
    <w:p w:rsidR="00000000" w:rsidDel="00000000" w:rsidP="00000000" w:rsidRDefault="00000000" w:rsidRPr="00000000" w14:paraId="000001A1">
      <w:pPr>
        <w:bidi w:val="1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ستتم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المقابلة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التحفيزية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بحضور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ممثلين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اثنين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المتقدمة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بالنسبة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للإتلاف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يشارك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القائدة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مكونة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للإتلاف</w:t>
      </w:r>
      <w:r w:rsidDel="00000000" w:rsidR="00000000" w:rsidRPr="00000000">
        <w:rPr>
          <w:b w:val="1"/>
          <w:rtl w:val="1"/>
        </w:rPr>
        <w:t xml:space="preserve">.  </w:t>
      </w:r>
    </w:p>
    <w:p w:rsidR="00000000" w:rsidDel="00000000" w:rsidP="00000000" w:rsidRDefault="00000000" w:rsidRPr="00000000" w14:paraId="000001A2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1843"/>
        <w:tblGridChange w:id="0">
          <w:tblGrid>
            <w:gridCol w:w="807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bidi w:val="1"/>
              <w:ind w:left="2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المقابلة</w:t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الأقصى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النقاط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بالهشاشة</w:t>
            </w:r>
            <w:r w:rsidDel="00000000" w:rsidR="00000000" w:rsidRPr="00000000">
              <w:rPr>
                <w:rtl w:val="1"/>
              </w:rPr>
              <w:t xml:space="preserve">   </w:t>
            </w:r>
            <w:r w:rsidDel="00000000" w:rsidR="00000000" w:rsidRPr="00000000">
              <w:rPr>
                <w:rtl w:val="1"/>
              </w:rPr>
              <w:t xml:space="preserve">والادماج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المنطقة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إتقان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كجزء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رؤية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استراتيجية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المتداخلةبالقطاعات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والجوانب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منظمات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bidi w:val="1"/>
              <w:ind w:left="28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بتحديات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والوقاية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rtl w:val="1"/>
              </w:rPr>
              <w:t xml:space="preserve">المقابلة</w:t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B1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jc w:val="both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60 (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60٪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1B3">
      <w:pPr>
        <w:bidi w:val="1"/>
        <w:jc w:val="both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1"/>
        </w:rPr>
        <w:t xml:space="preserve">الخطوة</w:t>
      </w:r>
      <w:r w:rsidDel="00000000" w:rsidR="00000000" w:rsidRPr="00000000">
        <w:rPr>
          <w:b w:val="1"/>
          <w:color w:val="00b050"/>
          <w:rtl w:val="1"/>
        </w:rPr>
        <w:t xml:space="preserve"> 5: </w:t>
      </w:r>
      <w:r w:rsidDel="00000000" w:rsidR="00000000" w:rsidRPr="00000000">
        <w:rPr>
          <w:b w:val="1"/>
          <w:color w:val="00b050"/>
          <w:rtl w:val="1"/>
        </w:rPr>
        <w:t xml:space="preserve">التحقق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النهائي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من</w:t>
      </w:r>
      <w:r w:rsidDel="00000000" w:rsidR="00000000" w:rsidRPr="00000000">
        <w:rPr>
          <w:b w:val="1"/>
          <w:color w:val="00b050"/>
          <w:rtl w:val="1"/>
        </w:rPr>
        <w:t xml:space="preserve"> </w:t>
      </w:r>
      <w:r w:rsidDel="00000000" w:rsidR="00000000" w:rsidRPr="00000000">
        <w:rPr>
          <w:b w:val="1"/>
          <w:color w:val="00b050"/>
          <w:rtl w:val="1"/>
        </w:rPr>
        <w:t xml:space="preserve">المشاريع</w:t>
      </w:r>
    </w:p>
    <w:p w:rsidR="00000000" w:rsidDel="00000000" w:rsidP="00000000" w:rsidRDefault="00000000" w:rsidRPr="00000000" w14:paraId="000001B4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إعدادها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. ، </w:t>
      </w:r>
      <w:r w:rsidDel="00000000" w:rsidR="00000000" w:rsidRPr="00000000">
        <w:rPr>
          <w:rtl w:val="1"/>
        </w:rPr>
        <w:t xml:space="preserve">ستتأكد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الجغرافي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المحاور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B5">
      <w:pPr>
        <w:bidi w:val="1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ستولي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رصدها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الحضانة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مساهمات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وتفاعلهم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المنضمات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appel-a-projet-defis@outlook.com  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rPr>
          <w:b w:val="1"/>
          <w:color w:val="ed7d31"/>
          <w:sz w:val="24"/>
          <w:szCs w:val="24"/>
        </w:rPr>
      </w:pP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شروط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التقديم</w:t>
      </w:r>
    </w:p>
    <w:p w:rsidR="00000000" w:rsidDel="00000000" w:rsidP="00000000" w:rsidRDefault="00000000" w:rsidRPr="00000000" w14:paraId="000001B9">
      <w:pPr>
        <w:bidi w:val="1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إكمال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الفرنسية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BA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إلكتروني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BB">
      <w:pPr>
        <w:bidi w:val="1"/>
        <w:rPr/>
      </w:pPr>
      <w:r w:rsidDel="00000000" w:rsidR="00000000" w:rsidRPr="00000000">
        <w:rPr>
          <w:rtl w:val="0"/>
        </w:rPr>
        <w:t xml:space="preserve">appel-a-projet-defis@outlook.com.</w:t>
      </w:r>
    </w:p>
    <w:p w:rsidR="00000000" w:rsidDel="00000000" w:rsidP="00000000" w:rsidRDefault="00000000" w:rsidRPr="00000000" w14:paraId="000001BC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النهائيبصفة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.</w:t>
      </w:r>
    </w:p>
    <w:tbl>
      <w:tblPr>
        <w:tblStyle w:val="Table8"/>
        <w:bidiVisual w:val="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النهائي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12/03/2025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الساعة</w:t>
            </w:r>
            <w:r w:rsidDel="00000000" w:rsidR="00000000" w:rsidRPr="00000000">
              <w:rPr>
                <w:rtl w:val="1"/>
              </w:rPr>
              <w:t xml:space="preserve"> 23.59</w:t>
            </w:r>
          </w:p>
          <w:p w:rsidR="00000000" w:rsidDel="00000000" w:rsidP="00000000" w:rsidRDefault="00000000" w:rsidRPr="00000000" w14:paraId="000001C1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كامل</w:t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31/07/2025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الساعة</w:t>
            </w:r>
            <w:r w:rsidDel="00000000" w:rsidR="00000000" w:rsidRPr="00000000">
              <w:rPr>
                <w:rtl w:val="1"/>
              </w:rPr>
              <w:t xml:space="preserve"> 23.59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rPr>
          <w:color w:val="ed7d31"/>
        </w:rPr>
      </w:pP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الدعوة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لتقديم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تغطيها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المهتمة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للاستفسار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C7">
      <w:pPr>
        <w:bidi w:val="1"/>
        <w:jc w:val="both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C8">
      <w:pPr>
        <w:bidi w:val="1"/>
        <w:jc w:val="both"/>
        <w:rPr/>
      </w:pP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C9">
      <w:pPr>
        <w:bidi w:val="1"/>
        <w:jc w:val="both"/>
        <w:rPr/>
      </w:pP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DEFIS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CA">
      <w:pPr>
        <w:bidi w:val="1"/>
        <w:jc w:val="both"/>
        <w:rPr/>
      </w:pP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DEFIS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الاعلام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CB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jc w:val="both"/>
        <w:rPr>
          <w:color w:val="ed7d31"/>
          <w:sz w:val="32"/>
          <w:szCs w:val="32"/>
        </w:rPr>
      </w:pP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جدول</w:t>
      </w: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جلسات</w:t>
      </w: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الاعلام</w:t>
      </w:r>
      <w:r w:rsidDel="00000000" w:rsidR="00000000" w:rsidRPr="00000000">
        <w:rPr>
          <w:color w:val="ed7d3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المنطقة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الجغرافية</w:t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والمكان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قابس</w:t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11/02/2025 , </w:t>
            </w:r>
            <w:r w:rsidDel="00000000" w:rsidR="00000000" w:rsidRPr="00000000">
              <w:rPr>
                <w:rtl w:val="1"/>
              </w:rPr>
              <w:t xml:space="preserve">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شمس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القيروان</w:t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10/02/2025 ,</w:t>
            </w:r>
            <w:r w:rsidDel="00000000" w:rsidR="00000000" w:rsidRPr="00000000">
              <w:rPr>
                <w:rtl w:val="1"/>
              </w:rPr>
              <w:t xml:space="preserve">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القاري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سيدي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بوزيد</w:t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11/02/2025 , </w:t>
            </w:r>
            <w:r w:rsidDel="00000000" w:rsidR="00000000" w:rsidRPr="00000000">
              <w:rPr>
                <w:rtl w:val="1"/>
              </w:rPr>
              <w:t xml:space="preserve">مركب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شباب</w:t>
            </w:r>
            <w:r w:rsidDel="00000000" w:rsidR="00000000" w:rsidRPr="00000000">
              <w:rPr>
                <w:rtl w:val="1"/>
              </w:rPr>
              <w:t xml:space="preserve"> 17 </w:t>
            </w:r>
            <w:r w:rsidDel="00000000" w:rsidR="00000000" w:rsidRPr="00000000">
              <w:rPr>
                <w:rtl w:val="1"/>
              </w:rPr>
              <w:t xml:space="preserve">ديسمبر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تونس</w:t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10/02/2025 , </w:t>
            </w:r>
            <w:r w:rsidDel="00000000" w:rsidR="00000000" w:rsidRPr="00000000">
              <w:rPr>
                <w:rtl w:val="1"/>
              </w:rPr>
              <w:t xml:space="preserve">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المشتل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جلسة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07 </w:t>
      </w:r>
      <w:r w:rsidDel="00000000" w:rsidR="00000000" w:rsidRPr="00000000">
        <w:rPr>
          <w:b w:val="1"/>
          <w:rtl w:val="1"/>
        </w:rPr>
        <w:t xml:space="preserve">فيفري</w:t>
      </w:r>
      <w:r w:rsidDel="00000000" w:rsidR="00000000" w:rsidRPr="00000000">
        <w:rPr>
          <w:b w:val="1"/>
          <w:rtl w:val="1"/>
        </w:rPr>
        <w:t xml:space="preserve"> 2025 </w:t>
      </w:r>
    </w:p>
    <w:p w:rsidR="00000000" w:rsidDel="00000000" w:rsidP="00000000" w:rsidRDefault="00000000" w:rsidRPr="00000000" w14:paraId="000001D8">
      <w:pPr>
        <w:bidi w:val="1"/>
        <w:rPr>
          <w:b w:val="1"/>
          <w:highlight w:val="yellow"/>
        </w:rPr>
      </w:pPr>
      <w:r w:rsidDel="00000000" w:rsidR="00000000" w:rsidRPr="00000000">
        <w:rPr>
          <w:b w:val="1"/>
          <w:rtl w:val="1"/>
        </w:rPr>
        <w:t xml:space="preserve">الرابط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right"/>
        <w:rPr/>
      </w:pP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000000"/>
            <w:u w:val="single"/>
            <w:rtl w:val="0"/>
          </w:rPr>
          <w:t xml:space="preserve">https://teams.microsoft.com/l/meetup-join/19%3ameeting_MTQzYTJmZWUtYjA1My00MzljLWFlYWYtNDgyMGU0NWNmYWZk%40thread.v2/0?context=%7b%22Tid%22%3a%2243fda1c4-4efd-419a-a747-448d287773f0%22%2c%22Oid%22%3a%22870665a2-669c-4fc6-b732-c37084f8a9a2%22%7d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jc w:val="both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19/02/2025.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21/02/2025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المقترحات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C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زمني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إرشادي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للعملية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777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4"/>
        <w:gridCol w:w="2552"/>
        <w:gridCol w:w="2551"/>
        <w:tblGridChange w:id="0">
          <w:tblGrid>
            <w:gridCol w:w="4674"/>
            <w:gridCol w:w="2552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bidi w:val="1"/>
              <w:spacing w:after="20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DF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E0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ساعة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1">
            <w:pPr>
              <w:bidi w:val="1"/>
              <w:spacing w:after="200" w:before="120" w:line="240" w:lineRule="auto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bidi w:val="1"/>
              <w:spacing w:after="200" w:before="120" w:line="240" w:lineRule="auto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جلسة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الاعلام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07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12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فيفري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الولاية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5">
            <w:pPr>
              <w:bidi w:val="1"/>
              <w:spacing w:after="200" w:before="120" w:line="240" w:lineRule="auto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النهائي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خلاله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إرسال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طلبات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التوضيح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المحتملة</w:t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19/02/2025 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23.59 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8">
            <w:pPr>
              <w:bidi w:val="1"/>
              <w:spacing w:after="200" w:before="120" w:line="240" w:lineRule="auto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النهائي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فكرة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12/03/2025 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spacing w:after="200" w:before="120" w:line="240" w:lineRule="auto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23.59 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B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النهائي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لإعلام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الجمعيات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أفكار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المشاريع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25/04/2025 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F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النهائي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الكامل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31/07/2025 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spacing w:after="200" w:before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23.59 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F3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17/10/2025 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F7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اتفاقيات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الشراكة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الاتلاف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الجمعياتي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15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FA">
            <w:pPr>
              <w:bidi w:val="1"/>
              <w:spacing w:after="200"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النهائي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15/11/2025 </w:t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spacing w:after="20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1F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الوثائق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المرفقة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203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b w:val="1"/>
          <w:rtl w:val="1"/>
        </w:rPr>
        <w:t xml:space="preserve"> 1 </w:t>
      </w: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04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b w:val="1"/>
          <w:rtl w:val="1"/>
        </w:rPr>
        <w:t xml:space="preserve"> 2 </w:t>
      </w: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05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b w:val="1"/>
          <w:rtl w:val="1"/>
        </w:rPr>
        <w:t xml:space="preserve"> 3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206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لإكمال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حزب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سياسي</w:t>
      </w:r>
    </w:p>
    <w:p w:rsidR="00000000" w:rsidDel="00000000" w:rsidP="00000000" w:rsidRDefault="00000000" w:rsidRPr="00000000" w14:paraId="00000207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b w:val="1"/>
          <w:rtl w:val="1"/>
        </w:rPr>
        <w:t xml:space="preserve"> 5 </w:t>
      </w:r>
      <w:r w:rsidDel="00000000" w:rsidR="00000000" w:rsidRPr="00000000">
        <w:rPr>
          <w:rtl w:val="1"/>
        </w:rPr>
        <w:t xml:space="preserve">توكيل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08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الملحق</w:t>
      </w:r>
      <w:r w:rsidDel="00000000" w:rsidR="00000000" w:rsidRPr="00000000">
        <w:rPr>
          <w:b w:val="1"/>
          <w:rtl w:val="1"/>
        </w:rPr>
        <w:t xml:space="preserve"> 6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</w:p>
    <w:p w:rsidR="00000000" w:rsidDel="00000000" w:rsidP="00000000" w:rsidRDefault="00000000" w:rsidRPr="00000000" w14:paraId="00000209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الجهوي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تبادل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النجاعة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المنفذة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الاقصاء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اختيارها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اختيارها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ارشادي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باستثناء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مواعيد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والمواعيد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وإيداع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للتواريخ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تحويرها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الترشحات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لدراستها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-640714</wp:posOffset>
          </wp:positionH>
          <wp:positionV relativeFrom="paragraph">
            <wp:posOffset>-243839</wp:posOffset>
          </wp:positionV>
          <wp:extent cx="7086600" cy="1199515"/>
          <wp:effectExtent b="0" l="0" r="0" t="0"/>
          <wp:wrapSquare wrapText="bothSides" distB="0" distT="0" distL="114300" distR="114300"/>
          <wp:docPr id="18119120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1199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65A2"/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B5092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3529A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BB718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9113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3D1870"/>
    <w:pPr>
      <w:ind w:left="720"/>
      <w:contextualSpacing w:val="1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2A1A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2A1A6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2A1A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2A1A60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2A1A60"/>
    <w:rPr>
      <w:b w:val="1"/>
      <w:bCs w:val="1"/>
      <w:sz w:val="20"/>
      <w:szCs w:val="20"/>
    </w:rPr>
  </w:style>
  <w:style w:type="character" w:styleId="Titre2Car" w:customStyle="1">
    <w:name w:val="Titre 2 Car"/>
    <w:basedOn w:val="Policepardfaut"/>
    <w:link w:val="Titre2"/>
    <w:uiPriority w:val="9"/>
    <w:rsid w:val="00B5092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Rvision">
    <w:name w:val="Revision"/>
    <w:hidden w:val="1"/>
    <w:uiPriority w:val="99"/>
    <w:semiHidden w:val="1"/>
    <w:rsid w:val="0044140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 w:val="1"/>
    <w:rsid w:val="00907F4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07F44"/>
  </w:style>
  <w:style w:type="paragraph" w:styleId="Pieddepage">
    <w:name w:val="footer"/>
    <w:basedOn w:val="Normal"/>
    <w:link w:val="PieddepageCar"/>
    <w:uiPriority w:val="99"/>
    <w:unhideWhenUsed w:val="1"/>
    <w:rsid w:val="00907F4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07F44"/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695ADC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695AD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695ADC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1E32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FR" w:val="fr-FR"/>
    </w:rPr>
  </w:style>
  <w:style w:type="character" w:styleId="lev">
    <w:name w:val="Strong"/>
    <w:basedOn w:val="Policepardfaut"/>
    <w:uiPriority w:val="22"/>
    <w:qFormat w:val="1"/>
    <w:rsid w:val="001E32C9"/>
    <w:rPr>
      <w:b w:val="1"/>
      <w:bCs w:val="1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3529A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yperlien">
    <w:name w:val="Hyperlink"/>
    <w:basedOn w:val="Policepardfaut"/>
    <w:uiPriority w:val="99"/>
    <w:unhideWhenUsed w:val="1"/>
    <w:rsid w:val="003529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3529A1"/>
    <w:rPr>
      <w:color w:val="605e5c"/>
      <w:shd w:color="auto" w:fill="e1dfdd" w:val="clear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BB718E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Lienvisit">
    <w:name w:val="FollowedHyperlink"/>
    <w:basedOn w:val="Policepardfaut"/>
    <w:uiPriority w:val="99"/>
    <w:semiHidden w:val="1"/>
    <w:unhideWhenUsed w:val="1"/>
    <w:rsid w:val="00D17A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teams.microsoft.com/l/meetup-join/19%3ameeting_MTQzYTJmZWUtYjA1My00MzljLWFlYWYtNDgyMGU0NWNmYWZk%40thread.v2/0?context=%7b%22Tid%22%3a%2243fda1c4-4efd-419a-a747-448d287773f0%22%2c%22Oid%22%3a%22870665a2-669c-4fc6-b732-c37084f8a9a2%22%7d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MnODXqwHmf/bKzuH45nMWT+AQ==">CgMxLjAyCGguZ2pkZ3hzMgloLjMwajB6bGwyCWguMWZvYjl0ZTIJaC4zem55c2g3MgloLjJldDkycDA4AHIhMURQOVNCQzBjODZmUGstZUVoMDlXNzRzNDAzMEx5RGJE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2025-01-31T07:55:00Z</dcterms:created>
  <dc:creator>Celine ABRIC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0x010100DB14BF734BFBA449ADAA8350906BDEE7</vt:lpwstr>
  </property>
</Properties>
</file>