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5B" w:rsidRDefault="0048295B" w:rsidP="0048295B">
      <w:pPr>
        <w:pStyle w:val="Titre1"/>
      </w:pPr>
      <w:bookmarkStart w:id="0" w:name="_Toc143189127"/>
      <w:r>
        <w:rPr>
          <w:color w:val="AE161E"/>
        </w:rPr>
        <w:t>Annexe</w:t>
      </w:r>
      <w:r>
        <w:rPr>
          <w:color w:val="AE161E"/>
          <w:spacing w:val="-2"/>
        </w:rPr>
        <w:t xml:space="preserve"> </w:t>
      </w:r>
      <w:r>
        <w:rPr>
          <w:color w:val="AE161E"/>
        </w:rPr>
        <w:t>B.</w:t>
      </w:r>
      <w:r>
        <w:rPr>
          <w:color w:val="AE161E"/>
          <w:spacing w:val="-3"/>
        </w:rPr>
        <w:t xml:space="preserve"> </w:t>
      </w:r>
      <w:r>
        <w:rPr>
          <w:color w:val="AE161E"/>
        </w:rPr>
        <w:t>Demande</w:t>
      </w:r>
      <w:r>
        <w:rPr>
          <w:color w:val="AE161E"/>
          <w:spacing w:val="-4"/>
        </w:rPr>
        <w:t xml:space="preserve"> </w:t>
      </w:r>
      <w:r>
        <w:rPr>
          <w:color w:val="AE161E"/>
        </w:rPr>
        <w:t>de</w:t>
      </w:r>
      <w:r>
        <w:rPr>
          <w:color w:val="AE161E"/>
          <w:spacing w:val="-2"/>
        </w:rPr>
        <w:t xml:space="preserve"> </w:t>
      </w:r>
      <w:r>
        <w:rPr>
          <w:color w:val="AE161E"/>
        </w:rPr>
        <w:t>partenariat</w:t>
      </w:r>
      <w:r>
        <w:rPr>
          <w:color w:val="AE161E"/>
          <w:spacing w:val="1"/>
        </w:rPr>
        <w:t xml:space="preserve"> </w:t>
      </w:r>
      <w:r>
        <w:rPr>
          <w:color w:val="AE161E"/>
        </w:rPr>
        <w:t>:</w:t>
      </w:r>
      <w:r>
        <w:rPr>
          <w:color w:val="AE161E"/>
          <w:spacing w:val="-5"/>
        </w:rPr>
        <w:t xml:space="preserve"> </w:t>
      </w:r>
      <w:r>
        <w:rPr>
          <w:color w:val="AE161E"/>
        </w:rPr>
        <w:t>Annexes</w:t>
      </w:r>
      <w:r>
        <w:rPr>
          <w:color w:val="AE161E"/>
          <w:spacing w:val="-4"/>
        </w:rPr>
        <w:t xml:space="preserve"> </w:t>
      </w:r>
      <w:r>
        <w:rPr>
          <w:color w:val="AE161E"/>
        </w:rPr>
        <w:t>requises</w:t>
      </w:r>
      <w:bookmarkEnd w:id="0"/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</w:p>
    <w:p w:rsidR="0048295B" w:rsidRDefault="0048295B" w:rsidP="0048295B">
      <w:pPr>
        <w:pStyle w:val="Corpsdetexte"/>
        <w:spacing w:before="120" w:line="259" w:lineRule="auto"/>
        <w:ind w:left="956" w:right="106"/>
      </w:pPr>
      <w:r>
        <w:t>Outre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dûment</w:t>
      </w:r>
      <w:r>
        <w:rPr>
          <w:spacing w:val="-9"/>
        </w:rPr>
        <w:t xml:space="preserve"> </w:t>
      </w:r>
      <w:r>
        <w:t>remplie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signée,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t>doivent</w:t>
      </w:r>
      <w:r>
        <w:rPr>
          <w:spacing w:val="-9"/>
        </w:rPr>
        <w:t xml:space="preserve"> </w:t>
      </w:r>
      <w:r>
        <w:t>également</w:t>
      </w:r>
      <w:r>
        <w:rPr>
          <w:spacing w:val="-5"/>
        </w:rPr>
        <w:t xml:space="preserve"> </w:t>
      </w:r>
      <w:r>
        <w:t>fournir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 xml:space="preserve">informations </w:t>
      </w:r>
      <w:r>
        <w:rPr>
          <w:spacing w:val="-47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annexe.</w:t>
      </w:r>
    </w:p>
    <w:p w:rsidR="0048295B" w:rsidRDefault="0048295B" w:rsidP="0048295B">
      <w:pPr>
        <w:pStyle w:val="Corpsdetexte"/>
        <w:spacing w:before="1"/>
        <w:rPr>
          <w:sz w:val="13"/>
        </w:rPr>
      </w:pPr>
    </w:p>
    <w:tbl>
      <w:tblPr>
        <w:tblStyle w:val="TableNormal1"/>
        <w:tblW w:w="8927" w:type="dxa"/>
        <w:tblInd w:w="9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224"/>
      </w:tblGrid>
      <w:tr w:rsidR="0048295B" w:rsidTr="009F7D6C">
        <w:trPr>
          <w:trHeight w:val="268"/>
        </w:trPr>
        <w:tc>
          <w:tcPr>
            <w:tcW w:w="703" w:type="dxa"/>
            <w:shd w:val="clear" w:color="auto" w:fill="AE161E"/>
          </w:tcPr>
          <w:p w:rsidR="0048295B" w:rsidRDefault="0048295B" w:rsidP="009F7D6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#</w:t>
            </w:r>
          </w:p>
        </w:tc>
        <w:tc>
          <w:tcPr>
            <w:tcW w:w="8224" w:type="dxa"/>
            <w:shd w:val="clear" w:color="auto" w:fill="AE161E"/>
          </w:tcPr>
          <w:p w:rsidR="0048295B" w:rsidRDefault="0048295B" w:rsidP="009F7D6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Annexes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(requises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pour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présélection)</w:t>
            </w:r>
          </w:p>
        </w:tc>
      </w:tr>
      <w:tr w:rsidR="0048295B" w:rsidTr="009F7D6C">
        <w:trPr>
          <w:trHeight w:val="402"/>
        </w:trPr>
        <w:tc>
          <w:tcPr>
            <w:tcW w:w="703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8224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Budget</w:t>
            </w:r>
            <w:r>
              <w:rPr>
                <w:spacing w:val="-1"/>
              </w:rPr>
              <w:t xml:space="preserve"> </w:t>
            </w:r>
            <w:r>
              <w:t>annuel (2023 / 2024)</w:t>
            </w:r>
          </w:p>
        </w:tc>
      </w:tr>
      <w:tr w:rsidR="0048295B" w:rsidTr="009F7D6C">
        <w:trPr>
          <w:trHeight w:val="402"/>
        </w:trPr>
        <w:tc>
          <w:tcPr>
            <w:tcW w:w="703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8224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Comptes</w:t>
            </w:r>
            <w:r>
              <w:rPr>
                <w:spacing w:val="-3"/>
              </w:rPr>
              <w:t xml:space="preserve"> </w:t>
            </w:r>
            <w:r>
              <w:t>annuels (2023 / 2024)</w:t>
            </w:r>
          </w:p>
        </w:tc>
      </w:tr>
      <w:tr w:rsidR="0048295B" w:rsidTr="009F7D6C">
        <w:trPr>
          <w:trHeight w:val="402"/>
        </w:trPr>
        <w:tc>
          <w:tcPr>
            <w:tcW w:w="703" w:type="dxa"/>
          </w:tcPr>
          <w:p w:rsidR="0048295B" w:rsidRDefault="0048295B" w:rsidP="009F7D6C">
            <w:pPr>
              <w:pStyle w:val="TableParagraph"/>
            </w:pPr>
            <w:r>
              <w:t xml:space="preserve">  3</w:t>
            </w:r>
          </w:p>
        </w:tc>
        <w:tc>
          <w:tcPr>
            <w:tcW w:w="8224" w:type="dxa"/>
          </w:tcPr>
          <w:p w:rsidR="0048295B" w:rsidRDefault="0048295B" w:rsidP="009F7D6C">
            <w:pPr>
              <w:pStyle w:val="TableParagraph"/>
            </w:pPr>
            <w:r>
              <w:t>Protocole d’accord Type</w:t>
            </w:r>
            <w:bookmarkStart w:id="1" w:name="_GoBack"/>
            <w:bookmarkEnd w:id="1"/>
          </w:p>
        </w:tc>
      </w:tr>
      <w:tr w:rsidR="0048295B" w:rsidTr="009F7D6C">
        <w:trPr>
          <w:trHeight w:val="402"/>
        </w:trPr>
        <w:tc>
          <w:tcPr>
            <w:tcW w:w="703" w:type="dxa"/>
          </w:tcPr>
          <w:p w:rsidR="0048295B" w:rsidRDefault="0048295B" w:rsidP="009F7D6C">
            <w:pPr>
              <w:pStyle w:val="TableParagraph"/>
              <w:spacing w:before="1" w:line="259" w:lineRule="auto"/>
              <w:ind w:left="110"/>
            </w:pPr>
            <w:r>
              <w:t>4</w:t>
            </w:r>
          </w:p>
        </w:tc>
        <w:tc>
          <w:tcPr>
            <w:tcW w:w="8224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Organigramme à jour</w:t>
            </w:r>
          </w:p>
        </w:tc>
      </w:tr>
      <w:tr w:rsidR="0048295B" w:rsidTr="009F7D6C">
        <w:trPr>
          <w:trHeight w:val="405"/>
        </w:trPr>
        <w:tc>
          <w:tcPr>
            <w:tcW w:w="703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5</w:t>
            </w:r>
          </w:p>
        </w:tc>
        <w:tc>
          <w:tcPr>
            <w:tcW w:w="8224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 xml:space="preserve">Enregistrement auprès des autorités Tunisiennes (RNE) </w:t>
            </w:r>
          </w:p>
        </w:tc>
      </w:tr>
      <w:tr w:rsidR="0048295B" w:rsidTr="009F7D6C">
        <w:trPr>
          <w:trHeight w:val="405"/>
        </w:trPr>
        <w:tc>
          <w:tcPr>
            <w:tcW w:w="703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6</w:t>
            </w:r>
          </w:p>
        </w:tc>
        <w:tc>
          <w:tcPr>
            <w:tcW w:w="8224" w:type="dxa"/>
          </w:tcPr>
          <w:p w:rsidR="0048295B" w:rsidRDefault="0048295B" w:rsidP="009F7D6C">
            <w:pPr>
              <w:pStyle w:val="TableParagraph"/>
              <w:spacing w:before="1"/>
              <w:ind w:left="110"/>
            </w:pPr>
            <w:r>
              <w:t>Rapport d’activités (2023 / 2024)</w:t>
            </w:r>
          </w:p>
        </w:tc>
      </w:tr>
    </w:tbl>
    <w:p w:rsidR="00E363E3" w:rsidRDefault="00E363E3"/>
    <w:sectPr w:rsidR="00E363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E2" w:rsidRDefault="00A523E2" w:rsidP="0048295B">
      <w:r>
        <w:separator/>
      </w:r>
    </w:p>
  </w:endnote>
  <w:endnote w:type="continuationSeparator" w:id="0">
    <w:p w:rsidR="00A523E2" w:rsidRDefault="00A523E2" w:rsidP="004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E2" w:rsidRDefault="00A523E2" w:rsidP="0048295B">
      <w:r>
        <w:separator/>
      </w:r>
    </w:p>
  </w:footnote>
  <w:footnote w:type="continuationSeparator" w:id="0">
    <w:p w:rsidR="00A523E2" w:rsidRDefault="00A523E2" w:rsidP="0048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5B" w:rsidRDefault="0048295B">
    <w:pPr>
      <w:pStyle w:val="En-tte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34D1A61" wp14:editId="4FF9EA82">
          <wp:simplePos x="0" y="0"/>
          <wp:positionH relativeFrom="column">
            <wp:posOffset>-304800</wp:posOffset>
          </wp:positionH>
          <wp:positionV relativeFrom="paragraph">
            <wp:posOffset>-425450</wp:posOffset>
          </wp:positionV>
          <wp:extent cx="392430" cy="901019"/>
          <wp:effectExtent l="247650" t="0" r="23622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694"/>
                  <a:stretch/>
                </pic:blipFill>
                <pic:spPr bwMode="auto">
                  <a:xfrm rot="5400000">
                    <a:off x="0" y="0"/>
                    <a:ext cx="392430" cy="901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230414" wp14:editId="7A6026E3">
              <wp:simplePos x="0" y="0"/>
              <wp:positionH relativeFrom="page">
                <wp:posOffset>4254500</wp:posOffset>
              </wp:positionH>
              <wp:positionV relativeFrom="page">
                <wp:posOffset>323850</wp:posOffset>
              </wp:positionV>
              <wp:extent cx="3004820" cy="30607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82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295B" w:rsidRDefault="0048295B" w:rsidP="0048295B">
                          <w:pPr>
                            <w:spacing w:line="243" w:lineRule="exact"/>
                            <w:ind w:right="21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Appel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candidatures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Pré-identification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partenaires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304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pt;margin-top:25.5pt;width:236.6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" filled="f" stroked="f">
              <v:textbox inset="0,0,0,0">
                <w:txbxContent>
                  <w:p w:rsidR="0048295B" w:rsidRDefault="0048295B" w:rsidP="0048295B">
                    <w:pPr>
                      <w:spacing w:line="243" w:lineRule="exact"/>
                      <w:ind w:right="21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Appel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candidatures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Pré-identification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partenaires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5B"/>
    <w:rsid w:val="0048295B"/>
    <w:rsid w:val="00A523E2"/>
    <w:rsid w:val="00E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55900-4588-41AE-9BCB-61B5AE88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48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295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  <w14:ligatures w14:val="standardContextual"/>
    </w:rPr>
  </w:style>
  <w:style w:type="paragraph" w:styleId="Corpsdetexte">
    <w:name w:val="Body Text"/>
    <w:basedOn w:val="Normal"/>
    <w:link w:val="CorpsdetexteCar"/>
    <w:uiPriority w:val="1"/>
    <w:qFormat/>
    <w:rsid w:val="0048295B"/>
  </w:style>
  <w:style w:type="character" w:customStyle="1" w:styleId="CorpsdetexteCar">
    <w:name w:val="Corps de texte Car"/>
    <w:basedOn w:val="Policepardfaut"/>
    <w:link w:val="Corpsdetexte"/>
    <w:uiPriority w:val="1"/>
    <w:rsid w:val="0048295B"/>
    <w:rPr>
      <w:rFonts w:ascii="Calibri" w:eastAsia="Calibri" w:hAnsi="Calibri" w:cs="Calibri"/>
      <w:lang w:val="fr-FR"/>
      <w14:ligatures w14:val="standardContextual"/>
    </w:rPr>
  </w:style>
  <w:style w:type="table" w:customStyle="1" w:styleId="TableNormal1">
    <w:name w:val="Table Normal1"/>
    <w:uiPriority w:val="2"/>
    <w:semiHidden/>
    <w:unhideWhenUsed/>
    <w:qFormat/>
    <w:rsid w:val="0048295B"/>
    <w:pPr>
      <w:widowControl w:val="0"/>
      <w:autoSpaceDE w:val="0"/>
      <w:autoSpaceDN w:val="0"/>
      <w:spacing w:after="0" w:line="240" w:lineRule="auto"/>
    </w:pPr>
    <w:rPr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295B"/>
  </w:style>
  <w:style w:type="paragraph" w:styleId="En-tte">
    <w:name w:val="header"/>
    <w:basedOn w:val="Normal"/>
    <w:link w:val="En-tteCar"/>
    <w:uiPriority w:val="99"/>
    <w:unhideWhenUsed/>
    <w:rsid w:val="0048295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8295B"/>
    <w:rPr>
      <w:rFonts w:ascii="Calibri" w:eastAsia="Calibri" w:hAnsi="Calibri" w:cs="Calibri"/>
      <w:lang w:val="fr-FR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48295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95B"/>
    <w:rPr>
      <w:rFonts w:ascii="Calibri" w:eastAsia="Calibri" w:hAnsi="Calibri" w:cs="Calibri"/>
      <w:lang w:val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A814.D85EB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2025-01-22T09:03:00Z</dcterms:created>
  <dcterms:modified xsi:type="dcterms:W3CDTF">2025-01-22T09:05:00Z</dcterms:modified>
</cp:coreProperties>
</file>