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DC5D" w14:textId="77777777" w:rsidR="008F657B" w:rsidRDefault="001A489D" w:rsidP="00D044A7">
      <w:pPr>
        <w:shd w:val="clear" w:color="auto" w:fill="FFFFFF"/>
        <w:spacing w:line="240" w:lineRule="auto"/>
        <w:jc w:val="center"/>
        <w:rPr>
          <w:rFonts w:ascii="Times New Roman" w:eastAsia="Times New Roman" w:hAnsi="Times New Roman" w:cs="Times New Roman"/>
          <w:b/>
          <w:i/>
          <w:color w:val="24272A"/>
          <w:sz w:val="26"/>
          <w:szCs w:val="26"/>
        </w:rPr>
      </w:pPr>
      <w:r>
        <w:rPr>
          <w:rFonts w:ascii="Times New Roman" w:eastAsia="Times New Roman" w:hAnsi="Times New Roman" w:cs="Times New Roman"/>
          <w:b/>
          <w:i/>
          <w:color w:val="24272A"/>
          <w:sz w:val="26"/>
          <w:szCs w:val="26"/>
        </w:rPr>
        <w:t>Appel à candidature pour l</w:t>
      </w:r>
      <w:r w:rsidR="008F657B">
        <w:rPr>
          <w:rFonts w:ascii="Times New Roman" w:eastAsia="Times New Roman" w:hAnsi="Times New Roman" w:cs="Times New Roman"/>
          <w:b/>
          <w:i/>
          <w:color w:val="24272A"/>
          <w:sz w:val="26"/>
          <w:szCs w:val="26"/>
        </w:rPr>
        <w:t>’élaboration d’une étude portant sur :</w:t>
      </w:r>
    </w:p>
    <w:p w14:paraId="61FD090D" w14:textId="5410459B" w:rsidR="00A505B5" w:rsidRPr="000911BC" w:rsidRDefault="008F657B" w:rsidP="00D044A7">
      <w:pPr>
        <w:shd w:val="clear" w:color="auto" w:fill="FFFFFF"/>
        <w:spacing w:line="240" w:lineRule="auto"/>
        <w:jc w:val="center"/>
        <w:rPr>
          <w:rFonts w:ascii="Times New Roman" w:eastAsia="Times New Roman" w:hAnsi="Times New Roman" w:cs="Times New Roman"/>
          <w:b/>
          <w:i/>
          <w:color w:val="24272A"/>
          <w:sz w:val="32"/>
          <w:szCs w:val="32"/>
        </w:rPr>
      </w:pPr>
      <w:r w:rsidRPr="000911BC">
        <w:rPr>
          <w:rFonts w:ascii="Times New Roman" w:eastAsia="Times New Roman" w:hAnsi="Times New Roman" w:cs="Times New Roman"/>
          <w:b/>
          <w:i/>
          <w:color w:val="24272A"/>
          <w:sz w:val="32"/>
          <w:szCs w:val="32"/>
        </w:rPr>
        <w:t>« </w:t>
      </w:r>
      <w:r w:rsidR="00145B5C">
        <w:rPr>
          <w:rFonts w:ascii="Times New Roman" w:eastAsia="Times New Roman" w:hAnsi="Times New Roman" w:cs="Times New Roman"/>
          <w:b/>
          <w:i/>
          <w:color w:val="24272A"/>
          <w:sz w:val="32"/>
          <w:szCs w:val="32"/>
        </w:rPr>
        <w:t>L</w:t>
      </w:r>
      <w:r w:rsidRPr="000911BC">
        <w:rPr>
          <w:rFonts w:ascii="Times New Roman" w:eastAsia="Times New Roman" w:hAnsi="Times New Roman" w:cs="Times New Roman"/>
          <w:b/>
          <w:i/>
          <w:color w:val="24272A"/>
          <w:sz w:val="32"/>
          <w:szCs w:val="32"/>
        </w:rPr>
        <w:t xml:space="preserve">es </w:t>
      </w:r>
      <w:r w:rsidR="00145B5C">
        <w:rPr>
          <w:rFonts w:ascii="Times New Roman" w:eastAsia="Times New Roman" w:hAnsi="Times New Roman" w:cs="Times New Roman"/>
          <w:b/>
          <w:i/>
          <w:color w:val="24272A"/>
          <w:sz w:val="32"/>
          <w:szCs w:val="32"/>
        </w:rPr>
        <w:t>archives coloniales</w:t>
      </w:r>
      <w:r w:rsidRPr="000911BC">
        <w:rPr>
          <w:rFonts w:ascii="Times New Roman" w:eastAsia="Times New Roman" w:hAnsi="Times New Roman" w:cs="Times New Roman"/>
          <w:b/>
          <w:i/>
          <w:color w:val="24272A"/>
          <w:sz w:val="32"/>
          <w:szCs w:val="32"/>
        </w:rPr>
        <w:t xml:space="preserve"> </w:t>
      </w:r>
      <w:r w:rsidR="009C6E67">
        <w:rPr>
          <w:rFonts w:ascii="Times New Roman" w:eastAsia="Times New Roman" w:hAnsi="Times New Roman" w:cs="Times New Roman"/>
          <w:b/>
          <w:i/>
          <w:color w:val="24272A"/>
          <w:sz w:val="32"/>
          <w:szCs w:val="32"/>
        </w:rPr>
        <w:t>de l’article 230</w:t>
      </w:r>
      <w:r w:rsidRPr="000911BC">
        <w:rPr>
          <w:rFonts w:ascii="Times New Roman" w:eastAsia="Times New Roman" w:hAnsi="Times New Roman" w:cs="Times New Roman"/>
          <w:b/>
          <w:i/>
          <w:color w:val="24272A"/>
          <w:sz w:val="32"/>
          <w:szCs w:val="32"/>
        </w:rPr>
        <w:t> »</w:t>
      </w:r>
    </w:p>
    <w:p w14:paraId="72395D00" w14:textId="77777777" w:rsidR="00C910F5" w:rsidRDefault="00C910F5" w:rsidP="00D044A7">
      <w:pPr>
        <w:shd w:val="clear" w:color="auto" w:fill="FFFFFF"/>
        <w:spacing w:line="240" w:lineRule="auto"/>
        <w:jc w:val="center"/>
        <w:rPr>
          <w:rFonts w:ascii="Times New Roman" w:eastAsia="Times New Roman" w:hAnsi="Times New Roman" w:cs="Times New Roman"/>
          <w:b/>
          <w:i/>
          <w:color w:val="24272A"/>
          <w:sz w:val="26"/>
          <w:szCs w:val="26"/>
        </w:rPr>
      </w:pPr>
    </w:p>
    <w:p w14:paraId="1903848B" w14:textId="3700795A" w:rsidR="00C910F5" w:rsidRDefault="00C910F5" w:rsidP="00D044A7">
      <w:pPr>
        <w:spacing w:line="240" w:lineRule="auto"/>
        <w:jc w:val="both"/>
        <w:rPr>
          <w:rFonts w:ascii="Times New Roman" w:eastAsia="Times New Roman" w:hAnsi="Times New Roman" w:cs="Times New Roman"/>
          <w:b/>
          <w:bCs/>
          <w:color w:val="24272A"/>
          <w:sz w:val="26"/>
          <w:szCs w:val="26"/>
        </w:rPr>
      </w:pPr>
    </w:p>
    <w:p w14:paraId="283C35A8" w14:textId="5B6CC6A1" w:rsidR="00C910F5" w:rsidRPr="000D16EA" w:rsidRDefault="00F77893" w:rsidP="00D044A7">
      <w:pPr>
        <w:shd w:val="clear" w:color="auto" w:fill="E5DFEC" w:themeFill="accent4" w:themeFillTint="33"/>
        <w:spacing w:line="240" w:lineRule="auto"/>
        <w:jc w:val="both"/>
        <w:rPr>
          <w:rFonts w:asciiTheme="majorHAnsi" w:eastAsia="Times New Roman" w:hAnsiTheme="majorHAnsi" w:cstheme="majorHAnsi"/>
          <w:b/>
          <w:bCs/>
          <w:color w:val="24272A"/>
          <w:sz w:val="24"/>
          <w:szCs w:val="24"/>
        </w:rPr>
      </w:pPr>
      <w:r>
        <w:rPr>
          <w:rFonts w:asciiTheme="majorHAnsi" w:eastAsia="Times New Roman" w:hAnsiTheme="majorHAnsi" w:cstheme="majorHAnsi"/>
          <w:b/>
          <w:bCs/>
          <w:color w:val="24272A"/>
          <w:sz w:val="24"/>
          <w:szCs w:val="24"/>
        </w:rPr>
        <w:t>Contexte</w:t>
      </w:r>
      <w:r w:rsidRPr="000D16EA">
        <w:rPr>
          <w:rFonts w:asciiTheme="majorHAnsi" w:eastAsia="Times New Roman" w:hAnsiTheme="majorHAnsi" w:cstheme="majorHAnsi"/>
          <w:b/>
          <w:bCs/>
          <w:color w:val="24272A"/>
          <w:sz w:val="24"/>
          <w:szCs w:val="24"/>
        </w:rPr>
        <w:t xml:space="preserve"> :</w:t>
      </w:r>
    </w:p>
    <w:p w14:paraId="4B4BE777" w14:textId="77777777" w:rsidR="00582837" w:rsidRDefault="00582837" w:rsidP="00D044A7">
      <w:pPr>
        <w:spacing w:line="240" w:lineRule="auto"/>
        <w:jc w:val="both"/>
        <w:rPr>
          <w:lang w:bidi="ar-TN"/>
        </w:rPr>
      </w:pPr>
    </w:p>
    <w:p w14:paraId="0023CAA4" w14:textId="37242819" w:rsidR="00582837"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lang w:bidi="ar-TN"/>
        </w:rPr>
        <w:t>En droit positif tunisien, l’article 230 du code pénal continue d’incriminer expressément l’homosexualité masculine et féminine, incluant de ce fait la Tunisie parmi la cinquantaine d’États au monde prohibant les relations homosexuelles, notamment par le biais des dispositions suivantes :</w:t>
      </w:r>
    </w:p>
    <w:p w14:paraId="7CC4194E" w14:textId="26D25C3D" w:rsidR="000911BC"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iCs/>
          <w:lang w:bidi="ar-TN"/>
        </w:rPr>
        <w:t>« </w:t>
      </w:r>
      <w:r w:rsidRPr="000911BC">
        <w:rPr>
          <w:rFonts w:asciiTheme="majorHAnsi" w:hAnsiTheme="majorHAnsi" w:cstheme="majorHAnsi"/>
          <w:i/>
          <w:lang w:bidi="ar-TN"/>
        </w:rPr>
        <w:t>La sodomie, si elle ne rentre dans aucun des cas prévus aux articles précédents, est punie de l’emprisonnement pendant trois ans</w:t>
      </w:r>
      <w:r w:rsidRPr="000911BC">
        <w:rPr>
          <w:rFonts w:asciiTheme="majorHAnsi" w:hAnsiTheme="majorHAnsi" w:cstheme="majorHAnsi"/>
          <w:iCs/>
          <w:lang w:bidi="ar-TN"/>
        </w:rPr>
        <w:t> </w:t>
      </w:r>
      <w:r w:rsidR="000911BC" w:rsidRPr="000911BC">
        <w:rPr>
          <w:rFonts w:asciiTheme="majorHAnsi" w:hAnsiTheme="majorHAnsi" w:cstheme="majorHAnsi"/>
          <w:iCs/>
          <w:lang w:bidi="ar-TN"/>
        </w:rPr>
        <w:t>»</w:t>
      </w:r>
      <w:r w:rsidR="000911BC" w:rsidRPr="000911BC">
        <w:rPr>
          <w:rFonts w:asciiTheme="majorHAnsi" w:hAnsiTheme="majorHAnsi" w:cstheme="majorHAnsi"/>
          <w:lang w:bidi="ar-TN"/>
        </w:rPr>
        <w:t xml:space="preserve"> (Code pénal, promulgué par le Décret Beylical </w:t>
      </w:r>
      <w:r w:rsidR="000911BC" w:rsidRPr="000911BC">
        <w:rPr>
          <w:rFonts w:asciiTheme="majorHAnsi" w:hAnsiTheme="majorHAnsi" w:cstheme="majorHAnsi"/>
        </w:rPr>
        <w:t>9 juillet 1913 et jamais modifié depuis cette date (Journal Officiel du 1</w:t>
      </w:r>
      <w:r w:rsidR="000911BC" w:rsidRPr="000911BC">
        <w:rPr>
          <w:rFonts w:asciiTheme="majorHAnsi" w:hAnsiTheme="majorHAnsi" w:cstheme="majorHAnsi"/>
          <w:vertAlign w:val="superscript"/>
        </w:rPr>
        <w:t>er</w:t>
      </w:r>
      <w:r w:rsidR="000911BC" w:rsidRPr="000911BC">
        <w:rPr>
          <w:rFonts w:asciiTheme="majorHAnsi" w:hAnsiTheme="majorHAnsi" w:cstheme="majorHAnsi"/>
        </w:rPr>
        <w:t xml:space="preserve"> octobre 1913, n° 79</w:t>
      </w:r>
      <w:r w:rsidR="000911BC">
        <w:rPr>
          <w:rFonts w:asciiTheme="majorHAnsi" w:hAnsiTheme="majorHAnsi" w:cstheme="majorHAnsi"/>
        </w:rPr>
        <w:t>).</w:t>
      </w:r>
    </w:p>
    <w:p w14:paraId="5CE4A64A" w14:textId="33CFCDBE" w:rsidR="00582837"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lang w:bidi="ar-TN"/>
        </w:rPr>
        <w:t>Cette pénalisation de l’acte homosexuel par l’article 230 du code pénal pose un ensemble de problèmes liés à la fois à l’identification délicate de l’acte incriminé par rapport à d’autres types d’attentats à la pudeur et à des fondements relativement flous, voire incertains de la pénalisation des comportements homosexuels, qui semblent ancrés dans de lointaines considérations d’ordre religieux, social, voire mythologique, ce qui jette finalement de nos jours un doute certain sur la légitimité de cette incrimination et milite en faveur de sa dépénalisation.</w:t>
      </w:r>
    </w:p>
    <w:p w14:paraId="4614D262" w14:textId="476482D3" w:rsidR="00D02E44" w:rsidRDefault="00D02E44" w:rsidP="00D044A7">
      <w:pPr>
        <w:spacing w:line="240" w:lineRule="auto"/>
        <w:jc w:val="both"/>
        <w:rPr>
          <w:rFonts w:asciiTheme="majorHAnsi" w:hAnsiTheme="majorHAnsi" w:cstheme="majorHAnsi"/>
          <w:lang w:bidi="ar-TN"/>
        </w:rPr>
      </w:pPr>
      <w:r>
        <w:rPr>
          <w:rFonts w:asciiTheme="majorHAnsi" w:hAnsiTheme="majorHAnsi" w:cstheme="majorHAnsi"/>
          <w:lang w:bidi="ar-TN"/>
        </w:rPr>
        <w:t>D’ailleurs, comme l’écrivent KHOUILI et LEVINE SPOUND « </w:t>
      </w:r>
      <w:r w:rsidRPr="00A45643">
        <w:rPr>
          <w:rFonts w:asciiTheme="majorHAnsi" w:hAnsiTheme="majorHAnsi" w:cstheme="majorHAnsi"/>
          <w:i/>
          <w:iCs/>
          <w:lang w:bidi="ar-TN"/>
        </w:rPr>
        <w:t xml:space="preserve">En vue de défendre l’article 230, les conservateurs tunisiens invoquent les arguments religieux et culturels, souvent centrés sur la protection des normes tunisiennes </w:t>
      </w:r>
      <w:r w:rsidR="00F01C6E" w:rsidRPr="00A45643">
        <w:rPr>
          <w:rFonts w:asciiTheme="majorHAnsi" w:hAnsiTheme="majorHAnsi" w:cstheme="majorHAnsi"/>
          <w:i/>
          <w:iCs/>
          <w:lang w:bidi="ar-TN"/>
        </w:rPr>
        <w:t xml:space="preserve">contre l’influence de l’Occident, ou celle de l’Islam. Mais l’interdiction légale de la sodomie a vu le jour durant la période coloniale française (1881-1956). Plus spécifiquement, l’article 230 est apparu pour la première fois dans le code pénal tunisien de 1913, un document qui partage largement la « structure » et les valeurs du Code pénal français de 1810.  De plus l’article 230 n’a pas d’équivalent clair dans la loi tunisienne précoloniale. Les codes pénaux tunisien précédents, tel que Qanoun al </w:t>
      </w:r>
      <w:proofErr w:type="spellStart"/>
      <w:r w:rsidR="00F01C6E" w:rsidRPr="00A45643">
        <w:rPr>
          <w:rFonts w:asciiTheme="majorHAnsi" w:hAnsiTheme="majorHAnsi" w:cstheme="majorHAnsi"/>
          <w:i/>
          <w:iCs/>
          <w:lang w:bidi="ar-TN"/>
        </w:rPr>
        <w:t>Jinayat</w:t>
      </w:r>
      <w:proofErr w:type="spellEnd"/>
      <w:r w:rsidR="00F01C6E" w:rsidRPr="00A45643">
        <w:rPr>
          <w:rFonts w:asciiTheme="majorHAnsi" w:hAnsiTheme="majorHAnsi" w:cstheme="majorHAnsi"/>
          <w:i/>
          <w:iCs/>
          <w:lang w:bidi="ar-TN"/>
        </w:rPr>
        <w:t xml:space="preserve"> </w:t>
      </w:r>
      <w:r w:rsidR="00A45643" w:rsidRPr="00A45643">
        <w:rPr>
          <w:rFonts w:asciiTheme="majorHAnsi" w:hAnsiTheme="majorHAnsi" w:cstheme="majorHAnsi"/>
          <w:i/>
          <w:iCs/>
          <w:lang w:bidi="ar-TN"/>
        </w:rPr>
        <w:t>W</w:t>
      </w:r>
      <w:r w:rsidR="00F01C6E" w:rsidRPr="00A45643">
        <w:rPr>
          <w:rFonts w:asciiTheme="majorHAnsi" w:hAnsiTheme="majorHAnsi" w:cstheme="majorHAnsi"/>
          <w:i/>
          <w:iCs/>
          <w:lang w:bidi="ar-TN"/>
        </w:rPr>
        <w:t xml:space="preserve">al </w:t>
      </w:r>
      <w:proofErr w:type="spellStart"/>
      <w:r w:rsidR="00F01C6E" w:rsidRPr="00A45643">
        <w:rPr>
          <w:rFonts w:asciiTheme="majorHAnsi" w:hAnsiTheme="majorHAnsi" w:cstheme="majorHAnsi"/>
          <w:i/>
          <w:iCs/>
          <w:lang w:bidi="ar-TN"/>
        </w:rPr>
        <w:t>Ahkem</w:t>
      </w:r>
      <w:proofErr w:type="spellEnd"/>
      <w:r w:rsidR="00F01C6E" w:rsidRPr="00A45643">
        <w:rPr>
          <w:rFonts w:asciiTheme="majorHAnsi" w:hAnsiTheme="majorHAnsi" w:cstheme="majorHAnsi"/>
          <w:i/>
          <w:iCs/>
          <w:lang w:bidi="ar-TN"/>
        </w:rPr>
        <w:t xml:space="preserve"> Al </w:t>
      </w:r>
      <w:proofErr w:type="spellStart"/>
      <w:r w:rsidR="00F01C6E" w:rsidRPr="00A45643">
        <w:rPr>
          <w:rFonts w:asciiTheme="majorHAnsi" w:hAnsiTheme="majorHAnsi" w:cstheme="majorHAnsi"/>
          <w:i/>
          <w:iCs/>
          <w:lang w:bidi="ar-TN"/>
        </w:rPr>
        <w:t>Urfya</w:t>
      </w:r>
      <w:proofErr w:type="spellEnd"/>
      <w:r w:rsidR="00F01C6E" w:rsidRPr="00A45643">
        <w:rPr>
          <w:rFonts w:asciiTheme="majorHAnsi" w:hAnsiTheme="majorHAnsi" w:cstheme="majorHAnsi"/>
          <w:i/>
          <w:iCs/>
          <w:lang w:bidi="ar-TN"/>
        </w:rPr>
        <w:t xml:space="preserve"> (promulgué en 1861), n’incluent aucune référence à la sodomie ou à l’homosexualité</w:t>
      </w:r>
      <w:r w:rsidR="00F01C6E">
        <w:rPr>
          <w:rFonts w:asciiTheme="majorHAnsi" w:hAnsiTheme="majorHAnsi" w:cstheme="majorHAnsi"/>
          <w:lang w:bidi="ar-TN"/>
        </w:rPr>
        <w:t> ». Tout ça</w:t>
      </w:r>
      <w:r w:rsidR="00A45643">
        <w:rPr>
          <w:rFonts w:asciiTheme="majorHAnsi" w:hAnsiTheme="majorHAnsi" w:cstheme="majorHAnsi"/>
          <w:lang w:bidi="ar-TN"/>
        </w:rPr>
        <w:t xml:space="preserve"> « </w:t>
      </w:r>
      <w:r w:rsidR="00A45643" w:rsidRPr="00A45643">
        <w:rPr>
          <w:rFonts w:asciiTheme="majorHAnsi" w:hAnsiTheme="majorHAnsi" w:cstheme="majorHAnsi"/>
          <w:i/>
          <w:iCs/>
          <w:lang w:bidi="ar-TN"/>
        </w:rPr>
        <w:t>donne à croire que l’Article 230 est un pur produit de la colonisation, un reliquat de la loi française avec de rapport avec la Tunisie elle-même</w:t>
      </w:r>
      <w:r w:rsidR="00A45643">
        <w:rPr>
          <w:rFonts w:asciiTheme="majorHAnsi" w:hAnsiTheme="majorHAnsi" w:cstheme="majorHAnsi"/>
          <w:lang w:bidi="ar-TN"/>
        </w:rPr>
        <w:t> » (R. KHOUILI et D. LEVINE SPOUND, 2019).</w:t>
      </w:r>
      <w:r w:rsidR="00F01C6E">
        <w:rPr>
          <w:rFonts w:asciiTheme="majorHAnsi" w:hAnsiTheme="majorHAnsi" w:cstheme="majorHAnsi"/>
          <w:lang w:bidi="ar-TN"/>
        </w:rPr>
        <w:t xml:space="preserve"> </w:t>
      </w:r>
    </w:p>
    <w:p w14:paraId="75FBBF4D" w14:textId="43CF5334" w:rsidR="00A45643" w:rsidRDefault="00A45643" w:rsidP="00D044A7">
      <w:pPr>
        <w:spacing w:line="240" w:lineRule="auto"/>
        <w:jc w:val="both"/>
        <w:rPr>
          <w:rFonts w:asciiTheme="majorHAnsi" w:hAnsiTheme="majorHAnsi" w:cstheme="majorHAnsi"/>
          <w:lang w:bidi="ar-TN"/>
        </w:rPr>
      </w:pPr>
      <w:r>
        <w:rPr>
          <w:rFonts w:asciiTheme="majorHAnsi" w:hAnsiTheme="majorHAnsi" w:cstheme="majorHAnsi"/>
          <w:lang w:bidi="ar-TN"/>
        </w:rPr>
        <w:t>Cette étude exploratoire de 2019, a attiré l’attention sur une piste de recherche très importante : les origines coloniales de l’article 230.</w:t>
      </w:r>
    </w:p>
    <w:p w14:paraId="03B7C930" w14:textId="68E5C3A0" w:rsidR="00A45643" w:rsidRDefault="00A45643" w:rsidP="00D044A7">
      <w:pPr>
        <w:spacing w:line="240" w:lineRule="auto"/>
        <w:jc w:val="both"/>
        <w:rPr>
          <w:rFonts w:asciiTheme="majorHAnsi" w:hAnsiTheme="majorHAnsi" w:cstheme="majorHAnsi"/>
          <w:lang w:bidi="ar-TN"/>
        </w:rPr>
      </w:pPr>
      <w:r>
        <w:rPr>
          <w:rFonts w:asciiTheme="majorHAnsi" w:hAnsiTheme="majorHAnsi" w:cstheme="majorHAnsi"/>
          <w:lang w:bidi="ar-TN"/>
        </w:rPr>
        <w:t>Depuis très peu de travaux ont été mené dans le même sens (Arwa LAABIDI 2020, Antoine IDIER 2024).</w:t>
      </w:r>
    </w:p>
    <w:p w14:paraId="518EB168" w14:textId="77777777" w:rsidR="00A45643" w:rsidRPr="000911BC" w:rsidRDefault="00A45643" w:rsidP="00D044A7">
      <w:pPr>
        <w:spacing w:line="240" w:lineRule="auto"/>
        <w:jc w:val="both"/>
        <w:rPr>
          <w:rFonts w:asciiTheme="majorHAnsi" w:hAnsiTheme="majorHAnsi" w:cstheme="majorHAnsi"/>
          <w:lang w:bidi="ar-TN"/>
        </w:rPr>
      </w:pPr>
    </w:p>
    <w:p w14:paraId="2001B668" w14:textId="65EBD49D" w:rsidR="00A45643" w:rsidRDefault="000D16EA" w:rsidP="00D044A7">
      <w:pPr>
        <w:spacing w:line="240" w:lineRule="auto"/>
        <w:jc w:val="both"/>
        <w:rPr>
          <w:rFonts w:asciiTheme="majorHAnsi" w:hAnsiTheme="majorHAnsi" w:cstheme="majorHAnsi"/>
          <w:lang w:bidi="ar-TN"/>
        </w:rPr>
      </w:pPr>
      <w:r>
        <w:rPr>
          <w:rFonts w:asciiTheme="majorHAnsi" w:hAnsiTheme="majorHAnsi" w:cstheme="majorHAnsi"/>
          <w:lang w:bidi="ar-TN"/>
        </w:rPr>
        <w:t xml:space="preserve">Ainsi, et pour </w:t>
      </w:r>
      <w:r w:rsidR="00A45643">
        <w:rPr>
          <w:rFonts w:asciiTheme="majorHAnsi" w:hAnsiTheme="majorHAnsi" w:cstheme="majorHAnsi"/>
          <w:lang w:bidi="ar-TN"/>
        </w:rPr>
        <w:t xml:space="preserve">contribuer à l’étude </w:t>
      </w:r>
      <w:proofErr w:type="spellStart"/>
      <w:r w:rsidR="00A45643">
        <w:rPr>
          <w:rFonts w:asciiTheme="majorHAnsi" w:hAnsiTheme="majorHAnsi" w:cstheme="majorHAnsi"/>
          <w:lang w:bidi="ar-TN"/>
        </w:rPr>
        <w:t>décoloniale</w:t>
      </w:r>
      <w:proofErr w:type="spellEnd"/>
      <w:r w:rsidR="00A45643">
        <w:rPr>
          <w:rFonts w:asciiTheme="majorHAnsi" w:hAnsiTheme="majorHAnsi" w:cstheme="majorHAnsi"/>
          <w:lang w:bidi="ar-TN"/>
        </w:rPr>
        <w:t xml:space="preserve"> de l’article 230, l’ADLI lance cet appel pour recruter </w:t>
      </w:r>
      <w:proofErr w:type="spellStart"/>
      <w:r w:rsidR="00A45643">
        <w:rPr>
          <w:rFonts w:asciiTheme="majorHAnsi" w:hAnsiTheme="majorHAnsi" w:cstheme="majorHAnsi"/>
          <w:lang w:bidi="ar-TN"/>
        </w:rPr>
        <w:t>un.e</w:t>
      </w:r>
      <w:proofErr w:type="spellEnd"/>
      <w:r w:rsidR="00A45643">
        <w:rPr>
          <w:rFonts w:asciiTheme="majorHAnsi" w:hAnsiTheme="majorHAnsi" w:cstheme="majorHAnsi"/>
          <w:lang w:bidi="ar-TN"/>
        </w:rPr>
        <w:t xml:space="preserve">. </w:t>
      </w:r>
      <w:proofErr w:type="spellStart"/>
      <w:proofErr w:type="gramStart"/>
      <w:r w:rsidR="00A45643">
        <w:rPr>
          <w:rFonts w:asciiTheme="majorHAnsi" w:hAnsiTheme="majorHAnsi" w:cstheme="majorHAnsi"/>
          <w:lang w:bidi="ar-TN"/>
        </w:rPr>
        <w:t>chercheur.e</w:t>
      </w:r>
      <w:proofErr w:type="spellEnd"/>
      <w:proofErr w:type="gramEnd"/>
      <w:r w:rsidR="00A45643">
        <w:rPr>
          <w:rFonts w:asciiTheme="majorHAnsi" w:hAnsiTheme="majorHAnsi" w:cstheme="majorHAnsi"/>
          <w:lang w:bidi="ar-TN"/>
        </w:rPr>
        <w:t xml:space="preserve"> senior (qui peut mettre en place une équipe de recherche) pour entamer le travail de fouille d’archives à Tunis et France couvrant </w:t>
      </w:r>
      <w:proofErr w:type="spellStart"/>
      <w:r w:rsidR="00A45643">
        <w:rPr>
          <w:rFonts w:asciiTheme="majorHAnsi" w:hAnsiTheme="majorHAnsi" w:cstheme="majorHAnsi"/>
          <w:lang w:bidi="ar-TN"/>
        </w:rPr>
        <w:t>le</w:t>
      </w:r>
      <w:r w:rsidR="009C6E67">
        <w:rPr>
          <w:rFonts w:asciiTheme="majorHAnsi" w:hAnsiTheme="majorHAnsi" w:cstheme="majorHAnsi"/>
          <w:lang w:bidi="ar-TN"/>
        </w:rPr>
        <w:t>e</w:t>
      </w:r>
      <w:proofErr w:type="spellEnd"/>
      <w:r w:rsidR="009C6E67">
        <w:rPr>
          <w:rFonts w:asciiTheme="majorHAnsi" w:hAnsiTheme="majorHAnsi" w:cstheme="majorHAnsi"/>
          <w:lang w:bidi="ar-TN"/>
        </w:rPr>
        <w:t xml:space="preserve"> éléments de l’adoption de l’article 230 et surtout sa mise en œuvre par les tribunaux à Tunis entre 1913 et 1956.</w:t>
      </w:r>
    </w:p>
    <w:p w14:paraId="23F4CD53" w14:textId="2229C1A1" w:rsidR="00E749A6" w:rsidRDefault="009C6E67" w:rsidP="009C6E67">
      <w:pPr>
        <w:spacing w:line="240" w:lineRule="auto"/>
        <w:jc w:val="both"/>
        <w:rPr>
          <w:rFonts w:asciiTheme="majorHAnsi" w:hAnsiTheme="majorHAnsi" w:cstheme="majorHAnsi"/>
          <w:lang w:bidi="ar-TN"/>
        </w:rPr>
      </w:pPr>
      <w:r>
        <w:rPr>
          <w:rFonts w:asciiTheme="majorHAnsi" w:hAnsiTheme="majorHAnsi" w:cstheme="majorHAnsi"/>
          <w:lang w:bidi="ar-TN"/>
        </w:rPr>
        <w:t xml:space="preserve">Rappelons à ce niveau, que l’ADLI, et pour bien </w:t>
      </w:r>
      <w:r w:rsidR="000D16EA">
        <w:rPr>
          <w:rFonts w:asciiTheme="majorHAnsi" w:hAnsiTheme="majorHAnsi" w:cstheme="majorHAnsi"/>
          <w:lang w:bidi="ar-TN"/>
        </w:rPr>
        <w:t>comprendre</w:t>
      </w:r>
      <w:r w:rsidR="00E749A6">
        <w:rPr>
          <w:rFonts w:asciiTheme="majorHAnsi" w:hAnsiTheme="majorHAnsi" w:cstheme="majorHAnsi"/>
          <w:lang w:bidi="ar-TN"/>
        </w:rPr>
        <w:t xml:space="preserve"> la perception de l’homosexualité dans le contexte tunisien, a engagé une série de recherches :</w:t>
      </w:r>
    </w:p>
    <w:p w14:paraId="718041A4" w14:textId="32EF1AC1"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2020, L’attitude face à l’homosexualité dans ses liens avec l’empathie, lien</w:t>
      </w:r>
      <w:r w:rsidR="00212E9F">
        <w:rPr>
          <w:rFonts w:asciiTheme="majorHAnsi" w:hAnsiTheme="majorHAnsi" w:cstheme="majorHAnsi"/>
          <w:lang w:bidi="ar-TN"/>
        </w:rPr>
        <w:t xml:space="preserve"> de l’étude</w:t>
      </w:r>
      <w:r>
        <w:rPr>
          <w:rFonts w:asciiTheme="majorHAnsi" w:hAnsiTheme="majorHAnsi" w:cstheme="majorHAnsi"/>
          <w:lang w:bidi="ar-TN"/>
        </w:rPr>
        <w:t> :</w:t>
      </w:r>
      <w:r w:rsidR="00212E9F" w:rsidRPr="00212E9F">
        <w:t xml:space="preserve"> </w:t>
      </w:r>
      <w:hyperlink r:id="rId7" w:history="1">
        <w:r w:rsidR="00212E9F" w:rsidRPr="008B2C46">
          <w:rPr>
            <w:rStyle w:val="Lienhypertexte"/>
            <w:rFonts w:asciiTheme="majorHAnsi" w:hAnsiTheme="majorHAnsi" w:cstheme="majorHAnsi"/>
            <w:lang w:bidi="ar-TN"/>
          </w:rPr>
          <w:t>https://adlitn.org/download/lattitude-face-a-lhomosexualite-dans-ses-liens-avec-lempathie/</w:t>
        </w:r>
      </w:hyperlink>
      <w:r w:rsidR="00212E9F">
        <w:rPr>
          <w:rFonts w:asciiTheme="majorHAnsi" w:hAnsiTheme="majorHAnsi" w:cstheme="majorHAnsi"/>
          <w:lang w:bidi="ar-TN"/>
        </w:rPr>
        <w:t xml:space="preserve"> </w:t>
      </w:r>
    </w:p>
    <w:p w14:paraId="221F092F" w14:textId="38C0BB45" w:rsidR="00E749A6" w:rsidRPr="00E749A6" w:rsidRDefault="00E749A6" w:rsidP="00D044A7">
      <w:pPr>
        <w:spacing w:line="240" w:lineRule="auto"/>
        <w:jc w:val="both"/>
        <w:rPr>
          <w:rFonts w:asciiTheme="majorHAnsi" w:hAnsiTheme="majorHAnsi" w:cstheme="majorHAnsi"/>
          <w:lang w:val="en-US" w:bidi="ar-TN"/>
        </w:rPr>
      </w:pPr>
      <w:r w:rsidRPr="00E749A6">
        <w:rPr>
          <w:rFonts w:asciiTheme="majorHAnsi" w:hAnsiTheme="majorHAnsi" w:cstheme="majorHAnsi"/>
          <w:lang w:val="en-US" w:bidi="ar-TN"/>
        </w:rPr>
        <w:t xml:space="preserve">2022, Attitude toward homosexuality, comparative </w:t>
      </w:r>
      <w:proofErr w:type="gramStart"/>
      <w:r w:rsidRPr="00E749A6">
        <w:rPr>
          <w:rFonts w:asciiTheme="majorHAnsi" w:hAnsiTheme="majorHAnsi" w:cstheme="majorHAnsi"/>
          <w:lang w:val="en-US" w:bidi="ar-TN"/>
        </w:rPr>
        <w:t>study :</w:t>
      </w:r>
      <w:proofErr w:type="gramEnd"/>
      <w:r w:rsidRPr="00E749A6">
        <w:rPr>
          <w:rFonts w:asciiTheme="majorHAnsi" w:hAnsiTheme="majorHAnsi" w:cstheme="majorHAnsi"/>
          <w:lang w:val="en-US" w:bidi="ar-TN"/>
        </w:rPr>
        <w:t xml:space="preserve"> </w:t>
      </w:r>
      <w:r w:rsidR="000911BC" w:rsidRPr="00E749A6">
        <w:rPr>
          <w:rFonts w:asciiTheme="majorHAnsi" w:hAnsiTheme="majorHAnsi" w:cstheme="majorHAnsi"/>
          <w:lang w:val="en-US" w:bidi="ar-TN"/>
        </w:rPr>
        <w:t>Lebanon</w:t>
      </w:r>
      <w:r w:rsidRPr="00E749A6">
        <w:rPr>
          <w:rFonts w:asciiTheme="majorHAnsi" w:hAnsiTheme="majorHAnsi" w:cstheme="majorHAnsi"/>
          <w:lang w:val="en-US" w:bidi="ar-TN"/>
        </w:rPr>
        <w:t xml:space="preserve">, Marocco and Tunisia, Study on a sample lawyers ; </w:t>
      </w:r>
      <w:r>
        <w:rPr>
          <w:rFonts w:asciiTheme="majorHAnsi" w:hAnsiTheme="majorHAnsi" w:cstheme="majorHAnsi"/>
          <w:lang w:val="en-US" w:bidi="ar-TN"/>
        </w:rPr>
        <w:t>lien</w:t>
      </w:r>
      <w:r w:rsidR="008A47FB">
        <w:rPr>
          <w:rFonts w:asciiTheme="majorHAnsi" w:hAnsiTheme="majorHAnsi" w:cstheme="majorHAnsi"/>
          <w:lang w:val="en-US" w:bidi="ar-TN"/>
        </w:rPr>
        <w:t xml:space="preserve"> de étude</w:t>
      </w:r>
      <w:r>
        <w:rPr>
          <w:rFonts w:asciiTheme="majorHAnsi" w:hAnsiTheme="majorHAnsi" w:cstheme="majorHAnsi"/>
          <w:lang w:val="en-US" w:bidi="ar-TN"/>
        </w:rPr>
        <w:t>:</w:t>
      </w:r>
      <w:r w:rsidR="008A47FB" w:rsidRPr="008A47FB">
        <w:rPr>
          <w:lang w:val="en-US"/>
        </w:rPr>
        <w:t xml:space="preserve"> </w:t>
      </w:r>
      <w:hyperlink r:id="rId8" w:history="1">
        <w:r w:rsidR="008A47FB" w:rsidRPr="008B2C46">
          <w:rPr>
            <w:rStyle w:val="Lienhypertexte"/>
            <w:rFonts w:asciiTheme="majorHAnsi" w:hAnsiTheme="majorHAnsi" w:cstheme="majorHAnsi"/>
            <w:lang w:val="en-US" w:bidi="ar-TN"/>
          </w:rPr>
          <w:t>https://adlitn.org/attitude-toward-homosexuality/</w:t>
        </w:r>
      </w:hyperlink>
      <w:r w:rsidR="008A47FB">
        <w:rPr>
          <w:rFonts w:asciiTheme="majorHAnsi" w:hAnsiTheme="majorHAnsi" w:cstheme="majorHAnsi"/>
          <w:lang w:val="en-US" w:bidi="ar-TN"/>
        </w:rPr>
        <w:t xml:space="preserve"> </w:t>
      </w:r>
    </w:p>
    <w:p w14:paraId="276E6E9D" w14:textId="30C15BBF"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2023, L’affaire 230, la justice face à l’homosexualité, lien </w:t>
      </w:r>
      <w:r w:rsidR="008A47FB">
        <w:rPr>
          <w:rFonts w:asciiTheme="majorHAnsi" w:hAnsiTheme="majorHAnsi" w:cstheme="majorHAnsi"/>
          <w:lang w:bidi="ar-TN"/>
        </w:rPr>
        <w:t xml:space="preserve">de </w:t>
      </w:r>
      <w:proofErr w:type="gramStart"/>
      <w:r w:rsidR="008A47FB">
        <w:rPr>
          <w:rFonts w:asciiTheme="majorHAnsi" w:hAnsiTheme="majorHAnsi" w:cstheme="majorHAnsi"/>
          <w:lang w:bidi="ar-TN"/>
        </w:rPr>
        <w:t>l’étude</w:t>
      </w:r>
      <w:r>
        <w:rPr>
          <w:rFonts w:asciiTheme="majorHAnsi" w:hAnsiTheme="majorHAnsi" w:cstheme="majorHAnsi"/>
          <w:lang w:bidi="ar-TN"/>
        </w:rPr>
        <w:t>:</w:t>
      </w:r>
      <w:proofErr w:type="gramEnd"/>
      <w:r w:rsidR="008A47FB" w:rsidRPr="008A47FB">
        <w:t xml:space="preserve"> </w:t>
      </w:r>
      <w:hyperlink r:id="rId9" w:history="1">
        <w:r w:rsidR="008A47FB" w:rsidRPr="008B2C46">
          <w:rPr>
            <w:rStyle w:val="Lienhypertexte"/>
            <w:rFonts w:asciiTheme="majorHAnsi" w:hAnsiTheme="majorHAnsi" w:cstheme="majorHAnsi"/>
            <w:lang w:bidi="ar-TN"/>
          </w:rPr>
          <w:t>https://adlitn.org/laffaire-230-la-justice-face-a-lhomosexualite/</w:t>
        </w:r>
      </w:hyperlink>
      <w:r w:rsidR="008A47FB">
        <w:rPr>
          <w:rFonts w:asciiTheme="majorHAnsi" w:hAnsiTheme="majorHAnsi" w:cstheme="majorHAnsi"/>
          <w:lang w:bidi="ar-TN"/>
        </w:rPr>
        <w:t xml:space="preserve"> </w:t>
      </w:r>
    </w:p>
    <w:p w14:paraId="4FDB1617" w14:textId="1FFDDE7A" w:rsidR="009C6E67"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Et pour compléter cette série de travaux, l’ADLI engage</w:t>
      </w:r>
      <w:r w:rsidR="0002160D">
        <w:rPr>
          <w:rFonts w:asciiTheme="majorHAnsi" w:hAnsiTheme="majorHAnsi" w:cstheme="majorHAnsi"/>
          <w:lang w:bidi="ar-TN"/>
        </w:rPr>
        <w:t xml:space="preserve"> en 2025</w:t>
      </w:r>
      <w:r>
        <w:rPr>
          <w:rFonts w:asciiTheme="majorHAnsi" w:hAnsiTheme="majorHAnsi" w:cstheme="majorHAnsi"/>
          <w:lang w:bidi="ar-TN"/>
        </w:rPr>
        <w:t xml:space="preserve"> une </w:t>
      </w:r>
      <w:r w:rsidR="009C6E67">
        <w:rPr>
          <w:rFonts w:asciiTheme="majorHAnsi" w:hAnsiTheme="majorHAnsi" w:cstheme="majorHAnsi"/>
          <w:lang w:bidi="ar-TN"/>
        </w:rPr>
        <w:t xml:space="preserve">série de </w:t>
      </w:r>
      <w:r>
        <w:rPr>
          <w:rFonts w:asciiTheme="majorHAnsi" w:hAnsiTheme="majorHAnsi" w:cstheme="majorHAnsi"/>
          <w:lang w:bidi="ar-TN"/>
        </w:rPr>
        <w:t>nouvelle</w:t>
      </w:r>
      <w:r w:rsidR="009C6E67">
        <w:rPr>
          <w:rFonts w:asciiTheme="majorHAnsi" w:hAnsiTheme="majorHAnsi" w:cstheme="majorHAnsi"/>
          <w:lang w:bidi="ar-TN"/>
        </w:rPr>
        <w:t>s</w:t>
      </w:r>
      <w:r>
        <w:rPr>
          <w:rFonts w:asciiTheme="majorHAnsi" w:hAnsiTheme="majorHAnsi" w:cstheme="majorHAnsi"/>
          <w:lang w:bidi="ar-TN"/>
        </w:rPr>
        <w:t xml:space="preserve"> étude</w:t>
      </w:r>
      <w:r w:rsidR="009C6E67">
        <w:rPr>
          <w:rFonts w:asciiTheme="majorHAnsi" w:hAnsiTheme="majorHAnsi" w:cstheme="majorHAnsi"/>
          <w:lang w:bidi="ar-TN"/>
        </w:rPr>
        <w:t>s</w:t>
      </w:r>
      <w:r>
        <w:rPr>
          <w:rFonts w:asciiTheme="majorHAnsi" w:hAnsiTheme="majorHAnsi" w:cstheme="majorHAnsi"/>
          <w:lang w:bidi="ar-TN"/>
        </w:rPr>
        <w:t xml:space="preserve"> portant sur</w:t>
      </w:r>
      <w:r w:rsidR="009C6E67">
        <w:rPr>
          <w:rFonts w:asciiTheme="majorHAnsi" w:hAnsiTheme="majorHAnsi" w:cstheme="majorHAnsi"/>
          <w:lang w:bidi="ar-TN"/>
        </w:rPr>
        <w:t> :</w:t>
      </w:r>
    </w:p>
    <w:p w14:paraId="77E3CE9F" w14:textId="30B4A31D" w:rsidR="00E749A6" w:rsidRDefault="00E749A6" w:rsidP="00D044A7">
      <w:pPr>
        <w:spacing w:line="240" w:lineRule="auto"/>
        <w:jc w:val="both"/>
        <w:rPr>
          <w:rFonts w:asciiTheme="majorHAnsi" w:hAnsiTheme="majorHAnsi" w:cstheme="majorHAnsi"/>
          <w:lang w:bidi="ar-TN"/>
        </w:rPr>
      </w:pPr>
      <w:proofErr w:type="gramStart"/>
      <w:r>
        <w:rPr>
          <w:rFonts w:asciiTheme="majorHAnsi" w:hAnsiTheme="majorHAnsi" w:cstheme="majorHAnsi"/>
          <w:lang w:bidi="ar-TN"/>
        </w:rPr>
        <w:t>l’Attitude</w:t>
      </w:r>
      <w:proofErr w:type="gramEnd"/>
      <w:r>
        <w:rPr>
          <w:rFonts w:asciiTheme="majorHAnsi" w:hAnsiTheme="majorHAnsi" w:cstheme="majorHAnsi"/>
          <w:lang w:bidi="ar-TN"/>
        </w:rPr>
        <w:t xml:space="preserve"> des médias face à</w:t>
      </w:r>
      <w:r w:rsidR="000911BC">
        <w:rPr>
          <w:rFonts w:asciiTheme="majorHAnsi" w:hAnsiTheme="majorHAnsi" w:cstheme="majorHAnsi"/>
          <w:lang w:bidi="ar-TN"/>
        </w:rPr>
        <w:t xml:space="preserve"> l’homosexualité</w:t>
      </w:r>
      <w:r w:rsidR="009C6E67">
        <w:rPr>
          <w:rFonts w:asciiTheme="majorHAnsi" w:hAnsiTheme="majorHAnsi" w:cstheme="majorHAnsi"/>
          <w:lang w:bidi="ar-TN"/>
        </w:rPr>
        <w:t> ;</w:t>
      </w:r>
    </w:p>
    <w:p w14:paraId="1CE25A3E" w14:textId="0A8303D9" w:rsidR="009C6E67" w:rsidRDefault="009C6E67" w:rsidP="00D044A7">
      <w:pPr>
        <w:spacing w:line="240" w:lineRule="auto"/>
        <w:jc w:val="both"/>
        <w:rPr>
          <w:rFonts w:asciiTheme="majorHAnsi" w:hAnsiTheme="majorHAnsi" w:cstheme="majorHAnsi"/>
          <w:lang w:bidi="ar-TN"/>
        </w:rPr>
      </w:pPr>
      <w:r>
        <w:rPr>
          <w:rFonts w:asciiTheme="majorHAnsi" w:hAnsiTheme="majorHAnsi" w:cstheme="majorHAnsi"/>
          <w:lang w:bidi="ar-TN"/>
        </w:rPr>
        <w:lastRenderedPageBreak/>
        <w:t xml:space="preserve">L’attitude des </w:t>
      </w:r>
      <w:proofErr w:type="spellStart"/>
      <w:r>
        <w:rPr>
          <w:rFonts w:asciiTheme="majorHAnsi" w:hAnsiTheme="majorHAnsi" w:cstheme="majorHAnsi"/>
          <w:lang w:bidi="ar-TN"/>
        </w:rPr>
        <w:t>enseignant.</w:t>
      </w:r>
      <w:proofErr w:type="gramStart"/>
      <w:r>
        <w:rPr>
          <w:rFonts w:asciiTheme="majorHAnsi" w:hAnsiTheme="majorHAnsi" w:cstheme="majorHAnsi"/>
          <w:lang w:bidi="ar-TN"/>
        </w:rPr>
        <w:t>e.s</w:t>
      </w:r>
      <w:proofErr w:type="spellEnd"/>
      <w:proofErr w:type="gramEnd"/>
      <w:r>
        <w:rPr>
          <w:rFonts w:asciiTheme="majorHAnsi" w:hAnsiTheme="majorHAnsi" w:cstheme="majorHAnsi"/>
          <w:lang w:bidi="ar-TN"/>
        </w:rPr>
        <w:t xml:space="preserve"> face à l’homosexualité, et</w:t>
      </w:r>
    </w:p>
    <w:p w14:paraId="5F3752D4" w14:textId="4FB2E2B1" w:rsidR="009C6E67" w:rsidRDefault="009C6E67" w:rsidP="00D044A7">
      <w:pPr>
        <w:spacing w:line="240" w:lineRule="auto"/>
        <w:jc w:val="both"/>
        <w:rPr>
          <w:rFonts w:asciiTheme="majorHAnsi" w:hAnsiTheme="majorHAnsi" w:cstheme="majorHAnsi"/>
          <w:lang w:bidi="ar-TN"/>
        </w:rPr>
      </w:pPr>
      <w:r>
        <w:rPr>
          <w:rFonts w:asciiTheme="majorHAnsi" w:hAnsiTheme="majorHAnsi" w:cstheme="majorHAnsi"/>
          <w:lang w:bidi="ar-TN"/>
        </w:rPr>
        <w:t>Bien sûr l’étude relative à l’Article 230 dans les archives coloniales, objet de cet appel.</w:t>
      </w:r>
    </w:p>
    <w:p w14:paraId="2909AD08" w14:textId="05657A41" w:rsidR="000911BC" w:rsidRDefault="000911BC" w:rsidP="00D044A7">
      <w:pPr>
        <w:spacing w:line="240" w:lineRule="auto"/>
        <w:jc w:val="both"/>
        <w:rPr>
          <w:rFonts w:asciiTheme="majorHAnsi" w:hAnsiTheme="majorHAnsi" w:cstheme="majorHAnsi"/>
          <w:lang w:bidi="ar-TN"/>
        </w:rPr>
      </w:pPr>
    </w:p>
    <w:p w14:paraId="771646FF" w14:textId="77777777" w:rsidR="000911BC" w:rsidRDefault="000911BC" w:rsidP="00D044A7">
      <w:pPr>
        <w:spacing w:line="240" w:lineRule="auto"/>
        <w:jc w:val="both"/>
        <w:rPr>
          <w:rFonts w:asciiTheme="majorHAnsi" w:hAnsiTheme="majorHAnsi" w:cstheme="majorHAnsi"/>
          <w:lang w:bidi="ar-TN"/>
        </w:rPr>
      </w:pPr>
    </w:p>
    <w:p w14:paraId="5242C670" w14:textId="58CD407D" w:rsidR="000911BC" w:rsidRPr="000911BC" w:rsidRDefault="000911BC" w:rsidP="00D044A7">
      <w:pPr>
        <w:shd w:val="clear" w:color="auto" w:fill="D9D9D9" w:themeFill="background1" w:themeFillShade="D9"/>
        <w:spacing w:line="240" w:lineRule="auto"/>
        <w:jc w:val="both"/>
        <w:rPr>
          <w:rFonts w:asciiTheme="majorHAnsi" w:hAnsiTheme="majorHAnsi" w:cstheme="majorHAnsi"/>
          <w:b/>
          <w:bCs/>
          <w:lang w:bidi="ar-TN"/>
        </w:rPr>
      </w:pPr>
      <w:r w:rsidRPr="000911BC">
        <w:rPr>
          <w:rFonts w:asciiTheme="majorHAnsi" w:hAnsiTheme="majorHAnsi" w:cstheme="majorHAnsi"/>
          <w:b/>
          <w:bCs/>
          <w:lang w:bidi="ar-TN"/>
        </w:rPr>
        <w:t>Profil recherché :</w:t>
      </w:r>
    </w:p>
    <w:p w14:paraId="05889369" w14:textId="638BDB7D" w:rsidR="000911BC" w:rsidRPr="00212E9F" w:rsidRDefault="000911BC" w:rsidP="00D044A7">
      <w:pPr>
        <w:spacing w:line="240" w:lineRule="auto"/>
        <w:jc w:val="both"/>
        <w:rPr>
          <w:rFonts w:asciiTheme="majorHAnsi" w:hAnsiTheme="majorHAnsi" w:cstheme="majorHAnsi"/>
          <w:lang w:bidi="ar-TN"/>
        </w:rPr>
      </w:pPr>
    </w:p>
    <w:p w14:paraId="07703B08" w14:textId="42713373" w:rsidR="000911BC" w:rsidRPr="00212E9F" w:rsidRDefault="000911BC"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 xml:space="preserve">L’ADLI tend à recruter </w:t>
      </w:r>
      <w:proofErr w:type="spellStart"/>
      <w:proofErr w:type="gramStart"/>
      <w:r w:rsidRPr="00212E9F">
        <w:rPr>
          <w:rFonts w:asciiTheme="majorHAnsi" w:hAnsiTheme="majorHAnsi" w:cstheme="majorHAnsi"/>
          <w:lang w:bidi="ar-TN"/>
        </w:rPr>
        <w:t>un.e</w:t>
      </w:r>
      <w:proofErr w:type="spellEnd"/>
      <w:proofErr w:type="gramEnd"/>
      <w:r w:rsidRPr="00212E9F">
        <w:rPr>
          <w:rFonts w:asciiTheme="majorHAnsi" w:hAnsiTheme="majorHAnsi" w:cstheme="majorHAnsi"/>
          <w:lang w:bidi="ar-TN"/>
        </w:rPr>
        <w:t xml:space="preserve"> </w:t>
      </w:r>
      <w:proofErr w:type="spellStart"/>
      <w:r w:rsidRPr="00212E9F">
        <w:rPr>
          <w:rFonts w:asciiTheme="majorHAnsi" w:hAnsiTheme="majorHAnsi" w:cstheme="majorHAnsi"/>
          <w:lang w:bidi="ar-TN"/>
        </w:rPr>
        <w:t>chercheur.e</w:t>
      </w:r>
      <w:proofErr w:type="spellEnd"/>
      <w:r w:rsidRPr="00212E9F">
        <w:rPr>
          <w:rFonts w:asciiTheme="majorHAnsi" w:hAnsiTheme="majorHAnsi" w:cstheme="majorHAnsi"/>
          <w:lang w:bidi="ar-TN"/>
        </w:rPr>
        <w:t xml:space="preserve">. pour mener ce travail ; </w:t>
      </w:r>
      <w:r w:rsidR="009C6E67">
        <w:rPr>
          <w:rFonts w:asciiTheme="majorHAnsi" w:hAnsiTheme="majorHAnsi" w:cstheme="majorHAnsi"/>
          <w:lang w:bidi="ar-TN"/>
        </w:rPr>
        <w:t>en exigeant</w:t>
      </w:r>
      <w:r w:rsidRPr="00212E9F">
        <w:rPr>
          <w:rFonts w:asciiTheme="majorHAnsi" w:hAnsiTheme="majorHAnsi" w:cstheme="majorHAnsi"/>
          <w:lang w:bidi="ar-TN"/>
        </w:rPr>
        <w:t xml:space="preserve"> que le/la </w:t>
      </w:r>
      <w:proofErr w:type="spellStart"/>
      <w:r w:rsidRPr="00212E9F">
        <w:rPr>
          <w:rFonts w:asciiTheme="majorHAnsi" w:hAnsiTheme="majorHAnsi" w:cstheme="majorHAnsi"/>
          <w:lang w:bidi="ar-TN"/>
        </w:rPr>
        <w:t>chercheur.e</w:t>
      </w:r>
      <w:proofErr w:type="spellEnd"/>
      <w:r w:rsidRPr="00212E9F">
        <w:rPr>
          <w:rFonts w:asciiTheme="majorHAnsi" w:hAnsiTheme="majorHAnsi" w:cstheme="majorHAnsi"/>
          <w:lang w:bidi="ar-TN"/>
        </w:rPr>
        <w:t xml:space="preserve"> </w:t>
      </w:r>
      <w:r w:rsidR="009C6E67">
        <w:rPr>
          <w:rFonts w:asciiTheme="majorHAnsi" w:hAnsiTheme="majorHAnsi" w:cstheme="majorHAnsi"/>
          <w:lang w:bidi="ar-TN"/>
        </w:rPr>
        <w:t>doive</w:t>
      </w:r>
      <w:r w:rsidRPr="00212E9F">
        <w:rPr>
          <w:rFonts w:asciiTheme="majorHAnsi" w:hAnsiTheme="majorHAnsi" w:cstheme="majorHAnsi"/>
          <w:lang w:bidi="ar-TN"/>
        </w:rPr>
        <w:t xml:space="preserve"> réunir les conditions suivantes :</w:t>
      </w:r>
    </w:p>
    <w:p w14:paraId="36793275" w14:textId="67224CD8" w:rsidR="000911BC" w:rsidRPr="00212E9F" w:rsidRDefault="000911BC"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 diplôme universitaire</w:t>
      </w:r>
      <w:r w:rsidR="00380D3A">
        <w:rPr>
          <w:rFonts w:asciiTheme="majorHAnsi" w:hAnsiTheme="majorHAnsi" w:cstheme="majorHAnsi"/>
          <w:lang w:bidi="ar-TN"/>
        </w:rPr>
        <w:t xml:space="preserve"> (master ou doctorat en sciences humaines, sociales…)</w:t>
      </w:r>
      <w:r w:rsidRPr="00212E9F">
        <w:rPr>
          <w:rFonts w:asciiTheme="majorHAnsi" w:hAnsiTheme="majorHAnsi" w:cstheme="majorHAnsi"/>
          <w:lang w:bidi="ar-TN"/>
        </w:rPr>
        <w:t>,</w:t>
      </w:r>
    </w:p>
    <w:p w14:paraId="2949AB46" w14:textId="5FBB5C48" w:rsidR="000911BC" w:rsidRPr="00212E9F" w:rsidRDefault="000911BC"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 ensemble de travaux témoignant de l’intérêt accordé par le/ la chercheur à la thématique</w:t>
      </w:r>
    </w:p>
    <w:p w14:paraId="31D030AA" w14:textId="38F60B7E" w:rsidR="000911BC" w:rsidRPr="00212E9F" w:rsidRDefault="000911BC" w:rsidP="00D044A7">
      <w:pPr>
        <w:spacing w:line="240" w:lineRule="auto"/>
        <w:jc w:val="both"/>
        <w:rPr>
          <w:rFonts w:asciiTheme="majorHAnsi" w:hAnsiTheme="majorHAnsi" w:cstheme="majorHAnsi"/>
          <w:lang w:bidi="ar-TN"/>
        </w:rPr>
      </w:pPr>
    </w:p>
    <w:p w14:paraId="5223B0CC" w14:textId="139D467C" w:rsidR="000911BC" w:rsidRPr="00212E9F" w:rsidRDefault="000911BC" w:rsidP="00D044A7">
      <w:pPr>
        <w:shd w:val="clear" w:color="auto" w:fill="D9D9D9" w:themeFill="background1" w:themeFillShade="D9"/>
        <w:spacing w:line="240" w:lineRule="auto"/>
        <w:jc w:val="both"/>
        <w:rPr>
          <w:rFonts w:asciiTheme="majorHAnsi" w:hAnsiTheme="majorHAnsi" w:cstheme="majorHAnsi"/>
          <w:b/>
          <w:bCs/>
          <w:lang w:bidi="ar-TN"/>
        </w:rPr>
      </w:pPr>
      <w:r w:rsidRPr="00212E9F">
        <w:rPr>
          <w:rFonts w:asciiTheme="majorHAnsi" w:hAnsiTheme="majorHAnsi" w:cstheme="majorHAnsi"/>
          <w:b/>
          <w:bCs/>
          <w:lang w:bidi="ar-TN"/>
        </w:rPr>
        <w:t>Livrable :</w:t>
      </w:r>
    </w:p>
    <w:p w14:paraId="13A5B148" w14:textId="568ECD67" w:rsidR="000911BC" w:rsidRPr="00212E9F" w:rsidRDefault="000911BC" w:rsidP="00D044A7">
      <w:pPr>
        <w:spacing w:line="240" w:lineRule="auto"/>
        <w:jc w:val="both"/>
        <w:rPr>
          <w:rFonts w:asciiTheme="majorHAnsi" w:hAnsiTheme="majorHAnsi" w:cstheme="majorHAnsi"/>
          <w:lang w:bidi="ar-TN"/>
        </w:rPr>
      </w:pPr>
    </w:p>
    <w:p w14:paraId="3F6AD5BD" w14:textId="07CA825D" w:rsidR="000911BC" w:rsidRPr="00212E9F" w:rsidRDefault="000911BC"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Une étude rédigée dans l’une des trois langues (arabe, français ou anglais), avec une synthèse dans les deux autres langues</w:t>
      </w:r>
      <w:r w:rsidR="00680B3E" w:rsidRPr="00212E9F">
        <w:rPr>
          <w:rFonts w:asciiTheme="majorHAnsi" w:hAnsiTheme="majorHAnsi" w:cstheme="majorHAnsi"/>
          <w:lang w:bidi="ar-TN"/>
        </w:rPr>
        <w:t xml:space="preserve">, et ce avant le </w:t>
      </w:r>
      <w:r w:rsidR="009C6E67">
        <w:rPr>
          <w:rFonts w:asciiTheme="majorHAnsi" w:hAnsiTheme="majorHAnsi" w:cstheme="majorHAnsi"/>
          <w:lang w:bidi="ar-TN"/>
        </w:rPr>
        <w:t xml:space="preserve">17 </w:t>
      </w:r>
      <w:r w:rsidR="00380D3A">
        <w:rPr>
          <w:rFonts w:asciiTheme="majorHAnsi" w:hAnsiTheme="majorHAnsi" w:cstheme="majorHAnsi"/>
          <w:lang w:bidi="ar-TN"/>
        </w:rPr>
        <w:t>avril</w:t>
      </w:r>
      <w:r w:rsidR="00680B3E" w:rsidRPr="00212E9F">
        <w:rPr>
          <w:rFonts w:asciiTheme="majorHAnsi" w:hAnsiTheme="majorHAnsi" w:cstheme="majorHAnsi"/>
          <w:lang w:bidi="ar-TN"/>
        </w:rPr>
        <w:t xml:space="preserve"> 2025</w:t>
      </w:r>
      <w:r w:rsidRPr="00212E9F">
        <w:rPr>
          <w:rFonts w:asciiTheme="majorHAnsi" w:hAnsiTheme="majorHAnsi" w:cstheme="majorHAnsi"/>
          <w:lang w:bidi="ar-TN"/>
        </w:rPr>
        <w:t>.</w:t>
      </w:r>
    </w:p>
    <w:p w14:paraId="3806B60E" w14:textId="7482FABE" w:rsidR="000911BC" w:rsidRPr="00212E9F" w:rsidRDefault="000911BC" w:rsidP="00D044A7">
      <w:pPr>
        <w:spacing w:line="240" w:lineRule="auto"/>
        <w:jc w:val="both"/>
        <w:rPr>
          <w:rFonts w:asciiTheme="majorHAnsi" w:hAnsiTheme="majorHAnsi" w:cstheme="majorHAnsi"/>
          <w:lang w:bidi="ar-TN"/>
        </w:rPr>
      </w:pPr>
    </w:p>
    <w:p w14:paraId="19549B0A" w14:textId="483CFDF1" w:rsidR="00680B3E" w:rsidRPr="00212E9F" w:rsidRDefault="00680B3E" w:rsidP="00D044A7">
      <w:pPr>
        <w:shd w:val="clear" w:color="auto" w:fill="D9D9D9" w:themeFill="background1" w:themeFillShade="D9"/>
        <w:spacing w:line="240" w:lineRule="auto"/>
        <w:jc w:val="both"/>
        <w:rPr>
          <w:rFonts w:asciiTheme="majorHAnsi" w:hAnsiTheme="majorHAnsi" w:cstheme="majorHAnsi"/>
          <w:b/>
          <w:bCs/>
          <w:lang w:bidi="ar-TN"/>
        </w:rPr>
      </w:pPr>
      <w:r w:rsidRPr="00212E9F">
        <w:rPr>
          <w:rFonts w:asciiTheme="majorHAnsi" w:hAnsiTheme="majorHAnsi" w:cstheme="majorHAnsi"/>
          <w:b/>
          <w:bCs/>
          <w:lang w:bidi="ar-TN"/>
        </w:rPr>
        <w:t>Comment postuler</w:t>
      </w:r>
      <w:r w:rsidR="000911BC" w:rsidRPr="00212E9F">
        <w:rPr>
          <w:rFonts w:asciiTheme="majorHAnsi" w:hAnsiTheme="majorHAnsi" w:cstheme="majorHAnsi"/>
          <w:b/>
          <w:bCs/>
          <w:lang w:bidi="ar-TN"/>
        </w:rPr>
        <w:t> :</w:t>
      </w:r>
    </w:p>
    <w:p w14:paraId="64A866C4" w14:textId="74D8D941" w:rsidR="00680B3E" w:rsidRPr="00212E9F" w:rsidRDefault="00680B3E"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Les personnes intéressées doivent envoyer :</w:t>
      </w:r>
    </w:p>
    <w:p w14:paraId="55C22118" w14:textId="7C61276E"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 xml:space="preserve">Un CV </w:t>
      </w:r>
    </w:p>
    <w:p w14:paraId="02D6DDCF" w14:textId="54DD10C5"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Une lettre de motivation de 500 à 700 mots,</w:t>
      </w:r>
    </w:p>
    <w:p w14:paraId="3FD93314" w14:textId="655C40C2" w:rsidR="008A47FB" w:rsidRPr="00212E9F" w:rsidRDefault="008A47FB"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Une offre technique et financière,</w:t>
      </w:r>
    </w:p>
    <w:p w14:paraId="6CD70259" w14:textId="1C0E34CA"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Certains de leur</w:t>
      </w:r>
      <w:r w:rsidR="00E429B8">
        <w:rPr>
          <w:rFonts w:asciiTheme="majorHAnsi" w:hAnsiTheme="majorHAnsi" w:cstheme="majorHAnsi"/>
          <w:lang w:bidi="ar-TN"/>
        </w:rPr>
        <w:t>s</w:t>
      </w:r>
      <w:r w:rsidRPr="00212E9F">
        <w:rPr>
          <w:rFonts w:asciiTheme="majorHAnsi" w:hAnsiTheme="majorHAnsi" w:cstheme="majorHAnsi"/>
          <w:lang w:bidi="ar-TN"/>
        </w:rPr>
        <w:t xml:space="preserve"> </w:t>
      </w:r>
      <w:r w:rsidR="00E429B8">
        <w:rPr>
          <w:rFonts w:asciiTheme="majorHAnsi" w:hAnsiTheme="majorHAnsi" w:cstheme="majorHAnsi"/>
          <w:lang w:bidi="ar-TN"/>
        </w:rPr>
        <w:t>travaux</w:t>
      </w:r>
      <w:r w:rsidRPr="00212E9F">
        <w:rPr>
          <w:rFonts w:asciiTheme="majorHAnsi" w:hAnsiTheme="majorHAnsi" w:cstheme="majorHAnsi"/>
          <w:lang w:bidi="ar-TN"/>
        </w:rPr>
        <w:t xml:space="preserve"> portant sur la thématique (ou juste les liens)</w:t>
      </w:r>
    </w:p>
    <w:p w14:paraId="34B26EF4" w14:textId="315FC200" w:rsidR="00CE3FF4" w:rsidRDefault="00D044A7" w:rsidP="00D044A7">
      <w:pPr>
        <w:spacing w:line="240" w:lineRule="auto"/>
        <w:ind w:right="680"/>
        <w:jc w:val="both"/>
        <w:rPr>
          <w:rFonts w:asciiTheme="majorHAnsi" w:hAnsiTheme="majorHAnsi" w:cstheme="majorHAnsi"/>
        </w:rPr>
      </w:pPr>
      <w:r w:rsidRPr="00D044A7">
        <w:rPr>
          <w:rFonts w:asciiTheme="majorHAnsi" w:hAnsiTheme="majorHAnsi" w:cstheme="majorHAnsi"/>
        </w:rPr>
        <w:t>Les candidatures doivent être envoyées à l’adresse suivante :</w:t>
      </w:r>
      <w:r w:rsidR="00CE3FF4">
        <w:rPr>
          <w:rFonts w:asciiTheme="majorHAnsi" w:hAnsiTheme="majorHAnsi" w:cstheme="majorHAnsi"/>
        </w:rPr>
        <w:t xml:space="preserve"> </w:t>
      </w:r>
      <w:hyperlink r:id="rId10" w:history="1">
        <w:r w:rsidR="00CE3FF4" w:rsidRPr="00CE3FF4">
          <w:rPr>
            <w:rStyle w:val="Lienhypertexte"/>
            <w:rFonts w:asciiTheme="majorHAnsi" w:hAnsiTheme="majorHAnsi" w:cstheme="majorHAnsi"/>
          </w:rPr>
          <w:t>adliassociation2015@gmail.com</w:t>
        </w:r>
      </w:hyperlink>
      <w:r w:rsidR="00CE3FF4" w:rsidRPr="00CE3FF4">
        <w:rPr>
          <w:rFonts w:asciiTheme="majorHAnsi" w:hAnsiTheme="majorHAnsi" w:cstheme="majorHAnsi"/>
        </w:rPr>
        <w:t xml:space="preserve"> </w:t>
      </w:r>
    </w:p>
    <w:p w14:paraId="63F64135" w14:textId="361DEA4D" w:rsidR="00D044A7" w:rsidRPr="00D044A7" w:rsidRDefault="00D044A7" w:rsidP="00D044A7">
      <w:pPr>
        <w:spacing w:line="240" w:lineRule="auto"/>
        <w:ind w:right="680"/>
        <w:jc w:val="both"/>
        <w:rPr>
          <w:rFonts w:asciiTheme="majorHAnsi" w:hAnsiTheme="majorHAnsi" w:cstheme="majorHAnsi"/>
        </w:rPr>
      </w:pPr>
      <w:proofErr w:type="gramStart"/>
      <w:r w:rsidRPr="00CE3FF4">
        <w:rPr>
          <w:rFonts w:asciiTheme="majorHAnsi" w:hAnsiTheme="majorHAnsi" w:cstheme="majorHAnsi"/>
        </w:rPr>
        <w:t>en</w:t>
      </w:r>
      <w:proofErr w:type="gramEnd"/>
      <w:r w:rsidRPr="00CE3FF4">
        <w:rPr>
          <w:rFonts w:asciiTheme="majorHAnsi" w:hAnsiTheme="majorHAnsi" w:cstheme="majorHAnsi"/>
        </w:rPr>
        <w:t xml:space="preserve"> mentionnant comme objet</w:t>
      </w:r>
      <w:r w:rsidR="00E429B8" w:rsidRPr="00CE3FF4">
        <w:rPr>
          <w:rFonts w:asciiTheme="majorHAnsi" w:hAnsiTheme="majorHAnsi" w:cstheme="majorHAnsi"/>
        </w:rPr>
        <w:t xml:space="preserve"> </w:t>
      </w:r>
      <w:r w:rsidRPr="00CE3FF4">
        <w:rPr>
          <w:rFonts w:asciiTheme="majorHAnsi" w:hAnsiTheme="majorHAnsi" w:cstheme="majorHAnsi"/>
        </w:rPr>
        <w:t xml:space="preserve">: </w:t>
      </w:r>
      <w:r w:rsidR="009C6E67" w:rsidRPr="00CE3FF4">
        <w:rPr>
          <w:rFonts w:asciiTheme="majorHAnsi" w:hAnsiTheme="majorHAnsi" w:cstheme="majorHAnsi"/>
          <w:b/>
          <w:bCs/>
          <w:color w:val="0070C0"/>
        </w:rPr>
        <w:t>« Les archives coloniales</w:t>
      </w:r>
      <w:r w:rsidR="009C6E67" w:rsidRPr="009C6E67">
        <w:rPr>
          <w:rFonts w:asciiTheme="majorHAnsi" w:hAnsiTheme="majorHAnsi" w:cstheme="majorHAnsi"/>
          <w:b/>
          <w:bCs/>
          <w:color w:val="0070C0"/>
        </w:rPr>
        <w:t xml:space="preserve"> de l’article 230 »</w:t>
      </w:r>
      <w:r w:rsidRPr="009C6E67">
        <w:rPr>
          <w:rFonts w:asciiTheme="majorHAnsi" w:hAnsiTheme="majorHAnsi" w:cstheme="majorHAnsi"/>
          <w:b/>
          <w:bCs/>
          <w:color w:val="0070C0"/>
        </w:rPr>
        <w:t>.</w:t>
      </w:r>
    </w:p>
    <w:p w14:paraId="16C3AC7A" w14:textId="77777777" w:rsidR="00680B3E" w:rsidRPr="00212E9F" w:rsidRDefault="00680B3E" w:rsidP="00D044A7">
      <w:pPr>
        <w:spacing w:line="240" w:lineRule="auto"/>
        <w:jc w:val="both"/>
        <w:rPr>
          <w:rFonts w:asciiTheme="majorHAnsi" w:hAnsiTheme="majorHAnsi" w:cstheme="majorHAnsi"/>
          <w:lang w:bidi="ar-TN"/>
        </w:rPr>
      </w:pPr>
    </w:p>
    <w:p w14:paraId="3F4581F1" w14:textId="77777777" w:rsidR="00212E9F" w:rsidRPr="00212E9F" w:rsidRDefault="00212E9F" w:rsidP="00D044A7">
      <w:pPr>
        <w:shd w:val="clear" w:color="auto" w:fill="D9D9D9"/>
        <w:spacing w:line="240" w:lineRule="auto"/>
        <w:ind w:right="680"/>
        <w:jc w:val="both"/>
        <w:rPr>
          <w:rFonts w:asciiTheme="majorHAnsi" w:hAnsiTheme="majorHAnsi" w:cstheme="majorHAnsi"/>
        </w:rPr>
      </w:pPr>
      <w:r w:rsidRPr="00212E9F">
        <w:rPr>
          <w:rFonts w:asciiTheme="majorHAnsi" w:hAnsiTheme="majorHAnsi" w:cstheme="majorHAnsi"/>
          <w:b/>
        </w:rPr>
        <w:t>Durée de la mission :</w:t>
      </w:r>
    </w:p>
    <w:p w14:paraId="6896E266" w14:textId="0B64A7BA" w:rsidR="00212E9F" w:rsidRPr="00D044A7" w:rsidRDefault="00212E9F" w:rsidP="00D044A7">
      <w:pPr>
        <w:numPr>
          <w:ilvl w:val="0"/>
          <w:numId w:val="9"/>
        </w:numPr>
        <w:spacing w:line="240" w:lineRule="auto"/>
        <w:ind w:left="0" w:right="680" w:firstLine="0"/>
        <w:jc w:val="both"/>
        <w:rPr>
          <w:rFonts w:asciiTheme="majorHAnsi" w:hAnsiTheme="majorHAnsi" w:cstheme="majorHAnsi"/>
        </w:rPr>
      </w:pPr>
      <w:r w:rsidRPr="00212E9F">
        <w:rPr>
          <w:rFonts w:asciiTheme="majorHAnsi" w:hAnsiTheme="majorHAnsi" w:cstheme="majorHAnsi"/>
        </w:rPr>
        <w:t xml:space="preserve">La mission dure </w:t>
      </w:r>
      <w:r w:rsidR="009C6E67">
        <w:rPr>
          <w:rFonts w:asciiTheme="majorHAnsi" w:hAnsiTheme="majorHAnsi" w:cstheme="majorHAnsi"/>
          <w:b/>
        </w:rPr>
        <w:t xml:space="preserve">30 </w:t>
      </w:r>
      <w:r w:rsidRPr="00212E9F">
        <w:rPr>
          <w:rFonts w:asciiTheme="majorHAnsi" w:hAnsiTheme="majorHAnsi" w:cstheme="majorHAnsi"/>
          <w:b/>
        </w:rPr>
        <w:t xml:space="preserve">jours entre le </w:t>
      </w:r>
      <w:r w:rsidR="002219B9">
        <w:rPr>
          <w:rFonts w:asciiTheme="majorHAnsi" w:hAnsiTheme="majorHAnsi" w:cstheme="majorHAnsi"/>
          <w:b/>
        </w:rPr>
        <w:t>7</w:t>
      </w:r>
      <w:r w:rsidR="009C6E67">
        <w:rPr>
          <w:rFonts w:asciiTheme="majorHAnsi" w:hAnsiTheme="majorHAnsi" w:cstheme="majorHAnsi"/>
          <w:b/>
        </w:rPr>
        <w:t xml:space="preserve"> février et le 17 mai</w:t>
      </w:r>
      <w:r w:rsidR="00D044A7">
        <w:rPr>
          <w:rFonts w:asciiTheme="majorHAnsi" w:hAnsiTheme="majorHAnsi" w:cstheme="majorHAnsi"/>
          <w:b/>
        </w:rPr>
        <w:t xml:space="preserve"> 2025 </w:t>
      </w:r>
      <w:r w:rsidRPr="00D044A7">
        <w:rPr>
          <w:rFonts w:asciiTheme="majorHAnsi" w:hAnsiTheme="majorHAnsi" w:cstheme="majorHAnsi"/>
        </w:rPr>
        <w:t>.</w:t>
      </w:r>
    </w:p>
    <w:p w14:paraId="2DE57BDE" w14:textId="77777777" w:rsidR="00D044A7" w:rsidRPr="00212E9F" w:rsidRDefault="00D044A7" w:rsidP="00D044A7">
      <w:pPr>
        <w:spacing w:line="240" w:lineRule="auto"/>
        <w:ind w:right="680"/>
        <w:jc w:val="both"/>
        <w:rPr>
          <w:rFonts w:asciiTheme="majorHAnsi" w:hAnsiTheme="majorHAnsi" w:cstheme="majorHAnsi"/>
        </w:rPr>
      </w:pPr>
    </w:p>
    <w:p w14:paraId="5E381778" w14:textId="77777777" w:rsidR="00212E9F" w:rsidRPr="00212E9F" w:rsidRDefault="00212E9F" w:rsidP="00D044A7">
      <w:pPr>
        <w:shd w:val="clear" w:color="auto" w:fill="D9D9D9"/>
        <w:spacing w:line="240" w:lineRule="auto"/>
        <w:ind w:right="680"/>
        <w:jc w:val="both"/>
        <w:rPr>
          <w:rFonts w:asciiTheme="majorHAnsi" w:hAnsiTheme="majorHAnsi" w:cstheme="majorHAnsi"/>
        </w:rPr>
      </w:pPr>
      <w:r w:rsidRPr="00212E9F">
        <w:rPr>
          <w:rFonts w:asciiTheme="majorHAnsi" w:hAnsiTheme="majorHAnsi" w:cstheme="majorHAnsi"/>
          <w:b/>
        </w:rPr>
        <w:t xml:space="preserve">Délai de soumission des </w:t>
      </w:r>
      <w:proofErr w:type="gramStart"/>
      <w:r w:rsidRPr="00212E9F">
        <w:rPr>
          <w:rFonts w:asciiTheme="majorHAnsi" w:hAnsiTheme="majorHAnsi" w:cstheme="majorHAnsi"/>
          <w:b/>
        </w:rPr>
        <w:t>candidatures:</w:t>
      </w:r>
      <w:proofErr w:type="gramEnd"/>
    </w:p>
    <w:p w14:paraId="28E94258" w14:textId="1900DE4E" w:rsidR="00212E9F" w:rsidRPr="00212E9F" w:rsidRDefault="00212E9F" w:rsidP="00D044A7">
      <w:pPr>
        <w:numPr>
          <w:ilvl w:val="0"/>
          <w:numId w:val="8"/>
        </w:numPr>
        <w:spacing w:line="240" w:lineRule="auto"/>
        <w:ind w:left="0" w:right="680" w:firstLine="0"/>
        <w:jc w:val="both"/>
        <w:rPr>
          <w:rFonts w:asciiTheme="majorHAnsi" w:hAnsiTheme="majorHAnsi" w:cstheme="majorHAnsi"/>
          <w:b/>
        </w:rPr>
      </w:pPr>
      <w:r w:rsidRPr="00212E9F">
        <w:rPr>
          <w:rFonts w:asciiTheme="majorHAnsi" w:hAnsiTheme="majorHAnsi" w:cstheme="majorHAnsi"/>
        </w:rPr>
        <w:t>Le dernier délai de soumission des candidatures aura lieu le</w:t>
      </w:r>
      <w:r w:rsidRPr="00212E9F">
        <w:rPr>
          <w:rFonts w:asciiTheme="majorHAnsi" w:hAnsiTheme="majorHAnsi" w:cstheme="majorHAnsi"/>
          <w:b/>
        </w:rPr>
        <w:t> </w:t>
      </w:r>
      <w:r w:rsidR="00AB4C1F">
        <w:rPr>
          <w:rFonts w:asciiTheme="majorHAnsi" w:hAnsiTheme="majorHAnsi" w:cstheme="majorHAnsi"/>
          <w:b/>
          <w:color w:val="FF0000"/>
        </w:rPr>
        <w:t>30</w:t>
      </w:r>
      <w:r w:rsidR="009C6E67">
        <w:rPr>
          <w:rFonts w:asciiTheme="majorHAnsi" w:hAnsiTheme="majorHAnsi" w:cstheme="majorHAnsi"/>
          <w:b/>
          <w:color w:val="FF0000"/>
        </w:rPr>
        <w:t xml:space="preserve"> </w:t>
      </w:r>
      <w:r w:rsidR="00D044A7">
        <w:rPr>
          <w:rFonts w:asciiTheme="majorHAnsi" w:hAnsiTheme="majorHAnsi" w:cstheme="majorHAnsi"/>
          <w:b/>
          <w:color w:val="FF0000"/>
        </w:rPr>
        <w:t>janvier 2025</w:t>
      </w:r>
      <w:r w:rsidRPr="00212E9F">
        <w:rPr>
          <w:rFonts w:asciiTheme="majorHAnsi" w:hAnsiTheme="majorHAnsi" w:cstheme="majorHAnsi"/>
          <w:b/>
          <w:color w:val="0070C0"/>
        </w:rPr>
        <w:t>.</w:t>
      </w:r>
    </w:p>
    <w:p w14:paraId="25812F06" w14:textId="16301BEB" w:rsidR="00680B3E" w:rsidRPr="00212E9F" w:rsidRDefault="00680B3E" w:rsidP="00D044A7">
      <w:pPr>
        <w:spacing w:line="240" w:lineRule="auto"/>
        <w:jc w:val="both"/>
        <w:rPr>
          <w:rFonts w:asciiTheme="majorHAnsi" w:hAnsiTheme="majorHAnsi" w:cstheme="majorHAnsi"/>
          <w:lang w:bidi="ar-TN"/>
        </w:rPr>
      </w:pPr>
    </w:p>
    <w:p w14:paraId="027C289A" w14:textId="661C4C4B" w:rsidR="000D16EA" w:rsidRPr="00212E9F" w:rsidRDefault="000D16EA" w:rsidP="00212E9F">
      <w:pPr>
        <w:jc w:val="both"/>
        <w:rPr>
          <w:rFonts w:asciiTheme="majorHAnsi" w:eastAsia="Times New Roman" w:hAnsiTheme="majorHAnsi" w:cstheme="majorHAnsi"/>
          <w:color w:val="24272A"/>
        </w:rPr>
      </w:pPr>
    </w:p>
    <w:p w14:paraId="66A7C909" w14:textId="2AF9851F" w:rsidR="00212E9F" w:rsidRPr="00212E9F" w:rsidRDefault="00212E9F" w:rsidP="00212E9F">
      <w:pPr>
        <w:jc w:val="both"/>
        <w:rPr>
          <w:rFonts w:asciiTheme="majorHAnsi" w:eastAsia="Times New Roman" w:hAnsiTheme="majorHAnsi" w:cstheme="majorHAnsi"/>
          <w:color w:val="24272A"/>
        </w:rPr>
      </w:pPr>
      <w:r w:rsidRPr="00212E9F">
        <w:rPr>
          <w:rFonts w:asciiTheme="majorHAnsi" w:hAnsiTheme="majorHAnsi" w:cstheme="majorHAnsi"/>
        </w:rPr>
        <w:t xml:space="preserve"> </w:t>
      </w:r>
    </w:p>
    <w:sectPr w:rsidR="00212E9F" w:rsidRPr="00212E9F">
      <w:headerReference w:type="default" r:id="rId11"/>
      <w:pgSz w:w="11909" w:h="16834"/>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EB175" w14:textId="77777777" w:rsidR="00CA00A5" w:rsidRDefault="00CA00A5">
      <w:pPr>
        <w:spacing w:line="240" w:lineRule="auto"/>
      </w:pPr>
      <w:r>
        <w:separator/>
      </w:r>
    </w:p>
  </w:endnote>
  <w:endnote w:type="continuationSeparator" w:id="0">
    <w:p w14:paraId="449C6819" w14:textId="77777777" w:rsidR="00CA00A5" w:rsidRDefault="00CA0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1E06" w14:textId="77777777" w:rsidR="00CA00A5" w:rsidRDefault="00CA00A5">
      <w:pPr>
        <w:spacing w:line="240" w:lineRule="auto"/>
      </w:pPr>
      <w:r>
        <w:separator/>
      </w:r>
    </w:p>
  </w:footnote>
  <w:footnote w:type="continuationSeparator" w:id="0">
    <w:p w14:paraId="31F5E6D1" w14:textId="77777777" w:rsidR="00CA00A5" w:rsidRDefault="00CA0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9182" w14:textId="7D2B516E" w:rsidR="00F77893" w:rsidRDefault="00F77893" w:rsidP="008F657B">
    <w:pPr>
      <w:widowControl w:val="0"/>
      <w:spacing w:line="240" w:lineRule="auto"/>
    </w:pPr>
    <w:r>
      <w:rPr>
        <w:noProof/>
        <w:lang w:val="fr-FR"/>
      </w:rPr>
      <w:drawing>
        <wp:anchor distT="114300" distB="114300" distL="114300" distR="114300" simplePos="0" relativeHeight="251658240" behindDoc="1" locked="0" layoutInCell="1" hidden="0" allowOverlap="1" wp14:anchorId="2E2BFCCE" wp14:editId="25EC5373">
          <wp:simplePos x="0" y="0"/>
          <wp:positionH relativeFrom="column">
            <wp:posOffset>4581525</wp:posOffset>
          </wp:positionH>
          <wp:positionV relativeFrom="paragraph">
            <wp:posOffset>8255</wp:posOffset>
          </wp:positionV>
          <wp:extent cx="1003527" cy="7143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527" cy="714375"/>
                  </a:xfrm>
                  <a:prstGeom prst="rect">
                    <a:avLst/>
                  </a:prstGeom>
                  <a:ln/>
                </pic:spPr>
              </pic:pic>
            </a:graphicData>
          </a:graphic>
        </wp:anchor>
      </w:drawing>
    </w:r>
    <w:r>
      <w:rPr>
        <w:noProof/>
      </w:rPr>
      <w:drawing>
        <wp:inline distT="0" distB="0" distL="0" distR="0" wp14:anchorId="78D42BE4" wp14:editId="7EA4C7C7">
          <wp:extent cx="932815" cy="8803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085" cy="9220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CAB"/>
    <w:multiLevelType w:val="multilevel"/>
    <w:tmpl w:val="628E72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013636F"/>
    <w:multiLevelType w:val="multilevel"/>
    <w:tmpl w:val="EFA07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0A34DE"/>
    <w:multiLevelType w:val="hybridMultilevel"/>
    <w:tmpl w:val="6248CFF2"/>
    <w:lvl w:ilvl="0" w:tplc="67B2AD7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56184"/>
    <w:multiLevelType w:val="multilevel"/>
    <w:tmpl w:val="C5B41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C56999"/>
    <w:multiLevelType w:val="multilevel"/>
    <w:tmpl w:val="E332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DA44BA"/>
    <w:multiLevelType w:val="multilevel"/>
    <w:tmpl w:val="9C7AA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CA1F42"/>
    <w:multiLevelType w:val="multilevel"/>
    <w:tmpl w:val="D2FEF228"/>
    <w:lvl w:ilvl="0">
      <w:start w:val="1"/>
      <w:numFmt w:val="bullet"/>
      <w:lvlText w:val="●"/>
      <w:lvlJc w:val="left"/>
      <w:pPr>
        <w:ind w:left="720" w:hanging="360"/>
      </w:pPr>
      <w:rPr>
        <w:rFonts w:ascii="Times New Roman" w:eastAsia="Times New Roman" w:hAnsi="Times New Roman" w:cs="Times New Roman"/>
        <w:color w:val="2427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B870C1"/>
    <w:multiLevelType w:val="multilevel"/>
    <w:tmpl w:val="F4E49218"/>
    <w:lvl w:ilvl="0">
      <w:start w:val="1"/>
      <w:numFmt w:val="bullet"/>
      <w:lvlText w:val="●"/>
      <w:lvlJc w:val="left"/>
      <w:pPr>
        <w:ind w:left="720" w:hanging="360"/>
      </w:pPr>
      <w:rPr>
        <w:rFonts w:ascii="Times New Roman" w:eastAsia="Times New Roman" w:hAnsi="Times New Roman" w:cs="Times New Roman"/>
        <w:color w:val="24272A"/>
        <w:sz w:val="27"/>
        <w:szCs w:val="27"/>
        <w:u w:val="none"/>
      </w:rPr>
    </w:lvl>
    <w:lvl w:ilvl="1">
      <w:start w:val="1"/>
      <w:numFmt w:val="bullet"/>
      <w:lvlText w:val="○"/>
      <w:lvlJc w:val="left"/>
      <w:pPr>
        <w:ind w:left="1440" w:hanging="360"/>
      </w:pPr>
      <w:rPr>
        <w:rFonts w:ascii="Times New Roman" w:eastAsia="Times New Roman" w:hAnsi="Times New Roman" w:cs="Times New Roman"/>
        <w:color w:val="24272A"/>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1E07FA"/>
    <w:multiLevelType w:val="multilevel"/>
    <w:tmpl w:val="8B2A30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11254331">
    <w:abstractNumId w:val="6"/>
  </w:num>
  <w:num w:numId="2" w16cid:durableId="1905525720">
    <w:abstractNumId w:val="4"/>
  </w:num>
  <w:num w:numId="3" w16cid:durableId="385641071">
    <w:abstractNumId w:val="7"/>
  </w:num>
  <w:num w:numId="4" w16cid:durableId="842471148">
    <w:abstractNumId w:val="0"/>
  </w:num>
  <w:num w:numId="5" w16cid:durableId="651443237">
    <w:abstractNumId w:val="5"/>
  </w:num>
  <w:num w:numId="6" w16cid:durableId="957492151">
    <w:abstractNumId w:val="2"/>
  </w:num>
  <w:num w:numId="7" w16cid:durableId="257955464">
    <w:abstractNumId w:val="1"/>
  </w:num>
  <w:num w:numId="8" w16cid:durableId="1979383892">
    <w:abstractNumId w:val="3"/>
  </w:num>
  <w:num w:numId="9" w16cid:durableId="543295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B5"/>
    <w:rsid w:val="0002160D"/>
    <w:rsid w:val="00052B48"/>
    <w:rsid w:val="000911BC"/>
    <w:rsid w:val="00095D21"/>
    <w:rsid w:val="000A1BFF"/>
    <w:rsid w:val="000D0C73"/>
    <w:rsid w:val="000D16EA"/>
    <w:rsid w:val="001177F4"/>
    <w:rsid w:val="00133ED4"/>
    <w:rsid w:val="00145B5C"/>
    <w:rsid w:val="00150103"/>
    <w:rsid w:val="001A2ADB"/>
    <w:rsid w:val="001A489D"/>
    <w:rsid w:val="001B6F9A"/>
    <w:rsid w:val="0020627A"/>
    <w:rsid w:val="00212E9F"/>
    <w:rsid w:val="00212FAC"/>
    <w:rsid w:val="002219B9"/>
    <w:rsid w:val="002A4F19"/>
    <w:rsid w:val="002C2D62"/>
    <w:rsid w:val="00380D3A"/>
    <w:rsid w:val="0039002D"/>
    <w:rsid w:val="003938B4"/>
    <w:rsid w:val="003D0BAE"/>
    <w:rsid w:val="003F2505"/>
    <w:rsid w:val="00582837"/>
    <w:rsid w:val="00586411"/>
    <w:rsid w:val="00636C71"/>
    <w:rsid w:val="0065289D"/>
    <w:rsid w:val="00680B3E"/>
    <w:rsid w:val="006C6908"/>
    <w:rsid w:val="006E126D"/>
    <w:rsid w:val="006E1771"/>
    <w:rsid w:val="007035F6"/>
    <w:rsid w:val="00833E20"/>
    <w:rsid w:val="00867A52"/>
    <w:rsid w:val="008A47FB"/>
    <w:rsid w:val="008B457F"/>
    <w:rsid w:val="008D0F94"/>
    <w:rsid w:val="008E5CAD"/>
    <w:rsid w:val="008F657B"/>
    <w:rsid w:val="0091202B"/>
    <w:rsid w:val="009B2036"/>
    <w:rsid w:val="009C6E67"/>
    <w:rsid w:val="009D43AF"/>
    <w:rsid w:val="00A15DB7"/>
    <w:rsid w:val="00A262AE"/>
    <w:rsid w:val="00A45643"/>
    <w:rsid w:val="00A505B5"/>
    <w:rsid w:val="00AB4C1F"/>
    <w:rsid w:val="00B46BC6"/>
    <w:rsid w:val="00B72A50"/>
    <w:rsid w:val="00B97F40"/>
    <w:rsid w:val="00BA54C8"/>
    <w:rsid w:val="00BC0454"/>
    <w:rsid w:val="00BE2DE6"/>
    <w:rsid w:val="00C01A05"/>
    <w:rsid w:val="00C85A71"/>
    <w:rsid w:val="00C910F5"/>
    <w:rsid w:val="00CA00A5"/>
    <w:rsid w:val="00CD5405"/>
    <w:rsid w:val="00CE3FF4"/>
    <w:rsid w:val="00D02E44"/>
    <w:rsid w:val="00D044A7"/>
    <w:rsid w:val="00D7005F"/>
    <w:rsid w:val="00DA5FDB"/>
    <w:rsid w:val="00DC3640"/>
    <w:rsid w:val="00E3384A"/>
    <w:rsid w:val="00E429B8"/>
    <w:rsid w:val="00E749A6"/>
    <w:rsid w:val="00F01C6E"/>
    <w:rsid w:val="00F13970"/>
    <w:rsid w:val="00F2525F"/>
    <w:rsid w:val="00F27134"/>
    <w:rsid w:val="00F77893"/>
    <w:rsid w:val="00FE6BB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11A3"/>
  <w15:docId w15:val="{13C462AB-6C15-47DC-A7DE-4C3DA451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8F657B"/>
    <w:pPr>
      <w:tabs>
        <w:tab w:val="center" w:pos="4536"/>
        <w:tab w:val="right" w:pos="9072"/>
      </w:tabs>
      <w:spacing w:line="240" w:lineRule="auto"/>
    </w:pPr>
  </w:style>
  <w:style w:type="character" w:customStyle="1" w:styleId="En-tteCar">
    <w:name w:val="En-tête Car"/>
    <w:basedOn w:val="Policepardfaut"/>
    <w:link w:val="En-tte"/>
    <w:uiPriority w:val="99"/>
    <w:rsid w:val="008F657B"/>
  </w:style>
  <w:style w:type="paragraph" w:styleId="Pieddepage">
    <w:name w:val="footer"/>
    <w:basedOn w:val="Normal"/>
    <w:link w:val="PieddepageCar"/>
    <w:uiPriority w:val="99"/>
    <w:unhideWhenUsed/>
    <w:rsid w:val="008F657B"/>
    <w:pPr>
      <w:tabs>
        <w:tab w:val="center" w:pos="4536"/>
        <w:tab w:val="right" w:pos="9072"/>
      </w:tabs>
      <w:spacing w:line="240" w:lineRule="auto"/>
    </w:pPr>
  </w:style>
  <w:style w:type="character" w:customStyle="1" w:styleId="PieddepageCar">
    <w:name w:val="Pied de page Car"/>
    <w:basedOn w:val="Policepardfaut"/>
    <w:link w:val="Pieddepage"/>
    <w:uiPriority w:val="99"/>
    <w:rsid w:val="008F657B"/>
  </w:style>
  <w:style w:type="character" w:styleId="Lienhypertexte">
    <w:name w:val="Hyperlink"/>
    <w:basedOn w:val="Policepardfaut"/>
    <w:uiPriority w:val="99"/>
    <w:unhideWhenUsed/>
    <w:rsid w:val="00095D21"/>
    <w:rPr>
      <w:color w:val="0000FF" w:themeColor="hyperlink"/>
      <w:u w:val="single"/>
    </w:rPr>
  </w:style>
  <w:style w:type="character" w:styleId="Mentionnonrsolue">
    <w:name w:val="Unresolved Mention"/>
    <w:basedOn w:val="Policepardfaut"/>
    <w:uiPriority w:val="99"/>
    <w:semiHidden/>
    <w:unhideWhenUsed/>
    <w:rsid w:val="00095D21"/>
    <w:rPr>
      <w:color w:val="605E5C"/>
      <w:shd w:val="clear" w:color="auto" w:fill="E1DFDD"/>
    </w:rPr>
  </w:style>
  <w:style w:type="paragraph" w:styleId="Notedebasdepage">
    <w:name w:val="footnote text"/>
    <w:basedOn w:val="Normal"/>
    <w:link w:val="NotedebasdepageCar"/>
    <w:uiPriority w:val="99"/>
    <w:semiHidden/>
    <w:rsid w:val="00582837"/>
    <w:pPr>
      <w:spacing w:line="240" w:lineRule="auto"/>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582837"/>
    <w:rPr>
      <w:rFonts w:ascii="Times New Roman" w:eastAsia="Times New Roman" w:hAnsi="Times New Roman" w:cs="Times New Roman"/>
      <w:sz w:val="20"/>
      <w:szCs w:val="20"/>
      <w:lang w:val="fr-FR"/>
    </w:rPr>
  </w:style>
  <w:style w:type="character" w:styleId="Appelnotedebasdep">
    <w:name w:val="footnote reference"/>
    <w:uiPriority w:val="99"/>
    <w:semiHidden/>
    <w:rsid w:val="00582837"/>
    <w:rPr>
      <w:vertAlign w:val="superscript"/>
    </w:rPr>
  </w:style>
  <w:style w:type="paragraph" w:styleId="Paragraphedeliste">
    <w:name w:val="List Paragraph"/>
    <w:basedOn w:val="Normal"/>
    <w:uiPriority w:val="34"/>
    <w:qFormat/>
    <w:rsid w:val="000911BC"/>
    <w:pPr>
      <w:ind w:left="720"/>
      <w:contextualSpacing/>
    </w:pPr>
  </w:style>
  <w:style w:type="paragraph" w:styleId="Textedebulles">
    <w:name w:val="Balloon Text"/>
    <w:basedOn w:val="Normal"/>
    <w:link w:val="TextedebullesCar"/>
    <w:uiPriority w:val="99"/>
    <w:semiHidden/>
    <w:unhideWhenUsed/>
    <w:rsid w:val="00212E9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E9F"/>
    <w:rPr>
      <w:rFonts w:ascii="Segoe UI" w:hAnsi="Segoe UI" w:cs="Segoe UI"/>
      <w:sz w:val="18"/>
      <w:szCs w:val="18"/>
    </w:rPr>
  </w:style>
  <w:style w:type="paragraph" w:styleId="Rvision">
    <w:name w:val="Revision"/>
    <w:hidden/>
    <w:uiPriority w:val="99"/>
    <w:semiHidden/>
    <w:rsid w:val="0002160D"/>
    <w:pPr>
      <w:spacing w:line="240" w:lineRule="auto"/>
    </w:pPr>
  </w:style>
  <w:style w:type="character" w:styleId="Marquedecommentaire">
    <w:name w:val="annotation reference"/>
    <w:basedOn w:val="Policepardfaut"/>
    <w:uiPriority w:val="99"/>
    <w:semiHidden/>
    <w:unhideWhenUsed/>
    <w:rsid w:val="0002160D"/>
    <w:rPr>
      <w:sz w:val="16"/>
      <w:szCs w:val="16"/>
    </w:rPr>
  </w:style>
  <w:style w:type="paragraph" w:styleId="Commentaire">
    <w:name w:val="annotation text"/>
    <w:basedOn w:val="Normal"/>
    <w:link w:val="CommentaireCar"/>
    <w:uiPriority w:val="99"/>
    <w:unhideWhenUsed/>
    <w:rsid w:val="0002160D"/>
    <w:pPr>
      <w:spacing w:line="240" w:lineRule="auto"/>
    </w:pPr>
    <w:rPr>
      <w:sz w:val="20"/>
      <w:szCs w:val="20"/>
    </w:rPr>
  </w:style>
  <w:style w:type="character" w:customStyle="1" w:styleId="CommentaireCar">
    <w:name w:val="Commentaire Car"/>
    <w:basedOn w:val="Policepardfaut"/>
    <w:link w:val="Commentaire"/>
    <w:uiPriority w:val="99"/>
    <w:rsid w:val="0002160D"/>
    <w:rPr>
      <w:sz w:val="20"/>
      <w:szCs w:val="20"/>
    </w:rPr>
  </w:style>
  <w:style w:type="paragraph" w:styleId="Objetducommentaire">
    <w:name w:val="annotation subject"/>
    <w:basedOn w:val="Commentaire"/>
    <w:next w:val="Commentaire"/>
    <w:link w:val="ObjetducommentaireCar"/>
    <w:uiPriority w:val="99"/>
    <w:semiHidden/>
    <w:unhideWhenUsed/>
    <w:rsid w:val="0002160D"/>
    <w:rPr>
      <w:b/>
      <w:bCs/>
    </w:rPr>
  </w:style>
  <w:style w:type="character" w:customStyle="1" w:styleId="ObjetducommentaireCar">
    <w:name w:val="Objet du commentaire Car"/>
    <w:basedOn w:val="CommentaireCar"/>
    <w:link w:val="Objetducommentaire"/>
    <w:uiPriority w:val="99"/>
    <w:semiHidden/>
    <w:rsid w:val="000216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dlitn.org/attitude-toward-homosexua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litn.org/download/lattitude-face-a-lhomosexualite-dans-ses-liens-avec-lempath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liassociation2015@gmail.com" TargetMode="External"/><Relationship Id="rId4" Type="http://schemas.openxmlformats.org/officeDocument/2006/relationships/webSettings" Target="webSettings.xml"/><Relationship Id="rId9" Type="http://schemas.openxmlformats.org/officeDocument/2006/relationships/hyperlink" Target="https://adlitn.org/laffaire-230-la-justice-face-a-lhomosexuali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4457</Characters>
  <Application>Microsoft Office Word</Application>
  <DocSecurity>0</DocSecurity>
  <Lines>87</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 Asus</dc:creator>
  <cp:lastModifiedBy>Ahmed Aloui</cp:lastModifiedBy>
  <cp:revision>2</cp:revision>
  <dcterms:created xsi:type="dcterms:W3CDTF">2025-01-03T18:12:00Z</dcterms:created>
  <dcterms:modified xsi:type="dcterms:W3CDTF">2025-01-03T18:12:00Z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e5ed43442bb3153e342d605a0adc2a65ae95886a8debe12bba610c51864924bd</vt:lpwstr>
  </property>
</Properties>
</file>