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DC5D" w14:textId="77777777" w:rsidR="008F657B" w:rsidRDefault="001A489D" w:rsidP="00D044A7">
      <w:pPr>
        <w:shd w:val="clear" w:color="auto" w:fill="FFFFFF"/>
        <w:spacing w:line="240" w:lineRule="auto"/>
        <w:jc w:val="center"/>
        <w:rPr>
          <w:rFonts w:ascii="Times New Roman" w:eastAsia="Times New Roman" w:hAnsi="Times New Roman" w:cs="Times New Roman"/>
          <w:b/>
          <w:i/>
          <w:color w:val="24272A"/>
          <w:sz w:val="26"/>
          <w:szCs w:val="26"/>
        </w:rPr>
      </w:pPr>
      <w:r>
        <w:rPr>
          <w:rFonts w:ascii="Times New Roman" w:eastAsia="Times New Roman" w:hAnsi="Times New Roman" w:cs="Times New Roman"/>
          <w:b/>
          <w:i/>
          <w:color w:val="24272A"/>
          <w:sz w:val="26"/>
          <w:szCs w:val="26"/>
        </w:rPr>
        <w:t>Appel à candidature pour l</w:t>
      </w:r>
      <w:r w:rsidR="008F657B">
        <w:rPr>
          <w:rFonts w:ascii="Times New Roman" w:eastAsia="Times New Roman" w:hAnsi="Times New Roman" w:cs="Times New Roman"/>
          <w:b/>
          <w:i/>
          <w:color w:val="24272A"/>
          <w:sz w:val="26"/>
          <w:szCs w:val="26"/>
        </w:rPr>
        <w:t>’élaboration d’une étude portant sur :</w:t>
      </w:r>
    </w:p>
    <w:p w14:paraId="61FD090D" w14:textId="61196A43" w:rsidR="00A505B5" w:rsidRPr="000911BC" w:rsidRDefault="008F657B" w:rsidP="00D044A7">
      <w:pPr>
        <w:shd w:val="clear" w:color="auto" w:fill="FFFFFF"/>
        <w:spacing w:line="240" w:lineRule="auto"/>
        <w:jc w:val="center"/>
        <w:rPr>
          <w:rFonts w:ascii="Times New Roman" w:eastAsia="Times New Roman" w:hAnsi="Times New Roman" w:cs="Times New Roman"/>
          <w:b/>
          <w:i/>
          <w:color w:val="24272A"/>
          <w:sz w:val="32"/>
          <w:szCs w:val="32"/>
        </w:rPr>
      </w:pPr>
      <w:r w:rsidRPr="000911BC">
        <w:rPr>
          <w:rFonts w:ascii="Times New Roman" w:eastAsia="Times New Roman" w:hAnsi="Times New Roman" w:cs="Times New Roman"/>
          <w:b/>
          <w:i/>
          <w:color w:val="24272A"/>
          <w:sz w:val="32"/>
          <w:szCs w:val="32"/>
        </w:rPr>
        <w:t xml:space="preserve">« L’attitude des </w:t>
      </w:r>
      <w:proofErr w:type="spellStart"/>
      <w:r w:rsidR="00DB097A">
        <w:rPr>
          <w:rFonts w:ascii="Times New Roman" w:eastAsia="Times New Roman" w:hAnsi="Times New Roman" w:cs="Times New Roman"/>
          <w:b/>
          <w:i/>
          <w:color w:val="24272A"/>
          <w:sz w:val="32"/>
          <w:szCs w:val="32"/>
        </w:rPr>
        <w:t>enseignant.</w:t>
      </w:r>
      <w:proofErr w:type="gramStart"/>
      <w:r w:rsidR="00DB097A">
        <w:rPr>
          <w:rFonts w:ascii="Times New Roman" w:eastAsia="Times New Roman" w:hAnsi="Times New Roman" w:cs="Times New Roman"/>
          <w:b/>
          <w:i/>
          <w:color w:val="24272A"/>
          <w:sz w:val="32"/>
          <w:szCs w:val="32"/>
        </w:rPr>
        <w:t>e.s</w:t>
      </w:r>
      <w:proofErr w:type="spellEnd"/>
      <w:proofErr w:type="gramEnd"/>
      <w:r w:rsidRPr="000911BC">
        <w:rPr>
          <w:rFonts w:ascii="Times New Roman" w:eastAsia="Times New Roman" w:hAnsi="Times New Roman" w:cs="Times New Roman"/>
          <w:b/>
          <w:i/>
          <w:color w:val="24272A"/>
          <w:sz w:val="32"/>
          <w:szCs w:val="32"/>
        </w:rPr>
        <w:t xml:space="preserve"> face à l’homosexualité »</w:t>
      </w:r>
    </w:p>
    <w:p w14:paraId="72395D00" w14:textId="77777777" w:rsidR="00C910F5" w:rsidRDefault="00C910F5" w:rsidP="00D044A7">
      <w:pPr>
        <w:shd w:val="clear" w:color="auto" w:fill="FFFFFF"/>
        <w:spacing w:line="240" w:lineRule="auto"/>
        <w:jc w:val="center"/>
        <w:rPr>
          <w:rFonts w:ascii="Times New Roman" w:eastAsia="Times New Roman" w:hAnsi="Times New Roman" w:cs="Times New Roman"/>
          <w:b/>
          <w:i/>
          <w:color w:val="24272A"/>
          <w:sz w:val="26"/>
          <w:szCs w:val="26"/>
        </w:rPr>
      </w:pPr>
    </w:p>
    <w:p w14:paraId="1903848B" w14:textId="3700795A" w:rsidR="00C910F5" w:rsidRDefault="00C910F5" w:rsidP="00D044A7">
      <w:pPr>
        <w:spacing w:line="240" w:lineRule="auto"/>
        <w:jc w:val="both"/>
        <w:rPr>
          <w:rFonts w:ascii="Times New Roman" w:eastAsia="Times New Roman" w:hAnsi="Times New Roman" w:cs="Times New Roman"/>
          <w:b/>
          <w:bCs/>
          <w:color w:val="24272A"/>
          <w:sz w:val="26"/>
          <w:szCs w:val="26"/>
        </w:rPr>
      </w:pPr>
    </w:p>
    <w:p w14:paraId="283C35A8" w14:textId="7284EDC2" w:rsidR="00C910F5" w:rsidRPr="000D16EA" w:rsidRDefault="00DB097A" w:rsidP="00D044A7">
      <w:pPr>
        <w:shd w:val="clear" w:color="auto" w:fill="E5DFEC" w:themeFill="accent4" w:themeFillTint="33"/>
        <w:spacing w:line="240" w:lineRule="auto"/>
        <w:jc w:val="both"/>
        <w:rPr>
          <w:rFonts w:asciiTheme="majorHAnsi" w:eastAsia="Times New Roman" w:hAnsiTheme="majorHAnsi" w:cstheme="majorHAnsi"/>
          <w:b/>
          <w:bCs/>
          <w:color w:val="24272A"/>
          <w:sz w:val="24"/>
          <w:szCs w:val="24"/>
        </w:rPr>
      </w:pPr>
      <w:r>
        <w:rPr>
          <w:rFonts w:asciiTheme="majorHAnsi" w:eastAsia="Times New Roman" w:hAnsiTheme="majorHAnsi" w:cstheme="majorHAnsi"/>
          <w:b/>
          <w:bCs/>
          <w:color w:val="24272A"/>
          <w:sz w:val="24"/>
          <w:szCs w:val="24"/>
        </w:rPr>
        <w:t>Contexte</w:t>
      </w:r>
      <w:r w:rsidRPr="000D16EA">
        <w:rPr>
          <w:rFonts w:asciiTheme="majorHAnsi" w:eastAsia="Times New Roman" w:hAnsiTheme="majorHAnsi" w:cstheme="majorHAnsi"/>
          <w:b/>
          <w:bCs/>
          <w:color w:val="24272A"/>
          <w:sz w:val="24"/>
          <w:szCs w:val="24"/>
        </w:rPr>
        <w:t xml:space="preserve"> :</w:t>
      </w:r>
    </w:p>
    <w:p w14:paraId="4B4BE777" w14:textId="77777777" w:rsidR="00582837" w:rsidRDefault="00582837" w:rsidP="00D044A7">
      <w:pPr>
        <w:spacing w:line="240" w:lineRule="auto"/>
        <w:jc w:val="both"/>
        <w:rPr>
          <w:lang w:bidi="ar-TN"/>
        </w:rPr>
      </w:pPr>
    </w:p>
    <w:p w14:paraId="6973C40C" w14:textId="77777777" w:rsidR="00212E9F" w:rsidRPr="00212E9F" w:rsidRDefault="00212E9F" w:rsidP="00D044A7">
      <w:pPr>
        <w:spacing w:line="240" w:lineRule="auto"/>
        <w:jc w:val="both"/>
        <w:rPr>
          <w:rFonts w:ascii="Calibri" w:hAnsi="Calibri" w:cs="Calibri"/>
        </w:rPr>
      </w:pPr>
      <w:r w:rsidRPr="00212E9F">
        <w:rPr>
          <w:rFonts w:ascii="Calibri" w:hAnsi="Calibri" w:cs="Calibri"/>
        </w:rPr>
        <w:t xml:space="preserve">L’attitude face à l’homosexualité en tant qu’orientation sexuelle et identité de genre a fait l’objet de recherche d’un certain nombre de domaines allant de la biologie à la politique. Les sciences psychologiques et sociales, quant à elles, ont essayé d’identifier les facteurs permettant d’expliquer une attitude hostile ou bien positive envers cette orientation sexuelle. Parmi les facteurs identifiés, il y a l’âge, le niveau socio-économique, le niveau d’éducation, le religieux, le genre / sexe. </w:t>
      </w:r>
    </w:p>
    <w:p w14:paraId="1934F4F3" w14:textId="43C1FCE3" w:rsidR="00212E9F" w:rsidRPr="00212E9F" w:rsidRDefault="00212E9F" w:rsidP="00D044A7">
      <w:pPr>
        <w:spacing w:line="240" w:lineRule="auto"/>
        <w:jc w:val="both"/>
        <w:rPr>
          <w:rFonts w:ascii="Calibri" w:hAnsi="Calibri" w:cs="Calibri"/>
        </w:rPr>
      </w:pPr>
      <w:r w:rsidRPr="00212E9F">
        <w:rPr>
          <w:rFonts w:ascii="Calibri" w:hAnsi="Calibri" w:cs="Calibri"/>
        </w:rPr>
        <w:t>Très peu d’étude se sont penchés sur les mécanismes psychologiques inhérents à l’individu qui jouent un rôle dans l’interactivité interpersonnelle</w:t>
      </w:r>
      <w:r>
        <w:rPr>
          <w:rFonts w:ascii="Calibri" w:hAnsi="Calibri" w:cs="Calibri"/>
        </w:rPr>
        <w:t xml:space="preserve"> (Belhadj 2022)</w:t>
      </w:r>
      <w:r w:rsidRPr="00212E9F">
        <w:rPr>
          <w:rFonts w:ascii="Calibri" w:hAnsi="Calibri" w:cs="Calibri"/>
        </w:rPr>
        <w:t xml:space="preserve">. Ainsi, l’étude de Mc </w:t>
      </w:r>
      <w:proofErr w:type="spellStart"/>
      <w:r w:rsidRPr="00212E9F">
        <w:rPr>
          <w:rFonts w:ascii="Calibri" w:hAnsi="Calibri" w:cs="Calibri"/>
        </w:rPr>
        <w:t>Crae</w:t>
      </w:r>
      <w:proofErr w:type="spellEnd"/>
      <w:r w:rsidRPr="00212E9F">
        <w:rPr>
          <w:rFonts w:ascii="Calibri" w:hAnsi="Calibri" w:cs="Calibri"/>
        </w:rPr>
        <w:t xml:space="preserve"> &amp; John en 1992 est considéré comme une recherche pionnière dans cette lignée de travaux. Ces chercheurs ont examiné dans quelle mesure les traits de personnalité permettent de prédire l’attitude face à l’homosexualité. Les résultats obtenus montrent qu’une facette de la personnalité à savoir l’« Ouverture aux expériences » est fortement liée à une attitude positive envers l’homosexualité. Par ailleurs les travaux de recherche montrent que l’attitude face à l’homosexualité est un concept composite et multidimensionnel d’où l’intérêt de spécifier de manière précise les dimensions sur lesquelles un chercher souhaite travailler. En outre, les données de la littérature à ce sujet sont très peu consensuelles puisqu’ils concluent à des dimensions différentes les unes des autres (Kite &amp; </w:t>
      </w:r>
      <w:proofErr w:type="spellStart"/>
      <w:r w:rsidRPr="00212E9F">
        <w:rPr>
          <w:rFonts w:ascii="Calibri" w:hAnsi="Calibri" w:cs="Calibri"/>
        </w:rPr>
        <w:t>Whitley</w:t>
      </w:r>
      <w:proofErr w:type="spellEnd"/>
      <w:r w:rsidRPr="00212E9F">
        <w:rPr>
          <w:rFonts w:ascii="Calibri" w:hAnsi="Calibri" w:cs="Calibri"/>
        </w:rPr>
        <w:t xml:space="preserve"> ; 1996 Killian et al.2016). </w:t>
      </w:r>
    </w:p>
    <w:p w14:paraId="6A9B78BC" w14:textId="0C96422A" w:rsidR="00212E9F" w:rsidRPr="00212E9F" w:rsidRDefault="00212E9F" w:rsidP="00D044A7">
      <w:pPr>
        <w:spacing w:line="240" w:lineRule="auto"/>
        <w:jc w:val="both"/>
        <w:rPr>
          <w:rFonts w:ascii="Calibri" w:eastAsia="Times New Roman" w:hAnsi="Calibri" w:cs="Calibri"/>
          <w:color w:val="24272A"/>
        </w:rPr>
      </w:pPr>
      <w:r w:rsidRPr="00212E9F">
        <w:rPr>
          <w:rFonts w:ascii="Calibri" w:hAnsi="Calibri" w:cs="Calibri"/>
        </w:rPr>
        <w:t xml:space="preserve">Dans ce contexte, l’objectif des études engagées par l’ADLI (2020, 2022 et 2023) se décline en une exploration de ce concept et de ses composantes dans le contexte tunisien.  </w:t>
      </w:r>
    </w:p>
    <w:p w14:paraId="1025B2AC" w14:textId="2538BC23" w:rsidR="00582837" w:rsidRPr="000D16EA" w:rsidRDefault="00212E9F" w:rsidP="00D044A7">
      <w:pPr>
        <w:spacing w:line="240" w:lineRule="auto"/>
        <w:jc w:val="both"/>
        <w:rPr>
          <w:rFonts w:asciiTheme="majorHAnsi" w:hAnsiTheme="majorHAnsi" w:cstheme="majorHAnsi"/>
          <w:lang w:bidi="ar-TN"/>
        </w:rPr>
      </w:pPr>
      <w:r>
        <w:rPr>
          <w:rFonts w:asciiTheme="majorHAnsi" w:hAnsiTheme="majorHAnsi" w:cstheme="majorHAnsi"/>
          <w:lang w:bidi="ar-TN"/>
        </w:rPr>
        <w:t xml:space="preserve">En effet, </w:t>
      </w:r>
      <w:r w:rsidR="00582837" w:rsidRPr="000D16EA">
        <w:rPr>
          <w:rFonts w:asciiTheme="majorHAnsi" w:hAnsiTheme="majorHAnsi" w:cstheme="majorHAnsi"/>
          <w:lang w:bidi="ar-TN"/>
        </w:rPr>
        <w:t>L’homosexualité constitue pour le droit « </w:t>
      </w:r>
      <w:r w:rsidR="00582837" w:rsidRPr="000D16EA">
        <w:rPr>
          <w:rFonts w:asciiTheme="majorHAnsi" w:hAnsiTheme="majorHAnsi" w:cstheme="majorHAnsi"/>
          <w:iCs/>
          <w:lang w:bidi="ar-TN"/>
        </w:rPr>
        <w:t>un enjeu symbolique</w:t>
      </w:r>
      <w:r w:rsidR="00582837" w:rsidRPr="000D16EA">
        <w:rPr>
          <w:rFonts w:asciiTheme="majorHAnsi" w:hAnsiTheme="majorHAnsi" w:cstheme="majorHAnsi"/>
          <w:lang w:bidi="ar-TN"/>
        </w:rPr>
        <w:t xml:space="preserve"> » qui invite à se demander si les règles juridiques sont, ou non, censées définir le modèle légitime d’expression du désir ? En d’autres termes, le droit a-t-il vocation à régir la sexualité ? </w:t>
      </w:r>
    </w:p>
    <w:p w14:paraId="1144338C" w14:textId="2A60FA80" w:rsidR="00582837" w:rsidRPr="000D16EA" w:rsidRDefault="00582837" w:rsidP="00D044A7">
      <w:pPr>
        <w:spacing w:line="240" w:lineRule="auto"/>
        <w:jc w:val="both"/>
        <w:rPr>
          <w:rFonts w:asciiTheme="majorHAnsi" w:hAnsiTheme="majorHAnsi" w:cstheme="majorHAnsi"/>
          <w:lang w:bidi="ar-TN"/>
        </w:rPr>
      </w:pPr>
      <w:r w:rsidRPr="000D16EA">
        <w:rPr>
          <w:rFonts w:asciiTheme="majorHAnsi" w:hAnsiTheme="majorHAnsi" w:cstheme="majorHAnsi"/>
          <w:lang w:bidi="ar-TN"/>
        </w:rPr>
        <w:t>Le problème se situe donc au niveau de ce rapport entre droit et fait : la préférence sexuelle et les pratiques sexuelles ne sont pas en principe des notions de droit mais de fait, et la question qui se pose est de savoir si ces faits entraînent des conséquences juridiques en termes de droits et d’obligations des personnes ayant une préférence sexuelle pour les individus de même sexe.</w:t>
      </w:r>
    </w:p>
    <w:p w14:paraId="007A4B25" w14:textId="150CB486" w:rsidR="00582837" w:rsidRPr="000911BC" w:rsidRDefault="00582837" w:rsidP="00D044A7">
      <w:pPr>
        <w:spacing w:line="240" w:lineRule="auto"/>
        <w:jc w:val="both"/>
        <w:rPr>
          <w:rFonts w:asciiTheme="majorHAnsi" w:hAnsiTheme="majorHAnsi" w:cstheme="majorHAnsi"/>
          <w:lang w:bidi="ar-TN"/>
        </w:rPr>
      </w:pPr>
      <w:r w:rsidRPr="000D16EA">
        <w:rPr>
          <w:rFonts w:asciiTheme="majorHAnsi" w:hAnsiTheme="majorHAnsi" w:cstheme="majorHAnsi"/>
          <w:lang w:bidi="ar-TN"/>
        </w:rPr>
        <w:t xml:space="preserve">Or, les choix sexuels d’une société ne sont pas immuables. Ce phénomène qui relève de la morale sociale (elle-même changeante) et des principes de liberté et d’égalité, révèle l’intérêt actuel de l’étude de cette question au sein de la société </w:t>
      </w:r>
      <w:r w:rsidR="00212E9F">
        <w:rPr>
          <w:rFonts w:asciiTheme="majorHAnsi" w:hAnsiTheme="majorHAnsi" w:cstheme="majorHAnsi"/>
          <w:lang w:bidi="ar-TN"/>
        </w:rPr>
        <w:t>tunisienne</w:t>
      </w:r>
      <w:r w:rsidRPr="000D16EA">
        <w:rPr>
          <w:rFonts w:asciiTheme="majorHAnsi" w:hAnsiTheme="majorHAnsi" w:cstheme="majorHAnsi"/>
          <w:lang w:bidi="ar-TN"/>
        </w:rPr>
        <w:t xml:space="preserve">, et ce, à de multiples niveaux. En effet, l’adoption des constitutions de 2014 et de 2022 consacrant une consolidation des libertés individuelles et réaffirmant avec force le principe d’égalité , ne sauraient avoir lieu sans susciter des réflexions à propos de la sphère de la vie privée, en général inaccessible au droit et plus particulièrement au droit pénal qui, au sein de chaque société, fixe les contours des comportements sexuels autorisés, limitant ainsi l’expression et la satisfaction du désir sexuel autant que cela est </w:t>
      </w:r>
      <w:r w:rsidRPr="000911BC">
        <w:rPr>
          <w:rFonts w:asciiTheme="majorHAnsi" w:hAnsiTheme="majorHAnsi" w:cstheme="majorHAnsi"/>
          <w:lang w:bidi="ar-TN"/>
        </w:rPr>
        <w:t>nécessaire pour garantir les droits d’autrui, étant précisé que ces limites varient d’une culture à l’autre et évoluent au fil du temps.</w:t>
      </w:r>
    </w:p>
    <w:p w14:paraId="0023CAA4" w14:textId="37242819" w:rsidR="00582837" w:rsidRPr="000911BC"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lang w:bidi="ar-TN"/>
        </w:rPr>
        <w:t>En droit positif tunisien, l’article 230 du code pénal continue d’incriminer expressément l’homosexualité masculine et féminine, incluant de ce fait la Tunisie parmi la cinquantaine d’États au monde prohibant les relations homosexuelles, notamment par le biais des dispositions suivantes :</w:t>
      </w:r>
    </w:p>
    <w:p w14:paraId="7CC4194E" w14:textId="26D25C3D" w:rsidR="000911BC" w:rsidRPr="000911BC"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iCs/>
          <w:lang w:bidi="ar-TN"/>
        </w:rPr>
        <w:t>« </w:t>
      </w:r>
      <w:r w:rsidRPr="000911BC">
        <w:rPr>
          <w:rFonts w:asciiTheme="majorHAnsi" w:hAnsiTheme="majorHAnsi" w:cstheme="majorHAnsi"/>
          <w:i/>
          <w:lang w:bidi="ar-TN"/>
        </w:rPr>
        <w:t>La sodomie, si elle ne rentre dans aucun des cas prévus aux articles précédents, est punie de l’emprisonnement pendant trois ans</w:t>
      </w:r>
      <w:r w:rsidRPr="000911BC">
        <w:rPr>
          <w:rFonts w:asciiTheme="majorHAnsi" w:hAnsiTheme="majorHAnsi" w:cstheme="majorHAnsi"/>
          <w:iCs/>
          <w:lang w:bidi="ar-TN"/>
        </w:rPr>
        <w:t> </w:t>
      </w:r>
      <w:r w:rsidR="000911BC" w:rsidRPr="000911BC">
        <w:rPr>
          <w:rFonts w:asciiTheme="majorHAnsi" w:hAnsiTheme="majorHAnsi" w:cstheme="majorHAnsi"/>
          <w:iCs/>
          <w:lang w:bidi="ar-TN"/>
        </w:rPr>
        <w:t>»</w:t>
      </w:r>
      <w:r w:rsidR="000911BC" w:rsidRPr="000911BC">
        <w:rPr>
          <w:rFonts w:asciiTheme="majorHAnsi" w:hAnsiTheme="majorHAnsi" w:cstheme="majorHAnsi"/>
          <w:lang w:bidi="ar-TN"/>
        </w:rPr>
        <w:t xml:space="preserve"> (Code pénal, promulgué par le Décret Beylical </w:t>
      </w:r>
      <w:r w:rsidR="000911BC" w:rsidRPr="000911BC">
        <w:rPr>
          <w:rFonts w:asciiTheme="majorHAnsi" w:hAnsiTheme="majorHAnsi" w:cstheme="majorHAnsi"/>
        </w:rPr>
        <w:t>9 juillet 1913 et jamais modifié depuis cette date (Journal Officiel du 1</w:t>
      </w:r>
      <w:r w:rsidR="000911BC" w:rsidRPr="000911BC">
        <w:rPr>
          <w:rFonts w:asciiTheme="majorHAnsi" w:hAnsiTheme="majorHAnsi" w:cstheme="majorHAnsi"/>
          <w:vertAlign w:val="superscript"/>
        </w:rPr>
        <w:t>er</w:t>
      </w:r>
      <w:r w:rsidR="000911BC" w:rsidRPr="000911BC">
        <w:rPr>
          <w:rFonts w:asciiTheme="majorHAnsi" w:hAnsiTheme="majorHAnsi" w:cstheme="majorHAnsi"/>
        </w:rPr>
        <w:t xml:space="preserve"> octobre 1913, n° 79</w:t>
      </w:r>
      <w:r w:rsidR="000911BC">
        <w:rPr>
          <w:rFonts w:asciiTheme="majorHAnsi" w:hAnsiTheme="majorHAnsi" w:cstheme="majorHAnsi"/>
        </w:rPr>
        <w:t>).</w:t>
      </w:r>
    </w:p>
    <w:p w14:paraId="5CE4A64A" w14:textId="6F2962A7" w:rsidR="00582837" w:rsidRPr="000911BC"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lang w:bidi="ar-TN"/>
        </w:rPr>
        <w:t xml:space="preserve">Cette pénalisation de l’acte homosexuel par l’article 230 du code pénal pose un ensemble de problèmes liés à la fois à l’identification délicate de l’acte incriminé par rapport à d’autres types </w:t>
      </w:r>
      <w:r w:rsidRPr="000911BC">
        <w:rPr>
          <w:rFonts w:asciiTheme="majorHAnsi" w:hAnsiTheme="majorHAnsi" w:cstheme="majorHAnsi"/>
          <w:lang w:bidi="ar-TN"/>
        </w:rPr>
        <w:lastRenderedPageBreak/>
        <w:t>d’attentats à la pudeur et à des fondements relativement flous, voire incertains de la pénalisation des comportements homosexuels, qui semblent ancrés dans de lointaines considérations d’ordre religieux, social, voire mythologique, ce qui jette finalement de nos jours un doute certain sur la légitimité de cette incrimination et milite en faveur de sa dépénalisation.</w:t>
      </w:r>
    </w:p>
    <w:p w14:paraId="23F4CD53" w14:textId="41376689" w:rsidR="00E749A6" w:rsidRDefault="000D16EA" w:rsidP="00D044A7">
      <w:pPr>
        <w:spacing w:line="240" w:lineRule="auto"/>
        <w:jc w:val="both"/>
        <w:rPr>
          <w:rFonts w:asciiTheme="majorHAnsi" w:hAnsiTheme="majorHAnsi" w:cstheme="majorHAnsi"/>
          <w:lang w:bidi="ar-TN"/>
        </w:rPr>
      </w:pPr>
      <w:r>
        <w:rPr>
          <w:rFonts w:asciiTheme="majorHAnsi" w:hAnsiTheme="majorHAnsi" w:cstheme="majorHAnsi"/>
          <w:lang w:bidi="ar-TN"/>
        </w:rPr>
        <w:t>Ainsi, et pour comprendre</w:t>
      </w:r>
      <w:r w:rsidR="00E749A6">
        <w:rPr>
          <w:rFonts w:asciiTheme="majorHAnsi" w:hAnsiTheme="majorHAnsi" w:cstheme="majorHAnsi"/>
          <w:lang w:bidi="ar-TN"/>
        </w:rPr>
        <w:t xml:space="preserve"> la perception de l’homosexualité dans le contexte tunisien, l’ADLI a engagé une série de recherches :</w:t>
      </w:r>
    </w:p>
    <w:p w14:paraId="718041A4" w14:textId="32EF1AC1" w:rsidR="00E749A6"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2020, L’attitude face à l’homosexualité dans ses liens avec l’empathie, lien</w:t>
      </w:r>
      <w:r w:rsidR="00212E9F">
        <w:rPr>
          <w:rFonts w:asciiTheme="majorHAnsi" w:hAnsiTheme="majorHAnsi" w:cstheme="majorHAnsi"/>
          <w:lang w:bidi="ar-TN"/>
        </w:rPr>
        <w:t xml:space="preserve"> de l’étude</w:t>
      </w:r>
      <w:r>
        <w:rPr>
          <w:rFonts w:asciiTheme="majorHAnsi" w:hAnsiTheme="majorHAnsi" w:cstheme="majorHAnsi"/>
          <w:lang w:bidi="ar-TN"/>
        </w:rPr>
        <w:t> :</w:t>
      </w:r>
      <w:r w:rsidR="00212E9F" w:rsidRPr="00212E9F">
        <w:t xml:space="preserve"> </w:t>
      </w:r>
      <w:hyperlink r:id="rId7" w:history="1">
        <w:r w:rsidR="00212E9F" w:rsidRPr="008B2C46">
          <w:rPr>
            <w:rStyle w:val="Lienhypertexte"/>
            <w:rFonts w:asciiTheme="majorHAnsi" w:hAnsiTheme="majorHAnsi" w:cstheme="majorHAnsi"/>
            <w:lang w:bidi="ar-TN"/>
          </w:rPr>
          <w:t>https://adlitn.org/download/lattitude-face-a-lhomosexualite-dans-ses-liens-avec-lempathie/</w:t>
        </w:r>
      </w:hyperlink>
      <w:r w:rsidR="00212E9F">
        <w:rPr>
          <w:rFonts w:asciiTheme="majorHAnsi" w:hAnsiTheme="majorHAnsi" w:cstheme="majorHAnsi"/>
          <w:lang w:bidi="ar-TN"/>
        </w:rPr>
        <w:t xml:space="preserve"> </w:t>
      </w:r>
    </w:p>
    <w:p w14:paraId="221F092F" w14:textId="38C0BB45" w:rsidR="00E749A6" w:rsidRPr="00E749A6" w:rsidRDefault="00E749A6" w:rsidP="00D044A7">
      <w:pPr>
        <w:spacing w:line="240" w:lineRule="auto"/>
        <w:jc w:val="both"/>
        <w:rPr>
          <w:rFonts w:asciiTheme="majorHAnsi" w:hAnsiTheme="majorHAnsi" w:cstheme="majorHAnsi"/>
          <w:lang w:val="en-US" w:bidi="ar-TN"/>
        </w:rPr>
      </w:pPr>
      <w:r w:rsidRPr="00E749A6">
        <w:rPr>
          <w:rFonts w:asciiTheme="majorHAnsi" w:hAnsiTheme="majorHAnsi" w:cstheme="majorHAnsi"/>
          <w:lang w:val="en-US" w:bidi="ar-TN"/>
        </w:rPr>
        <w:t xml:space="preserve">2022, Attitude toward homosexuality, comparative </w:t>
      </w:r>
      <w:proofErr w:type="gramStart"/>
      <w:r w:rsidRPr="00E749A6">
        <w:rPr>
          <w:rFonts w:asciiTheme="majorHAnsi" w:hAnsiTheme="majorHAnsi" w:cstheme="majorHAnsi"/>
          <w:lang w:val="en-US" w:bidi="ar-TN"/>
        </w:rPr>
        <w:t>study :</w:t>
      </w:r>
      <w:proofErr w:type="gramEnd"/>
      <w:r w:rsidRPr="00E749A6">
        <w:rPr>
          <w:rFonts w:asciiTheme="majorHAnsi" w:hAnsiTheme="majorHAnsi" w:cstheme="majorHAnsi"/>
          <w:lang w:val="en-US" w:bidi="ar-TN"/>
        </w:rPr>
        <w:t xml:space="preserve"> </w:t>
      </w:r>
      <w:r w:rsidR="000911BC" w:rsidRPr="00E749A6">
        <w:rPr>
          <w:rFonts w:asciiTheme="majorHAnsi" w:hAnsiTheme="majorHAnsi" w:cstheme="majorHAnsi"/>
          <w:lang w:val="en-US" w:bidi="ar-TN"/>
        </w:rPr>
        <w:t>Lebanon</w:t>
      </w:r>
      <w:r w:rsidRPr="00E749A6">
        <w:rPr>
          <w:rFonts w:asciiTheme="majorHAnsi" w:hAnsiTheme="majorHAnsi" w:cstheme="majorHAnsi"/>
          <w:lang w:val="en-US" w:bidi="ar-TN"/>
        </w:rPr>
        <w:t xml:space="preserve">, Marocco and Tunisia, Study on a sample lawyers ; </w:t>
      </w:r>
      <w:r>
        <w:rPr>
          <w:rFonts w:asciiTheme="majorHAnsi" w:hAnsiTheme="majorHAnsi" w:cstheme="majorHAnsi"/>
          <w:lang w:val="en-US" w:bidi="ar-TN"/>
        </w:rPr>
        <w:t>lien</w:t>
      </w:r>
      <w:r w:rsidR="008A47FB">
        <w:rPr>
          <w:rFonts w:asciiTheme="majorHAnsi" w:hAnsiTheme="majorHAnsi" w:cstheme="majorHAnsi"/>
          <w:lang w:val="en-US" w:bidi="ar-TN"/>
        </w:rPr>
        <w:t xml:space="preserve"> de étude</w:t>
      </w:r>
      <w:r>
        <w:rPr>
          <w:rFonts w:asciiTheme="majorHAnsi" w:hAnsiTheme="majorHAnsi" w:cstheme="majorHAnsi"/>
          <w:lang w:val="en-US" w:bidi="ar-TN"/>
        </w:rPr>
        <w:t>:</w:t>
      </w:r>
      <w:r w:rsidR="008A47FB" w:rsidRPr="008A47FB">
        <w:rPr>
          <w:lang w:val="en-US"/>
        </w:rPr>
        <w:t xml:space="preserve"> </w:t>
      </w:r>
      <w:hyperlink r:id="rId8" w:history="1">
        <w:r w:rsidR="008A47FB" w:rsidRPr="008B2C46">
          <w:rPr>
            <w:rStyle w:val="Lienhypertexte"/>
            <w:rFonts w:asciiTheme="majorHAnsi" w:hAnsiTheme="majorHAnsi" w:cstheme="majorHAnsi"/>
            <w:lang w:val="en-US" w:bidi="ar-TN"/>
          </w:rPr>
          <w:t>https://adlitn.org/attitude-toward-homosexuality/</w:t>
        </w:r>
      </w:hyperlink>
      <w:r w:rsidR="008A47FB">
        <w:rPr>
          <w:rFonts w:asciiTheme="majorHAnsi" w:hAnsiTheme="majorHAnsi" w:cstheme="majorHAnsi"/>
          <w:lang w:val="en-US" w:bidi="ar-TN"/>
        </w:rPr>
        <w:t xml:space="preserve"> </w:t>
      </w:r>
    </w:p>
    <w:p w14:paraId="276E6E9D" w14:textId="30C15BBF" w:rsidR="00E749A6"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2023, L’affaire 230, la justice face à l’homosexualité, lien </w:t>
      </w:r>
      <w:r w:rsidR="008A47FB">
        <w:rPr>
          <w:rFonts w:asciiTheme="majorHAnsi" w:hAnsiTheme="majorHAnsi" w:cstheme="majorHAnsi"/>
          <w:lang w:bidi="ar-TN"/>
        </w:rPr>
        <w:t>de l’étude</w:t>
      </w:r>
      <w:r>
        <w:rPr>
          <w:rFonts w:asciiTheme="majorHAnsi" w:hAnsiTheme="majorHAnsi" w:cstheme="majorHAnsi"/>
          <w:lang w:bidi="ar-TN"/>
        </w:rPr>
        <w:t>:</w:t>
      </w:r>
      <w:r w:rsidR="008A47FB" w:rsidRPr="008A47FB">
        <w:t xml:space="preserve"> </w:t>
      </w:r>
      <w:hyperlink r:id="rId9" w:history="1">
        <w:r w:rsidR="008A47FB" w:rsidRPr="008B2C46">
          <w:rPr>
            <w:rStyle w:val="Lienhypertexte"/>
            <w:rFonts w:asciiTheme="majorHAnsi" w:hAnsiTheme="majorHAnsi" w:cstheme="majorHAnsi"/>
            <w:lang w:bidi="ar-TN"/>
          </w:rPr>
          <w:t>https://adlitn.org/laffaire-230-la-justice-face-a-lhomosexualite/</w:t>
        </w:r>
      </w:hyperlink>
      <w:r w:rsidR="008A47FB">
        <w:rPr>
          <w:rFonts w:asciiTheme="majorHAnsi" w:hAnsiTheme="majorHAnsi" w:cstheme="majorHAnsi"/>
          <w:lang w:bidi="ar-TN"/>
        </w:rPr>
        <w:t xml:space="preserve"> </w:t>
      </w:r>
    </w:p>
    <w:p w14:paraId="77E3CE9F" w14:textId="6BF57782" w:rsidR="00E749A6"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 xml:space="preserve">Et pour compléter cette série de travaux, l’ADLI engage une nouvelle étude portant sur l’Attitude des </w:t>
      </w:r>
      <w:proofErr w:type="spellStart"/>
      <w:r w:rsidR="00DB097A">
        <w:rPr>
          <w:rFonts w:asciiTheme="majorHAnsi" w:hAnsiTheme="majorHAnsi" w:cstheme="majorHAnsi"/>
          <w:lang w:bidi="ar-TN"/>
        </w:rPr>
        <w:t>enseignant.e.s</w:t>
      </w:r>
      <w:proofErr w:type="spellEnd"/>
      <w:r>
        <w:rPr>
          <w:rFonts w:asciiTheme="majorHAnsi" w:hAnsiTheme="majorHAnsi" w:cstheme="majorHAnsi"/>
          <w:lang w:bidi="ar-TN"/>
        </w:rPr>
        <w:t xml:space="preserve"> face à</w:t>
      </w:r>
      <w:r w:rsidR="000911BC">
        <w:rPr>
          <w:rFonts w:asciiTheme="majorHAnsi" w:hAnsiTheme="majorHAnsi" w:cstheme="majorHAnsi"/>
          <w:lang w:bidi="ar-TN"/>
        </w:rPr>
        <w:t xml:space="preserve"> l’homosexualité.</w:t>
      </w:r>
    </w:p>
    <w:p w14:paraId="2909AD08" w14:textId="05657A41" w:rsidR="000911BC" w:rsidRDefault="000911BC" w:rsidP="00D044A7">
      <w:pPr>
        <w:spacing w:line="240" w:lineRule="auto"/>
        <w:jc w:val="both"/>
        <w:rPr>
          <w:rFonts w:asciiTheme="majorHAnsi" w:hAnsiTheme="majorHAnsi" w:cstheme="majorHAnsi"/>
          <w:lang w:bidi="ar-TN"/>
        </w:rPr>
      </w:pPr>
    </w:p>
    <w:p w14:paraId="771646FF" w14:textId="77777777" w:rsidR="000911BC" w:rsidRDefault="000911BC" w:rsidP="00D044A7">
      <w:pPr>
        <w:spacing w:line="240" w:lineRule="auto"/>
        <w:jc w:val="both"/>
        <w:rPr>
          <w:rFonts w:asciiTheme="majorHAnsi" w:hAnsiTheme="majorHAnsi" w:cstheme="majorHAnsi"/>
          <w:lang w:bidi="ar-TN"/>
        </w:rPr>
      </w:pPr>
    </w:p>
    <w:p w14:paraId="5242C670" w14:textId="58CD407D" w:rsidR="000911BC" w:rsidRPr="000911BC" w:rsidRDefault="000911BC" w:rsidP="00D044A7">
      <w:pPr>
        <w:shd w:val="clear" w:color="auto" w:fill="D9D9D9" w:themeFill="background1" w:themeFillShade="D9"/>
        <w:spacing w:line="240" w:lineRule="auto"/>
        <w:jc w:val="both"/>
        <w:rPr>
          <w:rFonts w:asciiTheme="majorHAnsi" w:hAnsiTheme="majorHAnsi" w:cstheme="majorHAnsi"/>
          <w:b/>
          <w:bCs/>
          <w:lang w:bidi="ar-TN"/>
        </w:rPr>
      </w:pPr>
      <w:r w:rsidRPr="000911BC">
        <w:rPr>
          <w:rFonts w:asciiTheme="majorHAnsi" w:hAnsiTheme="majorHAnsi" w:cstheme="majorHAnsi"/>
          <w:b/>
          <w:bCs/>
          <w:lang w:bidi="ar-TN"/>
        </w:rPr>
        <w:t>Profil recherché :</w:t>
      </w:r>
    </w:p>
    <w:p w14:paraId="05889369" w14:textId="638BDB7D" w:rsidR="000911BC" w:rsidRPr="00212E9F" w:rsidRDefault="000911BC" w:rsidP="00D044A7">
      <w:pPr>
        <w:spacing w:line="240" w:lineRule="auto"/>
        <w:jc w:val="both"/>
        <w:rPr>
          <w:rFonts w:asciiTheme="majorHAnsi" w:hAnsiTheme="majorHAnsi" w:cstheme="majorHAnsi"/>
          <w:lang w:bidi="ar-TN"/>
        </w:rPr>
      </w:pPr>
    </w:p>
    <w:p w14:paraId="07703B08" w14:textId="5DB6AEAB" w:rsidR="000911BC" w:rsidRPr="00212E9F" w:rsidRDefault="000911BC"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 xml:space="preserve">L’ADLI tend à recruter </w:t>
      </w:r>
      <w:proofErr w:type="spellStart"/>
      <w:r w:rsidRPr="00212E9F">
        <w:rPr>
          <w:rFonts w:asciiTheme="majorHAnsi" w:hAnsiTheme="majorHAnsi" w:cstheme="majorHAnsi"/>
          <w:lang w:bidi="ar-TN"/>
        </w:rPr>
        <w:t>un.e</w:t>
      </w:r>
      <w:proofErr w:type="spellEnd"/>
      <w:r w:rsidRPr="00212E9F">
        <w:rPr>
          <w:rFonts w:asciiTheme="majorHAnsi" w:hAnsiTheme="majorHAnsi" w:cstheme="majorHAnsi"/>
          <w:lang w:bidi="ar-TN"/>
        </w:rPr>
        <w:t xml:space="preserve"> </w:t>
      </w:r>
      <w:proofErr w:type="spellStart"/>
      <w:r w:rsidRPr="00212E9F">
        <w:rPr>
          <w:rFonts w:asciiTheme="majorHAnsi" w:hAnsiTheme="majorHAnsi" w:cstheme="majorHAnsi"/>
          <w:lang w:bidi="ar-TN"/>
        </w:rPr>
        <w:t>chercheur.e</w:t>
      </w:r>
      <w:proofErr w:type="spellEnd"/>
      <w:r w:rsidRPr="00212E9F">
        <w:rPr>
          <w:rFonts w:asciiTheme="majorHAnsi" w:hAnsiTheme="majorHAnsi" w:cstheme="majorHAnsi"/>
          <w:lang w:bidi="ar-TN"/>
        </w:rPr>
        <w:t>. pour mener ce travail</w:t>
      </w:r>
      <w:r w:rsidR="00DB097A">
        <w:rPr>
          <w:rFonts w:asciiTheme="majorHAnsi" w:hAnsiTheme="majorHAnsi" w:cstheme="majorHAnsi"/>
          <w:lang w:bidi="ar-TN"/>
        </w:rPr>
        <w:t>, et</w:t>
      </w:r>
      <w:r w:rsidRPr="00212E9F">
        <w:rPr>
          <w:rFonts w:asciiTheme="majorHAnsi" w:hAnsiTheme="majorHAnsi" w:cstheme="majorHAnsi"/>
          <w:lang w:bidi="ar-TN"/>
        </w:rPr>
        <w:t xml:space="preserve"> exige que le/la </w:t>
      </w:r>
      <w:proofErr w:type="spellStart"/>
      <w:r w:rsidRPr="00212E9F">
        <w:rPr>
          <w:rFonts w:asciiTheme="majorHAnsi" w:hAnsiTheme="majorHAnsi" w:cstheme="majorHAnsi"/>
          <w:lang w:bidi="ar-TN"/>
        </w:rPr>
        <w:t>chercheur.e</w:t>
      </w:r>
      <w:proofErr w:type="spellEnd"/>
      <w:r w:rsidR="00DB097A">
        <w:rPr>
          <w:rFonts w:asciiTheme="majorHAnsi" w:hAnsiTheme="majorHAnsi" w:cstheme="majorHAnsi"/>
          <w:lang w:bidi="ar-TN"/>
        </w:rPr>
        <w:t xml:space="preserve"> doive</w:t>
      </w:r>
      <w:r w:rsidRPr="00212E9F">
        <w:rPr>
          <w:rFonts w:asciiTheme="majorHAnsi" w:hAnsiTheme="majorHAnsi" w:cstheme="majorHAnsi"/>
          <w:lang w:bidi="ar-TN"/>
        </w:rPr>
        <w:t xml:space="preserve"> réunir les conditions suivantes :</w:t>
      </w:r>
    </w:p>
    <w:p w14:paraId="36793275" w14:textId="5BAA37B1" w:rsidR="000911BC" w:rsidRPr="00212E9F" w:rsidRDefault="000911BC"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 diplôme universitaire</w:t>
      </w:r>
      <w:r w:rsidR="00F16457">
        <w:rPr>
          <w:rFonts w:asciiTheme="majorHAnsi" w:hAnsiTheme="majorHAnsi" w:cstheme="majorHAnsi"/>
          <w:lang w:bidi="ar-TN"/>
        </w:rPr>
        <w:t xml:space="preserve"> (master ou doctorat dans l’une des sciences humaines, sociales, de la psychologie ou la psychologie sociale…)</w:t>
      </w:r>
      <w:r w:rsidRPr="00212E9F">
        <w:rPr>
          <w:rFonts w:asciiTheme="majorHAnsi" w:hAnsiTheme="majorHAnsi" w:cstheme="majorHAnsi"/>
          <w:lang w:bidi="ar-TN"/>
        </w:rPr>
        <w:t>,</w:t>
      </w:r>
    </w:p>
    <w:p w14:paraId="2949AB46" w14:textId="5FBB5C48" w:rsidR="000911BC" w:rsidRPr="00212E9F" w:rsidRDefault="000911BC"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 ensemble de travaux témoignant de l’intérêt accordé par le/ la chercheur à la thématique</w:t>
      </w:r>
    </w:p>
    <w:p w14:paraId="31D030AA" w14:textId="38F60B7E" w:rsidR="000911BC" w:rsidRPr="00212E9F" w:rsidRDefault="000911BC" w:rsidP="00D044A7">
      <w:pPr>
        <w:spacing w:line="240" w:lineRule="auto"/>
        <w:jc w:val="both"/>
        <w:rPr>
          <w:rFonts w:asciiTheme="majorHAnsi" w:hAnsiTheme="majorHAnsi" w:cstheme="majorHAnsi"/>
          <w:lang w:bidi="ar-TN"/>
        </w:rPr>
      </w:pPr>
    </w:p>
    <w:p w14:paraId="5223B0CC" w14:textId="139D467C" w:rsidR="000911BC" w:rsidRPr="00212E9F" w:rsidRDefault="000911BC" w:rsidP="00D044A7">
      <w:pPr>
        <w:shd w:val="clear" w:color="auto" w:fill="D9D9D9" w:themeFill="background1" w:themeFillShade="D9"/>
        <w:spacing w:line="240" w:lineRule="auto"/>
        <w:jc w:val="both"/>
        <w:rPr>
          <w:rFonts w:asciiTheme="majorHAnsi" w:hAnsiTheme="majorHAnsi" w:cstheme="majorHAnsi"/>
          <w:b/>
          <w:bCs/>
          <w:lang w:bidi="ar-TN"/>
        </w:rPr>
      </w:pPr>
      <w:r w:rsidRPr="00212E9F">
        <w:rPr>
          <w:rFonts w:asciiTheme="majorHAnsi" w:hAnsiTheme="majorHAnsi" w:cstheme="majorHAnsi"/>
          <w:b/>
          <w:bCs/>
          <w:lang w:bidi="ar-TN"/>
        </w:rPr>
        <w:t>Livrable :</w:t>
      </w:r>
    </w:p>
    <w:p w14:paraId="13A5B148" w14:textId="568ECD67" w:rsidR="000911BC" w:rsidRPr="00212E9F" w:rsidRDefault="000911BC" w:rsidP="00D044A7">
      <w:pPr>
        <w:spacing w:line="240" w:lineRule="auto"/>
        <w:jc w:val="both"/>
        <w:rPr>
          <w:rFonts w:asciiTheme="majorHAnsi" w:hAnsiTheme="majorHAnsi" w:cstheme="majorHAnsi"/>
          <w:lang w:bidi="ar-TN"/>
        </w:rPr>
      </w:pPr>
    </w:p>
    <w:p w14:paraId="3F6AD5BD" w14:textId="6973AFE7" w:rsidR="000911BC" w:rsidRPr="00212E9F" w:rsidRDefault="000911BC"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Une étude rédigée dans l’une des trois langues (arabe, français ou anglais), avec une synthèse dans les deux autres langues</w:t>
      </w:r>
      <w:r w:rsidR="00680B3E" w:rsidRPr="00212E9F">
        <w:rPr>
          <w:rFonts w:asciiTheme="majorHAnsi" w:hAnsiTheme="majorHAnsi" w:cstheme="majorHAnsi"/>
          <w:lang w:bidi="ar-TN"/>
        </w:rPr>
        <w:t>, et ce avant le 20 mars 2025</w:t>
      </w:r>
      <w:r w:rsidRPr="00212E9F">
        <w:rPr>
          <w:rFonts w:asciiTheme="majorHAnsi" w:hAnsiTheme="majorHAnsi" w:cstheme="majorHAnsi"/>
          <w:lang w:bidi="ar-TN"/>
        </w:rPr>
        <w:t>.</w:t>
      </w:r>
    </w:p>
    <w:p w14:paraId="3806B60E" w14:textId="7482FABE" w:rsidR="000911BC" w:rsidRPr="00212E9F" w:rsidRDefault="000911BC" w:rsidP="00D044A7">
      <w:pPr>
        <w:spacing w:line="240" w:lineRule="auto"/>
        <w:jc w:val="both"/>
        <w:rPr>
          <w:rFonts w:asciiTheme="majorHAnsi" w:hAnsiTheme="majorHAnsi" w:cstheme="majorHAnsi"/>
          <w:lang w:bidi="ar-TN"/>
        </w:rPr>
      </w:pPr>
    </w:p>
    <w:p w14:paraId="19549B0A" w14:textId="483CFDF1" w:rsidR="00680B3E" w:rsidRPr="00212E9F" w:rsidRDefault="00680B3E" w:rsidP="00D044A7">
      <w:pPr>
        <w:shd w:val="clear" w:color="auto" w:fill="D9D9D9" w:themeFill="background1" w:themeFillShade="D9"/>
        <w:spacing w:line="240" w:lineRule="auto"/>
        <w:jc w:val="both"/>
        <w:rPr>
          <w:rFonts w:asciiTheme="majorHAnsi" w:hAnsiTheme="majorHAnsi" w:cstheme="majorHAnsi"/>
          <w:b/>
          <w:bCs/>
          <w:lang w:bidi="ar-TN"/>
        </w:rPr>
      </w:pPr>
      <w:r w:rsidRPr="00212E9F">
        <w:rPr>
          <w:rFonts w:asciiTheme="majorHAnsi" w:hAnsiTheme="majorHAnsi" w:cstheme="majorHAnsi"/>
          <w:b/>
          <w:bCs/>
          <w:lang w:bidi="ar-TN"/>
        </w:rPr>
        <w:t>Comment postuler</w:t>
      </w:r>
      <w:r w:rsidR="000911BC" w:rsidRPr="00212E9F">
        <w:rPr>
          <w:rFonts w:asciiTheme="majorHAnsi" w:hAnsiTheme="majorHAnsi" w:cstheme="majorHAnsi"/>
          <w:b/>
          <w:bCs/>
          <w:lang w:bidi="ar-TN"/>
        </w:rPr>
        <w:t> :</w:t>
      </w:r>
    </w:p>
    <w:p w14:paraId="64A866C4" w14:textId="74D8D941" w:rsidR="00680B3E" w:rsidRPr="00212E9F" w:rsidRDefault="00680B3E"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Les personnes intéressées doivent envoyer :</w:t>
      </w:r>
    </w:p>
    <w:p w14:paraId="55C22118" w14:textId="7C61276E"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 xml:space="preserve">Un CV </w:t>
      </w:r>
    </w:p>
    <w:p w14:paraId="02D6DDCF" w14:textId="54DD10C5"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Une lettre de motivation de 500 à 700 mots,</w:t>
      </w:r>
    </w:p>
    <w:p w14:paraId="3FD93314" w14:textId="655C40C2" w:rsidR="008A47FB" w:rsidRPr="00212E9F" w:rsidRDefault="008A47FB"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Une offre technique et financière,</w:t>
      </w:r>
    </w:p>
    <w:p w14:paraId="6CD70259" w14:textId="25568D89"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Certains de leur</w:t>
      </w:r>
      <w:r w:rsidR="00DB097A">
        <w:rPr>
          <w:rFonts w:asciiTheme="majorHAnsi" w:hAnsiTheme="majorHAnsi" w:cstheme="majorHAnsi"/>
          <w:lang w:bidi="ar-TN"/>
        </w:rPr>
        <w:t>s</w:t>
      </w:r>
      <w:r w:rsidRPr="00212E9F">
        <w:rPr>
          <w:rFonts w:asciiTheme="majorHAnsi" w:hAnsiTheme="majorHAnsi" w:cstheme="majorHAnsi"/>
          <w:lang w:bidi="ar-TN"/>
        </w:rPr>
        <w:t xml:space="preserve"> </w:t>
      </w:r>
      <w:r w:rsidR="00DB097A">
        <w:rPr>
          <w:rFonts w:asciiTheme="majorHAnsi" w:hAnsiTheme="majorHAnsi" w:cstheme="majorHAnsi"/>
          <w:lang w:bidi="ar-TN"/>
        </w:rPr>
        <w:t>travaux</w:t>
      </w:r>
      <w:r w:rsidRPr="00212E9F">
        <w:rPr>
          <w:rFonts w:asciiTheme="majorHAnsi" w:hAnsiTheme="majorHAnsi" w:cstheme="majorHAnsi"/>
          <w:lang w:bidi="ar-TN"/>
        </w:rPr>
        <w:t xml:space="preserve"> portant sur la thématique (ou juste les liens)</w:t>
      </w:r>
    </w:p>
    <w:p w14:paraId="63F64135" w14:textId="04165A20" w:rsidR="00D044A7" w:rsidRPr="00D044A7" w:rsidRDefault="00D044A7" w:rsidP="00D044A7">
      <w:pPr>
        <w:spacing w:line="240" w:lineRule="auto"/>
        <w:ind w:right="680"/>
        <w:jc w:val="both"/>
        <w:rPr>
          <w:rFonts w:asciiTheme="majorHAnsi" w:hAnsiTheme="majorHAnsi" w:cstheme="majorHAnsi"/>
        </w:rPr>
      </w:pPr>
      <w:r w:rsidRPr="00D044A7">
        <w:rPr>
          <w:rFonts w:asciiTheme="majorHAnsi" w:hAnsiTheme="majorHAnsi" w:cstheme="majorHAnsi"/>
        </w:rPr>
        <w:t xml:space="preserve">Les candidatures doivent être envoyées à </w:t>
      </w:r>
      <w:r w:rsidR="00D35358" w:rsidRPr="00D044A7">
        <w:rPr>
          <w:rFonts w:asciiTheme="majorHAnsi" w:hAnsiTheme="majorHAnsi" w:cstheme="majorHAnsi"/>
        </w:rPr>
        <w:t>l’adresse suivante :</w:t>
      </w:r>
      <w:r w:rsidR="00D35358">
        <w:rPr>
          <w:rFonts w:asciiTheme="majorHAnsi" w:hAnsiTheme="majorHAnsi" w:cstheme="majorHAnsi"/>
        </w:rPr>
        <w:t xml:space="preserve"> </w:t>
      </w:r>
      <w:hyperlink r:id="rId10" w:history="1">
        <w:r w:rsidR="00D35358" w:rsidRPr="00CE3FF4">
          <w:rPr>
            <w:rStyle w:val="Lienhypertexte"/>
            <w:rFonts w:asciiTheme="majorHAnsi" w:hAnsiTheme="majorHAnsi" w:cstheme="majorHAnsi"/>
          </w:rPr>
          <w:t>adliassociation2015@gmail.com</w:t>
        </w:r>
      </w:hyperlink>
      <w:r w:rsidRPr="00D044A7">
        <w:rPr>
          <w:rFonts w:asciiTheme="majorHAnsi" w:hAnsiTheme="majorHAnsi" w:cstheme="majorHAnsi"/>
        </w:rPr>
        <w:t xml:space="preserve"> en mentionnant comme objet: “</w:t>
      </w:r>
      <w:r>
        <w:rPr>
          <w:rFonts w:asciiTheme="majorHAnsi" w:hAnsiTheme="majorHAnsi" w:cstheme="majorHAnsi"/>
          <w:b/>
          <w:color w:val="0563C1"/>
        </w:rPr>
        <w:t xml:space="preserve">Etude l’attitude des </w:t>
      </w:r>
      <w:proofErr w:type="spellStart"/>
      <w:r w:rsidR="00DB097A">
        <w:rPr>
          <w:rFonts w:asciiTheme="majorHAnsi" w:hAnsiTheme="majorHAnsi" w:cstheme="majorHAnsi"/>
          <w:b/>
          <w:color w:val="0563C1"/>
        </w:rPr>
        <w:t>enseignant.e.s</w:t>
      </w:r>
      <w:proofErr w:type="spellEnd"/>
      <w:r>
        <w:rPr>
          <w:rFonts w:asciiTheme="majorHAnsi" w:hAnsiTheme="majorHAnsi" w:cstheme="majorHAnsi"/>
          <w:b/>
          <w:color w:val="0563C1"/>
        </w:rPr>
        <w:t xml:space="preserve"> face à l’homosexualité</w:t>
      </w:r>
      <w:r w:rsidRPr="00D044A7">
        <w:rPr>
          <w:rFonts w:asciiTheme="majorHAnsi" w:hAnsiTheme="majorHAnsi" w:cstheme="majorHAnsi"/>
        </w:rPr>
        <w:t>”.</w:t>
      </w:r>
    </w:p>
    <w:p w14:paraId="16C3AC7A" w14:textId="77777777" w:rsidR="00680B3E" w:rsidRPr="00212E9F" w:rsidRDefault="00680B3E" w:rsidP="00D044A7">
      <w:pPr>
        <w:spacing w:line="240" w:lineRule="auto"/>
        <w:jc w:val="both"/>
        <w:rPr>
          <w:rFonts w:asciiTheme="majorHAnsi" w:hAnsiTheme="majorHAnsi" w:cstheme="majorHAnsi"/>
          <w:lang w:bidi="ar-TN"/>
        </w:rPr>
      </w:pPr>
    </w:p>
    <w:p w14:paraId="3F4581F1" w14:textId="77777777" w:rsidR="00212E9F" w:rsidRPr="00212E9F" w:rsidRDefault="00212E9F" w:rsidP="00D044A7">
      <w:pPr>
        <w:shd w:val="clear" w:color="auto" w:fill="D9D9D9"/>
        <w:spacing w:line="240" w:lineRule="auto"/>
        <w:ind w:right="680"/>
        <w:jc w:val="both"/>
        <w:rPr>
          <w:rFonts w:asciiTheme="majorHAnsi" w:hAnsiTheme="majorHAnsi" w:cstheme="majorHAnsi"/>
        </w:rPr>
      </w:pPr>
      <w:r w:rsidRPr="00212E9F">
        <w:rPr>
          <w:rFonts w:asciiTheme="majorHAnsi" w:hAnsiTheme="majorHAnsi" w:cstheme="majorHAnsi"/>
          <w:b/>
        </w:rPr>
        <w:t>Durée de la mission :</w:t>
      </w:r>
    </w:p>
    <w:p w14:paraId="6896E266" w14:textId="727D1E24" w:rsidR="00212E9F" w:rsidRPr="00D044A7" w:rsidRDefault="00212E9F" w:rsidP="00D044A7">
      <w:pPr>
        <w:numPr>
          <w:ilvl w:val="0"/>
          <w:numId w:val="9"/>
        </w:numPr>
        <w:spacing w:line="240" w:lineRule="auto"/>
        <w:ind w:left="0" w:right="680" w:firstLine="0"/>
        <w:jc w:val="both"/>
        <w:rPr>
          <w:rFonts w:asciiTheme="majorHAnsi" w:hAnsiTheme="majorHAnsi" w:cstheme="majorHAnsi"/>
        </w:rPr>
      </w:pPr>
      <w:r w:rsidRPr="00212E9F">
        <w:rPr>
          <w:rFonts w:asciiTheme="majorHAnsi" w:hAnsiTheme="majorHAnsi" w:cstheme="majorHAnsi"/>
        </w:rPr>
        <w:t xml:space="preserve">La mission dure </w:t>
      </w:r>
      <w:r w:rsidR="00DB097A">
        <w:rPr>
          <w:rFonts w:asciiTheme="majorHAnsi" w:hAnsiTheme="majorHAnsi" w:cstheme="majorHAnsi"/>
          <w:b/>
        </w:rPr>
        <w:t>30</w:t>
      </w:r>
      <w:r w:rsidRPr="00212E9F">
        <w:rPr>
          <w:rFonts w:asciiTheme="majorHAnsi" w:hAnsiTheme="majorHAnsi" w:cstheme="majorHAnsi"/>
          <w:b/>
        </w:rPr>
        <w:t xml:space="preserve"> jours entre le </w:t>
      </w:r>
      <w:r w:rsidR="002656A6">
        <w:rPr>
          <w:rFonts w:asciiTheme="majorHAnsi" w:hAnsiTheme="majorHAnsi" w:cstheme="majorHAnsi"/>
          <w:b/>
        </w:rPr>
        <w:t>3</w:t>
      </w:r>
      <w:r w:rsidR="00D044A7">
        <w:rPr>
          <w:rFonts w:asciiTheme="majorHAnsi" w:hAnsiTheme="majorHAnsi" w:cstheme="majorHAnsi"/>
          <w:b/>
        </w:rPr>
        <w:t xml:space="preserve">0 janvier </w:t>
      </w:r>
      <w:r w:rsidRPr="00212E9F">
        <w:rPr>
          <w:rFonts w:asciiTheme="majorHAnsi" w:hAnsiTheme="majorHAnsi" w:cstheme="majorHAnsi"/>
          <w:b/>
        </w:rPr>
        <w:t xml:space="preserve">le </w:t>
      </w:r>
      <w:r w:rsidR="00DB097A">
        <w:rPr>
          <w:rFonts w:asciiTheme="majorHAnsi" w:hAnsiTheme="majorHAnsi" w:cstheme="majorHAnsi"/>
          <w:b/>
        </w:rPr>
        <w:t>30</w:t>
      </w:r>
      <w:r w:rsidR="00D044A7">
        <w:rPr>
          <w:rFonts w:asciiTheme="majorHAnsi" w:hAnsiTheme="majorHAnsi" w:cstheme="majorHAnsi"/>
          <w:b/>
        </w:rPr>
        <w:t xml:space="preserve"> mars </w:t>
      </w:r>
      <w:r w:rsidR="006D5F6E">
        <w:rPr>
          <w:rFonts w:asciiTheme="majorHAnsi" w:hAnsiTheme="majorHAnsi" w:cstheme="majorHAnsi"/>
          <w:b/>
        </w:rPr>
        <w:t>2025.</w:t>
      </w:r>
    </w:p>
    <w:p w14:paraId="2DE57BDE" w14:textId="77777777" w:rsidR="00D044A7" w:rsidRPr="00212E9F" w:rsidRDefault="00D044A7" w:rsidP="00D044A7">
      <w:pPr>
        <w:spacing w:line="240" w:lineRule="auto"/>
        <w:ind w:right="680"/>
        <w:jc w:val="both"/>
        <w:rPr>
          <w:rFonts w:asciiTheme="majorHAnsi" w:hAnsiTheme="majorHAnsi" w:cstheme="majorHAnsi"/>
        </w:rPr>
      </w:pPr>
    </w:p>
    <w:p w14:paraId="5E381778" w14:textId="1DD5C2E7" w:rsidR="00212E9F" w:rsidRPr="00212E9F" w:rsidRDefault="00212E9F" w:rsidP="00D044A7">
      <w:pPr>
        <w:shd w:val="clear" w:color="auto" w:fill="D9D9D9"/>
        <w:spacing w:line="240" w:lineRule="auto"/>
        <w:ind w:right="680"/>
        <w:jc w:val="both"/>
        <w:rPr>
          <w:rFonts w:asciiTheme="majorHAnsi" w:hAnsiTheme="majorHAnsi" w:cstheme="majorHAnsi"/>
        </w:rPr>
      </w:pPr>
      <w:r w:rsidRPr="00212E9F">
        <w:rPr>
          <w:rFonts w:asciiTheme="majorHAnsi" w:hAnsiTheme="majorHAnsi" w:cstheme="majorHAnsi"/>
          <w:b/>
        </w:rPr>
        <w:t xml:space="preserve">Délai de soumission des </w:t>
      </w:r>
      <w:r w:rsidR="006D5F6E" w:rsidRPr="00212E9F">
        <w:rPr>
          <w:rFonts w:asciiTheme="majorHAnsi" w:hAnsiTheme="majorHAnsi" w:cstheme="majorHAnsi"/>
          <w:b/>
        </w:rPr>
        <w:t>candidatures :</w:t>
      </w:r>
    </w:p>
    <w:p w14:paraId="28E94258" w14:textId="46A9DBDF" w:rsidR="00212E9F" w:rsidRPr="00212E9F" w:rsidRDefault="00212E9F" w:rsidP="00D044A7">
      <w:pPr>
        <w:numPr>
          <w:ilvl w:val="0"/>
          <w:numId w:val="8"/>
        </w:numPr>
        <w:spacing w:line="240" w:lineRule="auto"/>
        <w:ind w:left="0" w:right="680" w:firstLine="0"/>
        <w:jc w:val="both"/>
        <w:rPr>
          <w:rFonts w:asciiTheme="majorHAnsi" w:hAnsiTheme="majorHAnsi" w:cstheme="majorHAnsi"/>
          <w:b/>
        </w:rPr>
      </w:pPr>
      <w:r w:rsidRPr="00212E9F">
        <w:rPr>
          <w:rFonts w:asciiTheme="majorHAnsi" w:hAnsiTheme="majorHAnsi" w:cstheme="majorHAnsi"/>
        </w:rPr>
        <w:t>Le dernier délai de soumission des candidatures aura lieu le</w:t>
      </w:r>
      <w:r w:rsidRPr="00212E9F">
        <w:rPr>
          <w:rFonts w:asciiTheme="majorHAnsi" w:hAnsiTheme="majorHAnsi" w:cstheme="majorHAnsi"/>
          <w:b/>
        </w:rPr>
        <w:t> </w:t>
      </w:r>
      <w:r w:rsidR="008B4552">
        <w:rPr>
          <w:rFonts w:asciiTheme="majorHAnsi" w:hAnsiTheme="majorHAnsi" w:cstheme="majorHAnsi"/>
          <w:b/>
          <w:color w:val="FF0000"/>
        </w:rPr>
        <w:t>2</w:t>
      </w:r>
      <w:r w:rsidR="00F017B7">
        <w:rPr>
          <w:rFonts w:asciiTheme="majorHAnsi" w:hAnsiTheme="majorHAnsi" w:cstheme="majorHAnsi"/>
          <w:b/>
          <w:color w:val="FF0000"/>
        </w:rPr>
        <w:t>3</w:t>
      </w:r>
      <w:r w:rsidR="008B4552">
        <w:rPr>
          <w:rFonts w:asciiTheme="majorHAnsi" w:hAnsiTheme="majorHAnsi" w:cstheme="majorHAnsi"/>
          <w:b/>
          <w:color w:val="FF0000"/>
        </w:rPr>
        <w:t xml:space="preserve"> janvier</w:t>
      </w:r>
      <w:r w:rsidR="00D044A7">
        <w:rPr>
          <w:rFonts w:asciiTheme="majorHAnsi" w:hAnsiTheme="majorHAnsi" w:cstheme="majorHAnsi"/>
          <w:b/>
          <w:color w:val="FF0000"/>
        </w:rPr>
        <w:t xml:space="preserve"> 2025</w:t>
      </w:r>
      <w:r w:rsidRPr="00212E9F">
        <w:rPr>
          <w:rFonts w:asciiTheme="majorHAnsi" w:hAnsiTheme="majorHAnsi" w:cstheme="majorHAnsi"/>
          <w:b/>
          <w:color w:val="0070C0"/>
        </w:rPr>
        <w:t>.</w:t>
      </w:r>
    </w:p>
    <w:p w14:paraId="25812F06" w14:textId="16301BEB" w:rsidR="00680B3E" w:rsidRPr="00212E9F" w:rsidRDefault="00680B3E" w:rsidP="00D044A7">
      <w:pPr>
        <w:spacing w:line="240" w:lineRule="auto"/>
        <w:jc w:val="both"/>
        <w:rPr>
          <w:rFonts w:asciiTheme="majorHAnsi" w:hAnsiTheme="majorHAnsi" w:cstheme="majorHAnsi"/>
          <w:lang w:bidi="ar-TN"/>
        </w:rPr>
      </w:pPr>
    </w:p>
    <w:p w14:paraId="027C289A" w14:textId="661C4C4B" w:rsidR="000D16EA" w:rsidRPr="00212E9F" w:rsidRDefault="000D16EA" w:rsidP="00212E9F">
      <w:pPr>
        <w:jc w:val="both"/>
        <w:rPr>
          <w:rFonts w:asciiTheme="majorHAnsi" w:eastAsia="Times New Roman" w:hAnsiTheme="majorHAnsi" w:cstheme="majorHAnsi"/>
          <w:color w:val="24272A"/>
        </w:rPr>
      </w:pPr>
    </w:p>
    <w:p w14:paraId="66A7C909" w14:textId="2AF9851F" w:rsidR="00212E9F" w:rsidRPr="00212E9F" w:rsidRDefault="00212E9F" w:rsidP="00212E9F">
      <w:pPr>
        <w:jc w:val="both"/>
        <w:rPr>
          <w:rFonts w:asciiTheme="majorHAnsi" w:eastAsia="Times New Roman" w:hAnsiTheme="majorHAnsi" w:cstheme="majorHAnsi"/>
          <w:color w:val="24272A"/>
        </w:rPr>
      </w:pPr>
      <w:r w:rsidRPr="00212E9F">
        <w:rPr>
          <w:rFonts w:asciiTheme="majorHAnsi" w:hAnsiTheme="majorHAnsi" w:cstheme="majorHAnsi"/>
        </w:rPr>
        <w:t xml:space="preserve"> </w:t>
      </w:r>
    </w:p>
    <w:sectPr w:rsidR="00212E9F" w:rsidRPr="00212E9F">
      <w:headerReference w:type="default" r:id="rId11"/>
      <w:pgSz w:w="11909" w:h="16834"/>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717B" w14:textId="77777777" w:rsidR="005978B5" w:rsidRDefault="005978B5">
      <w:pPr>
        <w:spacing w:line="240" w:lineRule="auto"/>
      </w:pPr>
      <w:r>
        <w:separator/>
      </w:r>
    </w:p>
  </w:endnote>
  <w:endnote w:type="continuationSeparator" w:id="0">
    <w:p w14:paraId="057BB8DF" w14:textId="77777777" w:rsidR="005978B5" w:rsidRDefault="00597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5CE2" w14:textId="77777777" w:rsidR="005978B5" w:rsidRDefault="005978B5">
      <w:pPr>
        <w:spacing w:line="240" w:lineRule="auto"/>
      </w:pPr>
      <w:r>
        <w:separator/>
      </w:r>
    </w:p>
  </w:footnote>
  <w:footnote w:type="continuationSeparator" w:id="0">
    <w:p w14:paraId="54767B94" w14:textId="77777777" w:rsidR="005978B5" w:rsidRDefault="00597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9182" w14:textId="7D2B516E" w:rsidR="00A505B5" w:rsidRDefault="008F657B" w:rsidP="008F657B">
    <w:pPr>
      <w:widowControl w:val="0"/>
      <w:spacing w:line="240" w:lineRule="auto"/>
    </w:pPr>
    <w:r>
      <w:rPr>
        <w:noProof/>
        <w:lang w:val="fr-FR"/>
      </w:rPr>
      <w:drawing>
        <wp:anchor distT="114300" distB="114300" distL="114300" distR="114300" simplePos="0" relativeHeight="251658240" behindDoc="1" locked="0" layoutInCell="1" hidden="0" allowOverlap="1" wp14:anchorId="2E2BFCCE" wp14:editId="25EC5373">
          <wp:simplePos x="0" y="0"/>
          <wp:positionH relativeFrom="column">
            <wp:posOffset>4581525</wp:posOffset>
          </wp:positionH>
          <wp:positionV relativeFrom="paragraph">
            <wp:posOffset>8255</wp:posOffset>
          </wp:positionV>
          <wp:extent cx="1003527" cy="7143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3527" cy="714375"/>
                  </a:xfrm>
                  <a:prstGeom prst="rect">
                    <a:avLst/>
                  </a:prstGeom>
                  <a:ln/>
                </pic:spPr>
              </pic:pic>
            </a:graphicData>
          </a:graphic>
        </wp:anchor>
      </w:drawing>
    </w:r>
    <w:r w:rsidR="00DA5FDB">
      <w:rPr>
        <w:noProof/>
      </w:rPr>
      <w:drawing>
        <wp:inline distT="0" distB="0" distL="0" distR="0" wp14:anchorId="78D42BE4" wp14:editId="7EA4C7C7">
          <wp:extent cx="932815" cy="8803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085" cy="9220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0CAB"/>
    <w:multiLevelType w:val="multilevel"/>
    <w:tmpl w:val="628E72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013636F"/>
    <w:multiLevelType w:val="multilevel"/>
    <w:tmpl w:val="EFA07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0A34DE"/>
    <w:multiLevelType w:val="hybridMultilevel"/>
    <w:tmpl w:val="6248CFF2"/>
    <w:lvl w:ilvl="0" w:tplc="67B2AD78">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56184"/>
    <w:multiLevelType w:val="multilevel"/>
    <w:tmpl w:val="C5B41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0C56999"/>
    <w:multiLevelType w:val="multilevel"/>
    <w:tmpl w:val="E332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DA44BA"/>
    <w:multiLevelType w:val="multilevel"/>
    <w:tmpl w:val="9C7AA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CA1F42"/>
    <w:multiLevelType w:val="multilevel"/>
    <w:tmpl w:val="D2FEF228"/>
    <w:lvl w:ilvl="0">
      <w:start w:val="1"/>
      <w:numFmt w:val="bullet"/>
      <w:lvlText w:val="●"/>
      <w:lvlJc w:val="left"/>
      <w:pPr>
        <w:ind w:left="720" w:hanging="360"/>
      </w:pPr>
      <w:rPr>
        <w:rFonts w:ascii="Times New Roman" w:eastAsia="Times New Roman" w:hAnsi="Times New Roman" w:cs="Times New Roman"/>
        <w:color w:val="2427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B870C1"/>
    <w:multiLevelType w:val="multilevel"/>
    <w:tmpl w:val="F4E49218"/>
    <w:lvl w:ilvl="0">
      <w:start w:val="1"/>
      <w:numFmt w:val="bullet"/>
      <w:lvlText w:val="●"/>
      <w:lvlJc w:val="left"/>
      <w:pPr>
        <w:ind w:left="720" w:hanging="360"/>
      </w:pPr>
      <w:rPr>
        <w:rFonts w:ascii="Times New Roman" w:eastAsia="Times New Roman" w:hAnsi="Times New Roman" w:cs="Times New Roman"/>
        <w:color w:val="24272A"/>
        <w:sz w:val="27"/>
        <w:szCs w:val="27"/>
        <w:u w:val="none"/>
      </w:rPr>
    </w:lvl>
    <w:lvl w:ilvl="1">
      <w:start w:val="1"/>
      <w:numFmt w:val="bullet"/>
      <w:lvlText w:val="○"/>
      <w:lvlJc w:val="left"/>
      <w:pPr>
        <w:ind w:left="1440" w:hanging="360"/>
      </w:pPr>
      <w:rPr>
        <w:rFonts w:ascii="Times New Roman" w:eastAsia="Times New Roman" w:hAnsi="Times New Roman" w:cs="Times New Roman"/>
        <w:color w:val="24272A"/>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1E07FA"/>
    <w:multiLevelType w:val="multilevel"/>
    <w:tmpl w:val="8B2A30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5490878">
    <w:abstractNumId w:val="6"/>
  </w:num>
  <w:num w:numId="2" w16cid:durableId="687412315">
    <w:abstractNumId w:val="4"/>
  </w:num>
  <w:num w:numId="3" w16cid:durableId="1800953788">
    <w:abstractNumId w:val="7"/>
  </w:num>
  <w:num w:numId="4" w16cid:durableId="1577939048">
    <w:abstractNumId w:val="0"/>
  </w:num>
  <w:num w:numId="5" w16cid:durableId="165748725">
    <w:abstractNumId w:val="5"/>
  </w:num>
  <w:num w:numId="6" w16cid:durableId="1965884058">
    <w:abstractNumId w:val="2"/>
  </w:num>
  <w:num w:numId="7" w16cid:durableId="312175314">
    <w:abstractNumId w:val="1"/>
  </w:num>
  <w:num w:numId="8" w16cid:durableId="143402561">
    <w:abstractNumId w:val="3"/>
  </w:num>
  <w:num w:numId="9" w16cid:durableId="485360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B5"/>
    <w:rsid w:val="000911BC"/>
    <w:rsid w:val="00095D21"/>
    <w:rsid w:val="000A6DB0"/>
    <w:rsid w:val="000D0C73"/>
    <w:rsid w:val="000D16EA"/>
    <w:rsid w:val="00133ED4"/>
    <w:rsid w:val="00150103"/>
    <w:rsid w:val="001A2ADB"/>
    <w:rsid w:val="001A489D"/>
    <w:rsid w:val="001B6F9A"/>
    <w:rsid w:val="0020627A"/>
    <w:rsid w:val="00211B92"/>
    <w:rsid w:val="00212E9F"/>
    <w:rsid w:val="00212FAC"/>
    <w:rsid w:val="002656A6"/>
    <w:rsid w:val="002A4F19"/>
    <w:rsid w:val="002C2D62"/>
    <w:rsid w:val="0039002D"/>
    <w:rsid w:val="003938B4"/>
    <w:rsid w:val="003B2CA0"/>
    <w:rsid w:val="003F2505"/>
    <w:rsid w:val="004B72D9"/>
    <w:rsid w:val="00582837"/>
    <w:rsid w:val="005978B5"/>
    <w:rsid w:val="005A6E4A"/>
    <w:rsid w:val="00636C71"/>
    <w:rsid w:val="0065289D"/>
    <w:rsid w:val="00680B3E"/>
    <w:rsid w:val="006C6908"/>
    <w:rsid w:val="006D5F6E"/>
    <w:rsid w:val="006E126D"/>
    <w:rsid w:val="00833E20"/>
    <w:rsid w:val="008A47FB"/>
    <w:rsid w:val="008B4552"/>
    <w:rsid w:val="008B457F"/>
    <w:rsid w:val="008E5CAD"/>
    <w:rsid w:val="008F657B"/>
    <w:rsid w:val="0091202B"/>
    <w:rsid w:val="009B2036"/>
    <w:rsid w:val="009D43AF"/>
    <w:rsid w:val="009E3FBE"/>
    <w:rsid w:val="00A15DB7"/>
    <w:rsid w:val="00A262AE"/>
    <w:rsid w:val="00A505B5"/>
    <w:rsid w:val="00A9545B"/>
    <w:rsid w:val="00B46BC6"/>
    <w:rsid w:val="00B72A50"/>
    <w:rsid w:val="00BA54C8"/>
    <w:rsid w:val="00BE2DE6"/>
    <w:rsid w:val="00C01A05"/>
    <w:rsid w:val="00C85A71"/>
    <w:rsid w:val="00C910F5"/>
    <w:rsid w:val="00D044A7"/>
    <w:rsid w:val="00D35358"/>
    <w:rsid w:val="00DA5FDB"/>
    <w:rsid w:val="00DB097A"/>
    <w:rsid w:val="00DC3640"/>
    <w:rsid w:val="00E03922"/>
    <w:rsid w:val="00E3384A"/>
    <w:rsid w:val="00E749A6"/>
    <w:rsid w:val="00F017B7"/>
    <w:rsid w:val="00F10528"/>
    <w:rsid w:val="00F10643"/>
    <w:rsid w:val="00F13970"/>
    <w:rsid w:val="00F16457"/>
    <w:rsid w:val="00F2525F"/>
    <w:rsid w:val="00F27134"/>
    <w:rsid w:val="00FE2CB5"/>
    <w:rsid w:val="00FF01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11A3"/>
  <w15:docId w15:val="{13C462AB-6C15-47DC-A7DE-4C3DA451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8F657B"/>
    <w:pPr>
      <w:tabs>
        <w:tab w:val="center" w:pos="4536"/>
        <w:tab w:val="right" w:pos="9072"/>
      </w:tabs>
      <w:spacing w:line="240" w:lineRule="auto"/>
    </w:pPr>
  </w:style>
  <w:style w:type="character" w:customStyle="1" w:styleId="En-tteCar">
    <w:name w:val="En-tête Car"/>
    <w:basedOn w:val="Policepardfaut"/>
    <w:link w:val="En-tte"/>
    <w:uiPriority w:val="99"/>
    <w:rsid w:val="008F657B"/>
  </w:style>
  <w:style w:type="paragraph" w:styleId="Pieddepage">
    <w:name w:val="footer"/>
    <w:basedOn w:val="Normal"/>
    <w:link w:val="PieddepageCar"/>
    <w:uiPriority w:val="99"/>
    <w:unhideWhenUsed/>
    <w:rsid w:val="008F657B"/>
    <w:pPr>
      <w:tabs>
        <w:tab w:val="center" w:pos="4536"/>
        <w:tab w:val="right" w:pos="9072"/>
      </w:tabs>
      <w:spacing w:line="240" w:lineRule="auto"/>
    </w:pPr>
  </w:style>
  <w:style w:type="character" w:customStyle="1" w:styleId="PieddepageCar">
    <w:name w:val="Pied de page Car"/>
    <w:basedOn w:val="Policepardfaut"/>
    <w:link w:val="Pieddepage"/>
    <w:uiPriority w:val="99"/>
    <w:rsid w:val="008F657B"/>
  </w:style>
  <w:style w:type="character" w:styleId="Lienhypertexte">
    <w:name w:val="Hyperlink"/>
    <w:basedOn w:val="Policepardfaut"/>
    <w:uiPriority w:val="99"/>
    <w:unhideWhenUsed/>
    <w:rsid w:val="00095D21"/>
    <w:rPr>
      <w:color w:val="0000FF" w:themeColor="hyperlink"/>
      <w:u w:val="single"/>
    </w:rPr>
  </w:style>
  <w:style w:type="character" w:styleId="Mentionnonrsolue">
    <w:name w:val="Unresolved Mention"/>
    <w:basedOn w:val="Policepardfaut"/>
    <w:uiPriority w:val="99"/>
    <w:semiHidden/>
    <w:unhideWhenUsed/>
    <w:rsid w:val="00095D21"/>
    <w:rPr>
      <w:color w:val="605E5C"/>
      <w:shd w:val="clear" w:color="auto" w:fill="E1DFDD"/>
    </w:rPr>
  </w:style>
  <w:style w:type="paragraph" w:styleId="Notedebasdepage">
    <w:name w:val="footnote text"/>
    <w:basedOn w:val="Normal"/>
    <w:link w:val="NotedebasdepageCar"/>
    <w:uiPriority w:val="99"/>
    <w:semiHidden/>
    <w:rsid w:val="00582837"/>
    <w:pPr>
      <w:spacing w:line="240" w:lineRule="auto"/>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582837"/>
    <w:rPr>
      <w:rFonts w:ascii="Times New Roman" w:eastAsia="Times New Roman" w:hAnsi="Times New Roman" w:cs="Times New Roman"/>
      <w:sz w:val="20"/>
      <w:szCs w:val="20"/>
      <w:lang w:val="fr-FR"/>
    </w:rPr>
  </w:style>
  <w:style w:type="character" w:styleId="Appelnotedebasdep">
    <w:name w:val="footnote reference"/>
    <w:uiPriority w:val="99"/>
    <w:semiHidden/>
    <w:rsid w:val="00582837"/>
    <w:rPr>
      <w:vertAlign w:val="superscript"/>
    </w:rPr>
  </w:style>
  <w:style w:type="paragraph" w:styleId="Paragraphedeliste">
    <w:name w:val="List Paragraph"/>
    <w:basedOn w:val="Normal"/>
    <w:uiPriority w:val="34"/>
    <w:qFormat/>
    <w:rsid w:val="000911BC"/>
    <w:pPr>
      <w:ind w:left="720"/>
      <w:contextualSpacing/>
    </w:pPr>
  </w:style>
  <w:style w:type="paragraph" w:styleId="Textedebulles">
    <w:name w:val="Balloon Text"/>
    <w:basedOn w:val="Normal"/>
    <w:link w:val="TextedebullesCar"/>
    <w:uiPriority w:val="99"/>
    <w:semiHidden/>
    <w:unhideWhenUsed/>
    <w:rsid w:val="00212E9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E9F"/>
    <w:rPr>
      <w:rFonts w:ascii="Segoe UI" w:hAnsi="Segoe UI" w:cs="Segoe UI"/>
      <w:sz w:val="18"/>
      <w:szCs w:val="18"/>
    </w:rPr>
  </w:style>
  <w:style w:type="paragraph" w:styleId="Rvision">
    <w:name w:val="Revision"/>
    <w:hidden/>
    <w:uiPriority w:val="99"/>
    <w:semiHidden/>
    <w:rsid w:val="008B4552"/>
    <w:pPr>
      <w:spacing w:line="240" w:lineRule="auto"/>
    </w:pPr>
  </w:style>
  <w:style w:type="character" w:styleId="Marquedecommentaire">
    <w:name w:val="annotation reference"/>
    <w:basedOn w:val="Policepardfaut"/>
    <w:uiPriority w:val="99"/>
    <w:semiHidden/>
    <w:unhideWhenUsed/>
    <w:rsid w:val="008B4552"/>
    <w:rPr>
      <w:sz w:val="16"/>
      <w:szCs w:val="16"/>
    </w:rPr>
  </w:style>
  <w:style w:type="paragraph" w:styleId="Commentaire">
    <w:name w:val="annotation text"/>
    <w:basedOn w:val="Normal"/>
    <w:link w:val="CommentaireCar"/>
    <w:uiPriority w:val="99"/>
    <w:unhideWhenUsed/>
    <w:rsid w:val="008B4552"/>
    <w:pPr>
      <w:spacing w:line="240" w:lineRule="auto"/>
    </w:pPr>
    <w:rPr>
      <w:sz w:val="20"/>
      <w:szCs w:val="20"/>
    </w:rPr>
  </w:style>
  <w:style w:type="character" w:customStyle="1" w:styleId="CommentaireCar">
    <w:name w:val="Commentaire Car"/>
    <w:basedOn w:val="Policepardfaut"/>
    <w:link w:val="Commentaire"/>
    <w:uiPriority w:val="99"/>
    <w:rsid w:val="008B4552"/>
    <w:rPr>
      <w:sz w:val="20"/>
      <w:szCs w:val="20"/>
    </w:rPr>
  </w:style>
  <w:style w:type="paragraph" w:styleId="Objetducommentaire">
    <w:name w:val="annotation subject"/>
    <w:basedOn w:val="Commentaire"/>
    <w:next w:val="Commentaire"/>
    <w:link w:val="ObjetducommentaireCar"/>
    <w:uiPriority w:val="99"/>
    <w:semiHidden/>
    <w:unhideWhenUsed/>
    <w:rsid w:val="008B4552"/>
    <w:rPr>
      <w:b/>
      <w:bCs/>
    </w:rPr>
  </w:style>
  <w:style w:type="character" w:customStyle="1" w:styleId="ObjetducommentaireCar">
    <w:name w:val="Objet du commentaire Car"/>
    <w:basedOn w:val="CommentaireCar"/>
    <w:link w:val="Objetducommentaire"/>
    <w:uiPriority w:val="99"/>
    <w:semiHidden/>
    <w:rsid w:val="008B45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dlitn.org/attitude-toward-homosexua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litn.org/download/lattitude-face-a-lhomosexualite-dans-ses-liens-avec-lempath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liassociation2015@gmail.com" TargetMode="External"/><Relationship Id="rId4" Type="http://schemas.openxmlformats.org/officeDocument/2006/relationships/webSettings" Target="webSettings.xml"/><Relationship Id="rId9" Type="http://schemas.openxmlformats.org/officeDocument/2006/relationships/hyperlink" Target="https://adlitn.org/laffaire-230-la-justice-face-a-lhomosexuali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5748</Characters>
  <Application>Microsoft Office Word</Application>
  <DocSecurity>0</DocSecurity>
  <Lines>99</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 Asus</dc:creator>
  <cp:lastModifiedBy>Ahmed Aloui</cp:lastModifiedBy>
  <cp:revision>2</cp:revision>
  <dcterms:created xsi:type="dcterms:W3CDTF">2025-01-03T18:14:00Z</dcterms:created>
  <dcterms:modified xsi:type="dcterms:W3CDTF">2025-01-03T18:14:00Z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e4382c4a6f7d6ea73eba8505e89feb1d43237bcecf19b3fff9c59836c2107e3b</vt:lpwstr>
  </property>
</Properties>
</file>