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8C3D5" w14:textId="1CF72782" w:rsidR="002E37E9" w:rsidRPr="00D22611" w:rsidRDefault="00A92B76" w:rsidP="00D22611">
      <w:pPr>
        <w:pStyle w:val="Titre"/>
        <w:jc w:val="center"/>
        <w:rPr>
          <w:rFonts w:ascii="Fractul" w:hAnsi="Fractul"/>
          <w:color w:val="0070C0"/>
          <w:lang w:val="fr-FR"/>
        </w:rPr>
      </w:pPr>
      <w:r w:rsidRPr="00D22611">
        <w:rPr>
          <w:rFonts w:ascii="Fractul" w:hAnsi="Fractul"/>
          <w:color w:val="0070C0"/>
          <w:lang w:val="fr-FR"/>
        </w:rPr>
        <w:t>Termes de Référence</w:t>
      </w:r>
    </w:p>
    <w:p w14:paraId="0BEC9B69" w14:textId="22A0A000" w:rsidR="00A92B76" w:rsidRPr="00D22611" w:rsidRDefault="00A92B76" w:rsidP="00D22611">
      <w:pPr>
        <w:pStyle w:val="Titre1"/>
        <w:jc w:val="center"/>
        <w:rPr>
          <w:rFonts w:ascii="Fractul" w:hAnsi="Fractul"/>
          <w:lang w:val="fr-FR"/>
        </w:rPr>
      </w:pPr>
      <w:r w:rsidRPr="00D22611">
        <w:rPr>
          <w:rFonts w:ascii="Fractul" w:hAnsi="Fractul"/>
          <w:lang w:val="fr-FR"/>
        </w:rPr>
        <w:t>Mission d’audit financier de projet</w:t>
      </w:r>
    </w:p>
    <w:p w14:paraId="77E4DCFB" w14:textId="77777777" w:rsidR="00A92B76" w:rsidRDefault="00A92B76">
      <w:pPr>
        <w:rPr>
          <w:lang w:val="fr-FR"/>
        </w:rPr>
      </w:pPr>
    </w:p>
    <w:p w14:paraId="3AF26345" w14:textId="6B74FDCB" w:rsidR="00A92B76" w:rsidRDefault="00A92B76" w:rsidP="00D22611">
      <w:pPr>
        <w:pStyle w:val="Titre2"/>
        <w:rPr>
          <w:rFonts w:ascii="Fractul" w:hAnsi="Fractul"/>
          <w:color w:val="00B0F0"/>
          <w:lang w:val="fr-FR"/>
        </w:rPr>
      </w:pPr>
      <w:r w:rsidRPr="00D22611">
        <w:rPr>
          <w:rFonts w:ascii="Fractul" w:hAnsi="Fractul"/>
          <w:color w:val="00B0F0"/>
          <w:lang w:val="fr-FR"/>
        </w:rPr>
        <w:t>Contexte de la mission</w:t>
      </w:r>
    </w:p>
    <w:p w14:paraId="348F2E93" w14:textId="77777777" w:rsidR="00D22611" w:rsidRPr="00D22611" w:rsidRDefault="00D22611" w:rsidP="00D22611">
      <w:pPr>
        <w:rPr>
          <w:lang w:val="fr-FR"/>
        </w:rPr>
      </w:pPr>
    </w:p>
    <w:p w14:paraId="2864EE37" w14:textId="058F1A83" w:rsidR="00A92B76" w:rsidRPr="00D22611" w:rsidRDefault="00A92B76" w:rsidP="00D22611">
      <w:pPr>
        <w:jc w:val="both"/>
        <w:rPr>
          <w:rFonts w:ascii="Loew Next" w:hAnsi="Loew Next"/>
          <w:lang w:val="fr-FR"/>
        </w:rPr>
      </w:pPr>
      <w:r w:rsidRPr="00D22611">
        <w:rPr>
          <w:rFonts w:ascii="Loew Next" w:hAnsi="Loew Next"/>
          <w:lang w:val="fr-FR"/>
        </w:rPr>
        <w:t xml:space="preserve">Dans le cadre des activités de son </w:t>
      </w:r>
      <w:proofErr w:type="spellStart"/>
      <w:r w:rsidRPr="00D22611">
        <w:rPr>
          <w:rFonts w:ascii="Loew Next" w:hAnsi="Loew Next"/>
          <w:lang w:val="fr-FR"/>
        </w:rPr>
        <w:t>Think</w:t>
      </w:r>
      <w:proofErr w:type="spellEnd"/>
      <w:r w:rsidRPr="00D22611">
        <w:rPr>
          <w:rFonts w:ascii="Loew Next" w:hAnsi="Loew Next"/>
          <w:lang w:val="fr-FR"/>
        </w:rPr>
        <w:t xml:space="preserve"> Tank stratégique, l’association Solidar Tunisie a mis en place l’Observatoire Tunisien des Politiques Publiques. Ce projet, qui s’inscrit dans le cadre du 5</w:t>
      </w:r>
      <w:r w:rsidRPr="00D22611">
        <w:rPr>
          <w:rFonts w:ascii="Loew Next" w:hAnsi="Loew Next"/>
          <w:vertAlign w:val="superscript"/>
          <w:lang w:val="fr-FR"/>
        </w:rPr>
        <w:t>ème</w:t>
      </w:r>
      <w:r w:rsidRPr="00D22611">
        <w:rPr>
          <w:rFonts w:ascii="Loew Next" w:hAnsi="Loew Next"/>
          <w:lang w:val="fr-FR"/>
        </w:rPr>
        <w:t xml:space="preserve"> plan d’action national de l’initiative Open </w:t>
      </w:r>
      <w:proofErr w:type="spellStart"/>
      <w:r w:rsidRPr="00D22611">
        <w:rPr>
          <w:rFonts w:ascii="Loew Next" w:hAnsi="Loew Next"/>
          <w:lang w:val="fr-FR"/>
        </w:rPr>
        <w:t>Government</w:t>
      </w:r>
      <w:proofErr w:type="spellEnd"/>
      <w:r w:rsidRPr="00D22611">
        <w:rPr>
          <w:rFonts w:ascii="Loew Next" w:hAnsi="Loew Next"/>
          <w:lang w:val="fr-FR"/>
        </w:rPr>
        <w:t xml:space="preserve"> Partnership (OGP), a été financé, dans sa phase pilote, par la Coopération Suisse.</w:t>
      </w:r>
    </w:p>
    <w:p w14:paraId="2987050B" w14:textId="33D31813" w:rsidR="00A92B76" w:rsidRDefault="00A92B76" w:rsidP="00D22611">
      <w:pPr>
        <w:jc w:val="both"/>
        <w:rPr>
          <w:rFonts w:ascii="Loew Next" w:hAnsi="Loew Next"/>
          <w:lang w:val="fr-FR"/>
        </w:rPr>
      </w:pPr>
      <w:r w:rsidRPr="00D22611">
        <w:rPr>
          <w:rFonts w:ascii="Loew Next" w:hAnsi="Loew Next"/>
          <w:lang w:val="fr-FR"/>
        </w:rPr>
        <w:t>La phase pilote du projet a démarré le 10 mai 2023 et se termine le 31 décembre 2024. Dans le cadre de ses engagements contractuels avec le bailleur de fonds, Solidar Tunisie souhaite recruter un auditeur externe pour réaliser une mission d’audit financier du projet.</w:t>
      </w:r>
    </w:p>
    <w:p w14:paraId="4CEEB1FC" w14:textId="77777777" w:rsidR="00D22611" w:rsidRPr="00D22611" w:rsidRDefault="00D22611" w:rsidP="00D22611">
      <w:pPr>
        <w:jc w:val="both"/>
        <w:rPr>
          <w:rFonts w:ascii="Loew Next" w:hAnsi="Loew Next"/>
          <w:lang w:val="fr-FR"/>
        </w:rPr>
      </w:pPr>
    </w:p>
    <w:p w14:paraId="336607BA" w14:textId="208A4609" w:rsidR="00A92B76" w:rsidRPr="00D22611" w:rsidRDefault="00A92B76">
      <w:pPr>
        <w:rPr>
          <w:rFonts w:ascii="Fractul" w:eastAsiaTheme="majorEastAsia" w:hAnsi="Fractul" w:cstheme="majorBidi"/>
          <w:color w:val="00B0F0"/>
          <w:sz w:val="26"/>
          <w:szCs w:val="26"/>
          <w:lang w:val="fr-FR"/>
        </w:rPr>
      </w:pPr>
      <w:r w:rsidRPr="00D22611">
        <w:rPr>
          <w:rFonts w:ascii="Fractul" w:eastAsiaTheme="majorEastAsia" w:hAnsi="Fractul" w:cstheme="majorBidi"/>
          <w:color w:val="00B0F0"/>
          <w:sz w:val="26"/>
          <w:szCs w:val="26"/>
          <w:lang w:val="fr-FR"/>
        </w:rPr>
        <w:t>Objectifs de la mission</w:t>
      </w:r>
    </w:p>
    <w:p w14:paraId="6AE0A926" w14:textId="3490E460" w:rsidR="00A92B76" w:rsidRDefault="00A92B76" w:rsidP="00D22611">
      <w:pPr>
        <w:jc w:val="both"/>
        <w:rPr>
          <w:rFonts w:ascii="Loew Next" w:hAnsi="Loew Next"/>
          <w:lang w:val="fr-FR"/>
        </w:rPr>
      </w:pPr>
      <w:r w:rsidRPr="00D22611">
        <w:rPr>
          <w:rFonts w:ascii="Loew Next" w:hAnsi="Loew Next"/>
          <w:lang w:val="fr-FR"/>
        </w:rPr>
        <w:t>Cette mission a, pour objectif de réaliser l’audit financier du projet conformément aux normes prescrites par le bailleur de fonds dans le cahier des charges annexé aux présents termes de référence.</w:t>
      </w:r>
    </w:p>
    <w:p w14:paraId="2F4A24FB" w14:textId="77777777" w:rsidR="00D22611" w:rsidRPr="00D22611" w:rsidRDefault="00D22611" w:rsidP="00D22611">
      <w:pPr>
        <w:jc w:val="both"/>
        <w:rPr>
          <w:rFonts w:ascii="Loew Next" w:hAnsi="Loew Next"/>
          <w:lang w:val="fr-FR"/>
        </w:rPr>
      </w:pPr>
    </w:p>
    <w:p w14:paraId="4808DAC8" w14:textId="7333DE1E" w:rsidR="00A92B76" w:rsidRPr="00D22611" w:rsidRDefault="00A92B76" w:rsidP="00A92B76">
      <w:pPr>
        <w:rPr>
          <w:rFonts w:ascii="Fractul" w:eastAsiaTheme="majorEastAsia" w:hAnsi="Fractul" w:cstheme="majorBidi"/>
          <w:color w:val="00B0F0"/>
          <w:sz w:val="26"/>
          <w:szCs w:val="26"/>
          <w:lang w:val="fr-FR"/>
        </w:rPr>
      </w:pPr>
      <w:r w:rsidRPr="00D22611">
        <w:rPr>
          <w:rFonts w:ascii="Fractul" w:eastAsiaTheme="majorEastAsia" w:hAnsi="Fractul" w:cstheme="majorBidi"/>
          <w:color w:val="00B0F0"/>
          <w:sz w:val="26"/>
          <w:szCs w:val="26"/>
          <w:lang w:val="fr-FR"/>
        </w:rPr>
        <w:t>Spécifications techniques de l’audit</w:t>
      </w:r>
    </w:p>
    <w:p w14:paraId="674A4632" w14:textId="18360213" w:rsidR="00A92B76" w:rsidRPr="00D22611" w:rsidRDefault="00A92B76" w:rsidP="00D22611">
      <w:pPr>
        <w:jc w:val="both"/>
        <w:rPr>
          <w:rFonts w:ascii="Loew Next" w:hAnsi="Loew Next"/>
          <w:lang w:val="fr-FR"/>
        </w:rPr>
      </w:pPr>
      <w:r w:rsidRPr="00D22611">
        <w:rPr>
          <w:rFonts w:ascii="Loew Next" w:hAnsi="Loew Next"/>
          <w:lang w:val="fr-FR"/>
        </w:rPr>
        <w:t>Les spécifications techniques de la mission d’audit sont prescrites dans le cahier des charges annexé aux présents termes de référence</w:t>
      </w:r>
    </w:p>
    <w:p w14:paraId="22673B00" w14:textId="383BE44B" w:rsidR="00A92B76" w:rsidRPr="00D22611" w:rsidRDefault="00A92B76" w:rsidP="00D22611">
      <w:pPr>
        <w:jc w:val="both"/>
        <w:rPr>
          <w:rFonts w:ascii="Loew Next" w:hAnsi="Loew Next"/>
          <w:lang w:val="fr-FR"/>
        </w:rPr>
      </w:pPr>
      <w:r w:rsidRPr="00D22611">
        <w:rPr>
          <w:rFonts w:ascii="Loew Next" w:hAnsi="Loew Next"/>
          <w:lang w:val="fr-FR"/>
        </w:rPr>
        <w:t>Les livrables attendus de la mission</w:t>
      </w:r>
    </w:p>
    <w:p w14:paraId="021B6B14" w14:textId="073092B2" w:rsidR="00A92B76" w:rsidRPr="00D22611" w:rsidRDefault="00BC160B" w:rsidP="00D22611">
      <w:pPr>
        <w:pStyle w:val="Paragraphedeliste"/>
        <w:numPr>
          <w:ilvl w:val="0"/>
          <w:numId w:val="1"/>
        </w:numPr>
        <w:jc w:val="both"/>
        <w:rPr>
          <w:rFonts w:ascii="Loew Next" w:hAnsi="Loew Next"/>
          <w:lang w:val="fr-FR"/>
        </w:rPr>
      </w:pPr>
      <w:r w:rsidRPr="00D22611">
        <w:rPr>
          <w:rFonts w:ascii="Loew Next" w:hAnsi="Loew Next"/>
          <w:lang w:val="fr-FR"/>
        </w:rPr>
        <w:t>Rapport de l’auditeur indépendant sur les informations financières conformément au modèle exigé dans le cahier des charges</w:t>
      </w:r>
    </w:p>
    <w:p w14:paraId="51139283" w14:textId="652B15B0" w:rsidR="00A92B76" w:rsidRDefault="00BC160B" w:rsidP="00D22611">
      <w:pPr>
        <w:pStyle w:val="Paragraphedeliste"/>
        <w:numPr>
          <w:ilvl w:val="0"/>
          <w:numId w:val="1"/>
        </w:numPr>
        <w:jc w:val="both"/>
        <w:rPr>
          <w:rFonts w:ascii="Loew Next" w:hAnsi="Loew Next"/>
          <w:lang w:val="fr-FR"/>
        </w:rPr>
      </w:pPr>
      <w:r w:rsidRPr="00D22611">
        <w:rPr>
          <w:rFonts w:ascii="Loew Next" w:hAnsi="Loew Next"/>
          <w:lang w:val="fr-FR"/>
        </w:rPr>
        <w:t>Lettre de recommandations selon le format suggéré dans le cahier des charges</w:t>
      </w:r>
    </w:p>
    <w:p w14:paraId="702FAFB1" w14:textId="77777777" w:rsidR="00D22611" w:rsidRPr="00D22611" w:rsidRDefault="00D22611" w:rsidP="00D22611">
      <w:pPr>
        <w:pStyle w:val="Paragraphedeliste"/>
        <w:jc w:val="both"/>
        <w:rPr>
          <w:rFonts w:ascii="Loew Next" w:hAnsi="Loew Next"/>
          <w:lang w:val="fr-FR"/>
        </w:rPr>
      </w:pPr>
    </w:p>
    <w:p w14:paraId="344600AF" w14:textId="1A664121" w:rsidR="00BC160B" w:rsidRPr="00D22611" w:rsidRDefault="00BC160B" w:rsidP="00BC160B">
      <w:pPr>
        <w:rPr>
          <w:rFonts w:ascii="Fractul" w:eastAsiaTheme="majorEastAsia" w:hAnsi="Fractul" w:cstheme="majorBidi"/>
          <w:color w:val="00B0F0"/>
          <w:sz w:val="26"/>
          <w:szCs w:val="26"/>
          <w:lang w:val="fr-FR"/>
        </w:rPr>
      </w:pPr>
      <w:r w:rsidRPr="00D22611">
        <w:rPr>
          <w:rFonts w:ascii="Fractul" w:eastAsiaTheme="majorEastAsia" w:hAnsi="Fractul" w:cstheme="majorBidi"/>
          <w:color w:val="00B0F0"/>
          <w:sz w:val="26"/>
          <w:szCs w:val="26"/>
          <w:lang w:val="fr-FR"/>
        </w:rPr>
        <w:t>Conditions d’éligibilité à la mission</w:t>
      </w:r>
    </w:p>
    <w:p w14:paraId="49707CB1" w14:textId="4D0E0E67" w:rsidR="00BC160B" w:rsidRDefault="00BC160B" w:rsidP="00D22611">
      <w:pPr>
        <w:jc w:val="both"/>
        <w:rPr>
          <w:rFonts w:ascii="Loew Next" w:hAnsi="Loew Next"/>
          <w:lang w:val="fr-FR"/>
        </w:rPr>
      </w:pPr>
      <w:r w:rsidRPr="00D22611">
        <w:rPr>
          <w:rFonts w:ascii="Loew Next" w:hAnsi="Loew Next"/>
          <w:lang w:val="fr-FR"/>
        </w:rPr>
        <w:t xml:space="preserve">Le(s) soumissionnaire(s) doit obligatoirement être inscrit à l’ordre des experts comptables tunisiens (OECT). Il doit, également, ne pas être lié ni au bailleur de </w:t>
      </w:r>
      <w:r w:rsidRPr="00D22611">
        <w:rPr>
          <w:rFonts w:ascii="Loew Next" w:hAnsi="Loew Next"/>
          <w:lang w:val="fr-FR"/>
        </w:rPr>
        <w:lastRenderedPageBreak/>
        <w:t>fonds ni à Solidar Tunisie par aucun lien personnel et/ou professionnel. Le fait d’avoir conduit des missions semblables est un atout.</w:t>
      </w:r>
    </w:p>
    <w:p w14:paraId="2F9ECBA6" w14:textId="77777777" w:rsidR="00D22611" w:rsidRPr="00D22611" w:rsidRDefault="00D22611" w:rsidP="00D22611">
      <w:pPr>
        <w:jc w:val="both"/>
        <w:rPr>
          <w:rFonts w:ascii="Loew Next" w:hAnsi="Loew Next"/>
          <w:lang w:val="fr-FR"/>
        </w:rPr>
      </w:pPr>
    </w:p>
    <w:p w14:paraId="780B4A3C" w14:textId="094995CD" w:rsidR="00BC160B" w:rsidRPr="00D22611" w:rsidRDefault="00BC160B" w:rsidP="00BC160B">
      <w:pPr>
        <w:rPr>
          <w:rFonts w:ascii="Fractul" w:eastAsiaTheme="majorEastAsia" w:hAnsi="Fractul" w:cstheme="majorBidi"/>
          <w:color w:val="00B0F0"/>
          <w:sz w:val="26"/>
          <w:szCs w:val="26"/>
          <w:lang w:val="fr-FR"/>
        </w:rPr>
      </w:pPr>
      <w:r w:rsidRPr="00D22611">
        <w:rPr>
          <w:rFonts w:ascii="Fractul" w:eastAsiaTheme="majorEastAsia" w:hAnsi="Fractul" w:cstheme="majorBidi"/>
          <w:color w:val="00B0F0"/>
          <w:sz w:val="26"/>
          <w:szCs w:val="26"/>
          <w:lang w:val="fr-FR"/>
        </w:rPr>
        <w:t>Documents de soumission</w:t>
      </w:r>
    </w:p>
    <w:p w14:paraId="3319298A" w14:textId="16EBB7C5" w:rsidR="00BC160B" w:rsidRPr="00D22611" w:rsidRDefault="00BC160B" w:rsidP="00D22611">
      <w:pPr>
        <w:jc w:val="both"/>
        <w:rPr>
          <w:rFonts w:ascii="Loew Next" w:hAnsi="Loew Next"/>
          <w:lang w:val="fr-FR"/>
        </w:rPr>
      </w:pPr>
      <w:r w:rsidRPr="00D22611">
        <w:rPr>
          <w:rFonts w:ascii="Loew Next" w:hAnsi="Loew Next"/>
          <w:lang w:val="fr-FR"/>
        </w:rPr>
        <w:t xml:space="preserve">La soumission doit contenir, sous peine de nullité : </w:t>
      </w:r>
    </w:p>
    <w:p w14:paraId="4CF49110" w14:textId="513D937E" w:rsidR="00BC160B" w:rsidRPr="00D22611" w:rsidRDefault="00BC160B" w:rsidP="00D22611">
      <w:pPr>
        <w:pStyle w:val="Paragraphedeliste"/>
        <w:numPr>
          <w:ilvl w:val="0"/>
          <w:numId w:val="1"/>
        </w:numPr>
        <w:jc w:val="both"/>
        <w:rPr>
          <w:rFonts w:ascii="Loew Next" w:hAnsi="Loew Next"/>
          <w:lang w:val="fr-FR"/>
        </w:rPr>
      </w:pPr>
      <w:r w:rsidRPr="00D22611">
        <w:rPr>
          <w:rFonts w:ascii="Loew Next" w:hAnsi="Loew Next"/>
          <w:lang w:val="fr-FR"/>
        </w:rPr>
        <w:t>Le(s) justificatif(s) d’inscription à l’OECT</w:t>
      </w:r>
    </w:p>
    <w:p w14:paraId="1B1846FF" w14:textId="5C723FFF" w:rsidR="00BC160B" w:rsidRPr="00D22611" w:rsidRDefault="00BC160B" w:rsidP="00D22611">
      <w:pPr>
        <w:pStyle w:val="Paragraphedeliste"/>
        <w:numPr>
          <w:ilvl w:val="0"/>
          <w:numId w:val="1"/>
        </w:numPr>
        <w:jc w:val="both"/>
        <w:rPr>
          <w:rFonts w:ascii="Loew Next" w:hAnsi="Loew Next"/>
          <w:lang w:val="fr-FR"/>
        </w:rPr>
      </w:pPr>
      <w:r w:rsidRPr="00D22611">
        <w:rPr>
          <w:rFonts w:ascii="Loew Next" w:hAnsi="Loew Next"/>
          <w:lang w:val="fr-FR"/>
        </w:rPr>
        <w:t>Le(s) CV(s) détaillés du (des) membre(s) du soumissionnaire désigné(s) pour la mission</w:t>
      </w:r>
    </w:p>
    <w:p w14:paraId="2ACEC30F" w14:textId="37FA1017" w:rsidR="002D09B5" w:rsidRPr="00D22611" w:rsidRDefault="002D09B5" w:rsidP="00D22611">
      <w:pPr>
        <w:pStyle w:val="Paragraphedeliste"/>
        <w:numPr>
          <w:ilvl w:val="0"/>
          <w:numId w:val="1"/>
        </w:numPr>
        <w:jc w:val="both"/>
        <w:rPr>
          <w:rFonts w:ascii="Loew Next" w:hAnsi="Loew Next"/>
          <w:lang w:val="fr-FR"/>
        </w:rPr>
      </w:pPr>
      <w:r w:rsidRPr="00D22611">
        <w:rPr>
          <w:rFonts w:ascii="Loew Next" w:hAnsi="Loew Next"/>
          <w:lang w:val="fr-FR"/>
        </w:rPr>
        <w:t>Une attestation de non liaison (conforme au modèle ci-joint)</w:t>
      </w:r>
    </w:p>
    <w:p w14:paraId="5AA57066" w14:textId="5BA58A9F" w:rsidR="002D09B5" w:rsidRPr="00D22611" w:rsidRDefault="002D09B5" w:rsidP="00D22611">
      <w:pPr>
        <w:pStyle w:val="Paragraphedeliste"/>
        <w:numPr>
          <w:ilvl w:val="0"/>
          <w:numId w:val="1"/>
        </w:numPr>
        <w:jc w:val="both"/>
        <w:rPr>
          <w:rFonts w:ascii="Loew Next" w:hAnsi="Loew Next"/>
          <w:lang w:val="fr-FR"/>
        </w:rPr>
      </w:pPr>
      <w:r w:rsidRPr="00D22611">
        <w:rPr>
          <w:rFonts w:ascii="Loew Next" w:hAnsi="Loew Next"/>
          <w:lang w:val="fr-FR"/>
        </w:rPr>
        <w:t>La méthodologie de conduite de la mission</w:t>
      </w:r>
    </w:p>
    <w:p w14:paraId="32200445" w14:textId="6D28E87D" w:rsidR="002D09B5" w:rsidRPr="00D22611" w:rsidRDefault="002D09B5" w:rsidP="00D22611">
      <w:pPr>
        <w:pStyle w:val="Paragraphedeliste"/>
        <w:numPr>
          <w:ilvl w:val="0"/>
          <w:numId w:val="1"/>
        </w:numPr>
        <w:jc w:val="both"/>
        <w:rPr>
          <w:rFonts w:ascii="Loew Next" w:hAnsi="Loew Next"/>
          <w:lang w:val="fr-FR"/>
        </w:rPr>
      </w:pPr>
      <w:r w:rsidRPr="00D22611">
        <w:rPr>
          <w:rFonts w:ascii="Loew Next" w:hAnsi="Loew Next"/>
          <w:lang w:val="fr-FR"/>
        </w:rPr>
        <w:t>Un planning de déroulement de la mission</w:t>
      </w:r>
    </w:p>
    <w:p w14:paraId="0EC02D6D" w14:textId="55FE2AEE" w:rsidR="002D09B5" w:rsidRPr="00D22611" w:rsidRDefault="002D09B5" w:rsidP="00D22611">
      <w:pPr>
        <w:pStyle w:val="Paragraphedeliste"/>
        <w:numPr>
          <w:ilvl w:val="0"/>
          <w:numId w:val="1"/>
        </w:numPr>
        <w:jc w:val="both"/>
        <w:rPr>
          <w:rFonts w:ascii="Loew Next" w:hAnsi="Loew Next"/>
          <w:lang w:val="fr-FR"/>
        </w:rPr>
      </w:pPr>
      <w:r w:rsidRPr="00D22611">
        <w:rPr>
          <w:rFonts w:ascii="Loew Next" w:hAnsi="Loew Next"/>
          <w:lang w:val="fr-FR"/>
        </w:rPr>
        <w:t>L’offre financière de soumission</w:t>
      </w:r>
    </w:p>
    <w:p w14:paraId="402574BA" w14:textId="2E0DF571" w:rsidR="002D09B5" w:rsidRPr="00D22611" w:rsidRDefault="002D09B5" w:rsidP="00D22611">
      <w:pPr>
        <w:jc w:val="both"/>
        <w:rPr>
          <w:rFonts w:ascii="Loew Next" w:hAnsi="Loew Next"/>
          <w:lang w:val="fr-FR"/>
        </w:rPr>
      </w:pPr>
      <w:r w:rsidRPr="00D22611">
        <w:rPr>
          <w:rFonts w:ascii="Loew Next" w:hAnsi="Loew Next"/>
          <w:lang w:val="fr-FR"/>
        </w:rPr>
        <w:t xml:space="preserve">Les soumissions doivent être envoyées par e-mail à l’adresse : </w:t>
      </w:r>
      <w:hyperlink r:id="rId5" w:history="1">
        <w:r w:rsidRPr="00D22611">
          <w:rPr>
            <w:rStyle w:val="Lienhypertexte"/>
            <w:rFonts w:ascii="Loew Next" w:hAnsi="Loew Next"/>
            <w:lang w:val="fr-FR"/>
          </w:rPr>
          <w:t>contact@solidar-tunisie.org</w:t>
        </w:r>
      </w:hyperlink>
      <w:r w:rsidRPr="00D22611">
        <w:rPr>
          <w:rFonts w:ascii="Loew Next" w:hAnsi="Loew Next"/>
          <w:lang w:val="fr-FR"/>
        </w:rPr>
        <w:t xml:space="preserve"> au plus tard le 06/01/2025.</w:t>
      </w:r>
    </w:p>
    <w:p w14:paraId="6BC4AFE4" w14:textId="77777777" w:rsidR="002D09B5" w:rsidRPr="002D09B5" w:rsidRDefault="002D09B5" w:rsidP="002D09B5">
      <w:pPr>
        <w:rPr>
          <w:lang w:val="fr-FR"/>
        </w:rPr>
      </w:pPr>
    </w:p>
    <w:p w14:paraId="29F3654E" w14:textId="0A651942" w:rsidR="002D09B5" w:rsidRPr="00D22611" w:rsidRDefault="002D09B5" w:rsidP="002D09B5">
      <w:pPr>
        <w:rPr>
          <w:rFonts w:ascii="Fractul" w:eastAsiaTheme="majorEastAsia" w:hAnsi="Fractul" w:cstheme="majorBidi"/>
          <w:color w:val="00B0F0"/>
          <w:sz w:val="26"/>
          <w:szCs w:val="26"/>
          <w:lang w:val="fr-FR"/>
        </w:rPr>
      </w:pPr>
      <w:r w:rsidRPr="00D22611">
        <w:rPr>
          <w:rFonts w:ascii="Fractul" w:eastAsiaTheme="majorEastAsia" w:hAnsi="Fractul" w:cstheme="majorBidi"/>
          <w:color w:val="00B0F0"/>
          <w:sz w:val="26"/>
          <w:szCs w:val="26"/>
          <w:lang w:val="fr-FR"/>
        </w:rPr>
        <w:t>Durée de la mission</w:t>
      </w:r>
    </w:p>
    <w:p w14:paraId="22AF3FB1" w14:textId="1C2980E5" w:rsidR="005B6AA0" w:rsidRPr="00D22611" w:rsidRDefault="002D09B5" w:rsidP="00D22611">
      <w:pPr>
        <w:jc w:val="both"/>
        <w:rPr>
          <w:rFonts w:ascii="Loew Next" w:hAnsi="Loew Next"/>
          <w:lang w:val="fr-FR"/>
        </w:rPr>
      </w:pPr>
      <w:r w:rsidRPr="00D22611">
        <w:rPr>
          <w:rFonts w:ascii="Loew Next" w:hAnsi="Loew Next"/>
          <w:lang w:val="fr-FR"/>
        </w:rPr>
        <w:t>La mission est prévue pour une période maximale de 8 semaines commençant le 13/01/2025 et se terminant, au plus tard le 23/02/2025. Le planning de soumission doit respecter la durée et les dates de début et de fin de la mission. Le planning de déroulement doit prévoir deux réunions de cadrage : une réunion entre le soumissionnaire et le bailleur de fonds et une réunion tripartite entre le soumissionnaire, le bailleur de fonds et Solidar Tunisie. Les dates et lieux des deux réunions seront fixés à la contractualisation de la mission.</w:t>
      </w:r>
    </w:p>
    <w:p w14:paraId="7F428D5B" w14:textId="77777777" w:rsidR="005B6AA0" w:rsidRDefault="005B6AA0">
      <w:pPr>
        <w:rPr>
          <w:lang w:val="fr-FR"/>
        </w:rPr>
      </w:pPr>
      <w:r>
        <w:rPr>
          <w:lang w:val="fr-FR"/>
        </w:rPr>
        <w:br w:type="page"/>
      </w:r>
    </w:p>
    <w:p w14:paraId="4E673B67" w14:textId="77777777" w:rsidR="00D22611" w:rsidRDefault="00D22611" w:rsidP="00D22611">
      <w:pPr>
        <w:pStyle w:val="Titre"/>
        <w:jc w:val="center"/>
        <w:rPr>
          <w:rFonts w:ascii="Fractul" w:hAnsi="Fractul"/>
          <w:color w:val="0070C0"/>
          <w:lang w:val="fr-FR"/>
        </w:rPr>
      </w:pPr>
    </w:p>
    <w:p w14:paraId="711795EC" w14:textId="77777777" w:rsidR="00D22611" w:rsidRDefault="00D22611" w:rsidP="00D22611">
      <w:pPr>
        <w:pStyle w:val="Titre"/>
        <w:jc w:val="center"/>
        <w:rPr>
          <w:rFonts w:ascii="Fractul" w:hAnsi="Fractul"/>
          <w:color w:val="0070C0"/>
          <w:lang w:val="fr-FR"/>
        </w:rPr>
      </w:pPr>
    </w:p>
    <w:p w14:paraId="084C57FE" w14:textId="77777777" w:rsidR="00D22611" w:rsidRDefault="00D22611" w:rsidP="00D22611">
      <w:pPr>
        <w:pStyle w:val="Titre"/>
        <w:jc w:val="center"/>
        <w:rPr>
          <w:rFonts w:ascii="Fractul" w:hAnsi="Fractul"/>
          <w:color w:val="0070C0"/>
          <w:lang w:val="fr-FR"/>
        </w:rPr>
      </w:pPr>
    </w:p>
    <w:p w14:paraId="3DEBDA7B" w14:textId="30DF79B1" w:rsidR="002D09B5" w:rsidRPr="00D22611" w:rsidRDefault="005B6AA0" w:rsidP="00D22611">
      <w:pPr>
        <w:pStyle w:val="Titre"/>
        <w:jc w:val="center"/>
        <w:rPr>
          <w:rFonts w:ascii="Fractul" w:hAnsi="Fractul"/>
          <w:color w:val="0070C0"/>
          <w:lang w:val="fr-FR"/>
        </w:rPr>
      </w:pPr>
      <w:r w:rsidRPr="00D22611">
        <w:rPr>
          <w:rFonts w:ascii="Fractul" w:hAnsi="Fractul"/>
          <w:color w:val="0070C0"/>
          <w:lang w:val="fr-FR"/>
        </w:rPr>
        <w:t>Attestation de non liaison</w:t>
      </w:r>
    </w:p>
    <w:p w14:paraId="7D353C89" w14:textId="77777777" w:rsidR="005B6AA0" w:rsidRDefault="005B6AA0" w:rsidP="002D09B5">
      <w:pPr>
        <w:rPr>
          <w:lang w:val="fr-FR"/>
        </w:rPr>
      </w:pPr>
    </w:p>
    <w:p w14:paraId="50B326EE" w14:textId="2A42DD05" w:rsidR="005B6AA0" w:rsidRPr="00D22611" w:rsidRDefault="005B6AA0" w:rsidP="00D22611">
      <w:pPr>
        <w:jc w:val="both"/>
        <w:rPr>
          <w:rFonts w:ascii="Loew Next" w:hAnsi="Loew Next"/>
          <w:lang w:val="fr-FR"/>
        </w:rPr>
      </w:pPr>
      <w:r w:rsidRPr="00D22611">
        <w:rPr>
          <w:rFonts w:ascii="Loew Next" w:hAnsi="Loew Next"/>
          <w:lang w:val="fr-FR"/>
        </w:rPr>
        <w:t>Je, soussigné, [nom du représentant légal du soumissionnaire] agissant en ma qualité de [qualité du signataire], atteste par la présente que ni moi, ni aucun des mes collaborateurs ne sommes liés à la Coopération Suisse ou à l’un de ses collaborateurs ni à l’association Solidar Tunisie ou à l’un de ses membres et/ou collaborateurs par un lien personnel ou professionnel.</w:t>
      </w:r>
    </w:p>
    <w:p w14:paraId="5D7BB1FE" w14:textId="0CB2DB98" w:rsidR="00CE2339" w:rsidRPr="00D22611" w:rsidRDefault="00CE2339" w:rsidP="00D22611">
      <w:pPr>
        <w:jc w:val="both"/>
        <w:rPr>
          <w:rFonts w:ascii="Loew Next" w:hAnsi="Loew Next"/>
          <w:lang w:val="fr-FR"/>
        </w:rPr>
      </w:pPr>
      <w:r w:rsidRPr="00D22611">
        <w:rPr>
          <w:rFonts w:ascii="Loew Next" w:hAnsi="Loew Next"/>
          <w:lang w:val="fr-FR"/>
        </w:rPr>
        <w:t>[Nom et qualité]</w:t>
      </w:r>
    </w:p>
    <w:p w14:paraId="2526D91F" w14:textId="77777777" w:rsidR="00CE2339" w:rsidRPr="002D09B5" w:rsidRDefault="00CE2339" w:rsidP="002D09B5">
      <w:pPr>
        <w:rPr>
          <w:lang w:val="fr-FR"/>
        </w:rPr>
      </w:pPr>
    </w:p>
    <w:sectPr w:rsidR="00CE2339" w:rsidRPr="002D0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ctul">
    <w:panose1 w:val="02000500000000000000"/>
    <w:charset w:val="00"/>
    <w:family w:val="auto"/>
    <w:pitch w:val="variable"/>
    <w:sig w:usb0="00000007" w:usb1="00000000" w:usb2="00000000" w:usb3="00000000" w:csb0="00000093" w:csb1="00000000"/>
  </w:font>
  <w:font w:name="Loew Next">
    <w:panose1 w:val="020B0504030302020204"/>
    <w:charset w:val="00"/>
    <w:family w:val="swiss"/>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31C38"/>
    <w:multiLevelType w:val="hybridMultilevel"/>
    <w:tmpl w:val="C5BA00E4"/>
    <w:lvl w:ilvl="0" w:tplc="0610128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8385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76"/>
    <w:rsid w:val="000E07DC"/>
    <w:rsid w:val="002D09B5"/>
    <w:rsid w:val="002E37E9"/>
    <w:rsid w:val="003B55B8"/>
    <w:rsid w:val="005B6AA0"/>
    <w:rsid w:val="0067511A"/>
    <w:rsid w:val="008642A5"/>
    <w:rsid w:val="0093546C"/>
    <w:rsid w:val="00A64035"/>
    <w:rsid w:val="00A92B76"/>
    <w:rsid w:val="00BC160B"/>
    <w:rsid w:val="00CE2339"/>
    <w:rsid w:val="00D22611"/>
  </w:rsids>
  <m:mathPr>
    <m:mathFont m:val="Cambria Math"/>
    <m:brkBin m:val="before"/>
    <m:brkBinSub m:val="--"/>
    <m:smallFrac m:val="0"/>
    <m:dispDef/>
    <m:lMargin m:val="0"/>
    <m:rMargin m:val="0"/>
    <m:defJc m:val="centerGroup"/>
    <m:wrapIndent m:val="1440"/>
    <m:intLim m:val="subSup"/>
    <m:naryLim m:val="undOvr"/>
  </m:mathPr>
  <w:themeFontLang w:val="fr-T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175F"/>
  <w15:chartTrackingRefBased/>
  <w15:docId w15:val="{5CA7907C-1499-47E1-A56B-B6E892B6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T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226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226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2B76"/>
    <w:pPr>
      <w:ind w:left="720"/>
      <w:contextualSpacing/>
    </w:pPr>
  </w:style>
  <w:style w:type="character" w:styleId="Lienhypertexte">
    <w:name w:val="Hyperlink"/>
    <w:basedOn w:val="Policepardfaut"/>
    <w:uiPriority w:val="99"/>
    <w:unhideWhenUsed/>
    <w:rsid w:val="002D09B5"/>
    <w:rPr>
      <w:color w:val="0563C1" w:themeColor="hyperlink"/>
      <w:u w:val="single"/>
    </w:rPr>
  </w:style>
  <w:style w:type="character" w:styleId="Mentionnonrsolue">
    <w:name w:val="Unresolved Mention"/>
    <w:basedOn w:val="Policepardfaut"/>
    <w:uiPriority w:val="99"/>
    <w:semiHidden/>
    <w:unhideWhenUsed/>
    <w:rsid w:val="002D09B5"/>
    <w:rPr>
      <w:color w:val="605E5C"/>
      <w:shd w:val="clear" w:color="auto" w:fill="E1DFDD"/>
    </w:rPr>
  </w:style>
  <w:style w:type="paragraph" w:styleId="Titre">
    <w:name w:val="Title"/>
    <w:basedOn w:val="Normal"/>
    <w:next w:val="Normal"/>
    <w:link w:val="TitreCar"/>
    <w:uiPriority w:val="10"/>
    <w:qFormat/>
    <w:rsid w:val="00D226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2611"/>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D2261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2261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solidar-tunisie.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477</Words>
  <Characters>2723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iheb_ben_salem iheb_ben_salem</dc:creator>
  <cp:keywords/>
  <dc:description/>
  <cp:lastModifiedBy>iheb_ben_salem iheb_ben_salem</cp:lastModifiedBy>
  <cp:revision>3</cp:revision>
  <dcterms:created xsi:type="dcterms:W3CDTF">2024-12-27T09:46:00Z</dcterms:created>
  <dcterms:modified xsi:type="dcterms:W3CDTF">2024-12-27T10:22:00Z</dcterms:modified>
</cp:coreProperties>
</file>