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710B2" w14:textId="3C7FF9E2" w:rsidR="00E4159C" w:rsidRPr="004714B6" w:rsidRDefault="00E4159C" w:rsidP="0022631C">
      <w:pPr>
        <w:jc w:val="both"/>
        <w:rPr>
          <w:b/>
          <w:bCs/>
          <w:lang w:val="fr-FR"/>
        </w:rPr>
      </w:pPr>
    </w:p>
    <w:p w14:paraId="379A1F71" w14:textId="71FC5E23" w:rsidR="00DA54D9" w:rsidRPr="00F51E48" w:rsidRDefault="00DA54D9" w:rsidP="0022631C">
      <w:pPr>
        <w:bidi/>
        <w:spacing w:after="0"/>
        <w:ind w:left="3686"/>
        <w:jc w:val="both"/>
        <w:rPr>
          <w:rFonts w:cstheme="minorHAnsi"/>
          <w:b/>
          <w:bCs/>
          <w:sz w:val="32"/>
          <w:szCs w:val="32"/>
          <w:lang w:val="fr-FR" w:bidi="ar-TN"/>
        </w:rPr>
        <w:sectPr w:rsidR="00DA54D9" w:rsidRPr="00F51E48" w:rsidSect="00DA54D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57" w:gutter="0"/>
          <w:pgNumType w:start="1"/>
          <w:cols w:space="708"/>
          <w:docGrid w:linePitch="360"/>
        </w:sectPr>
      </w:pPr>
    </w:p>
    <w:p w14:paraId="4D622016" w14:textId="0B3BE617" w:rsidR="00031B2D" w:rsidRPr="0000796A" w:rsidRDefault="00031B2D" w:rsidP="00031B2D">
      <w:pPr>
        <w:pStyle w:val="Sous-titre"/>
        <w:rPr>
          <w:b/>
          <w:bCs/>
          <w:sz w:val="36"/>
          <w:szCs w:val="36"/>
          <w:lang w:val="fr-FR"/>
        </w:rPr>
      </w:pPr>
      <w:r w:rsidRPr="0000796A">
        <w:rPr>
          <w:b/>
          <w:bCs/>
          <w:sz w:val="36"/>
          <w:szCs w:val="36"/>
          <w:lang w:val="fr-FR"/>
        </w:rPr>
        <w:t>Appel à candidature</w:t>
      </w:r>
    </w:p>
    <w:p w14:paraId="10150DA6" w14:textId="22E92ED3" w:rsidR="00C1211D" w:rsidRPr="004C39E1" w:rsidRDefault="005E24BD" w:rsidP="00031B2D">
      <w:pPr>
        <w:pStyle w:val="Titre"/>
        <w:rPr>
          <w:b/>
          <w:bCs/>
          <w:sz w:val="54"/>
          <w:szCs w:val="54"/>
          <w:lang w:val="fr-FR"/>
        </w:rPr>
      </w:pPr>
      <w:r w:rsidRPr="004C39E1">
        <w:rPr>
          <w:b/>
          <w:bCs/>
          <w:sz w:val="54"/>
          <w:szCs w:val="54"/>
          <w:lang w:val="fr-FR"/>
        </w:rPr>
        <w:t xml:space="preserve">Recrutement d’un </w:t>
      </w:r>
      <w:r w:rsidR="005F28DE" w:rsidRPr="004C39E1">
        <w:rPr>
          <w:b/>
          <w:bCs/>
          <w:sz w:val="54"/>
          <w:szCs w:val="54"/>
          <w:lang w:val="fr-FR"/>
        </w:rPr>
        <w:t>consultant</w:t>
      </w:r>
      <w:r w:rsidRPr="004C39E1">
        <w:rPr>
          <w:b/>
          <w:bCs/>
          <w:sz w:val="54"/>
          <w:szCs w:val="54"/>
          <w:lang w:val="fr-FR"/>
        </w:rPr>
        <w:t xml:space="preserve"> ou d’un Cabinet pour le Suivi et l’Évaluation du Projet « Aide Légale</w:t>
      </w:r>
      <w:r w:rsidR="00C1211D" w:rsidRPr="004C39E1">
        <w:rPr>
          <w:b/>
          <w:bCs/>
          <w:sz w:val="54"/>
          <w:szCs w:val="54"/>
          <w:lang w:val="fr-FR"/>
        </w:rPr>
        <w:t xml:space="preserve"> </w:t>
      </w:r>
      <w:r w:rsidRPr="004C39E1">
        <w:rPr>
          <w:b/>
          <w:bCs/>
          <w:sz w:val="54"/>
          <w:szCs w:val="54"/>
          <w:lang w:val="fr-FR"/>
        </w:rPr>
        <w:t>et protection sociale »</w:t>
      </w:r>
    </w:p>
    <w:p w14:paraId="5C006FF2" w14:textId="77777777" w:rsidR="00132F91" w:rsidRDefault="00132F91" w:rsidP="00132F91"/>
    <w:p w14:paraId="12B946B7" w14:textId="29EBF41B" w:rsidR="00C1211D" w:rsidRPr="002C219D" w:rsidRDefault="00C1211D" w:rsidP="00C1211D">
      <w:pPr>
        <w:pStyle w:val="Titre1"/>
        <w:jc w:val="both"/>
      </w:pPr>
      <w:r>
        <w:t>Informations sur le poste</w:t>
      </w:r>
    </w:p>
    <w:p w14:paraId="68DA90CD" w14:textId="77777777" w:rsidR="00C1211D" w:rsidRDefault="00C1211D" w:rsidP="00C1211D">
      <w:pPr>
        <w:rPr>
          <w:lang w:val="fr-FR"/>
        </w:rPr>
      </w:pPr>
    </w:p>
    <w:tbl>
      <w:tblPr>
        <w:tblStyle w:val="Grilledutableau"/>
        <w:tblW w:w="0" w:type="auto"/>
        <w:tblCellMar>
          <w:left w:w="28" w:type="dxa"/>
          <w:right w:w="28" w:type="dxa"/>
        </w:tblCellMar>
        <w:tblLook w:val="04A0" w:firstRow="1" w:lastRow="0" w:firstColumn="1" w:lastColumn="0" w:noHBand="0" w:noVBand="1"/>
      </w:tblPr>
      <w:tblGrid>
        <w:gridCol w:w="2689"/>
        <w:gridCol w:w="6373"/>
      </w:tblGrid>
      <w:tr w:rsidR="00C1211D" w14:paraId="1B9C5118" w14:textId="77777777" w:rsidTr="00B30D76">
        <w:tc>
          <w:tcPr>
            <w:tcW w:w="2689" w:type="dxa"/>
          </w:tcPr>
          <w:p w14:paraId="23F1FCC3" w14:textId="77777777" w:rsidR="00C1211D" w:rsidRDefault="00C1211D" w:rsidP="009F1EB2">
            <w:r>
              <w:t>Nature du poste</w:t>
            </w:r>
          </w:p>
        </w:tc>
        <w:tc>
          <w:tcPr>
            <w:tcW w:w="6373" w:type="dxa"/>
          </w:tcPr>
          <w:p w14:paraId="157A9B16" w14:textId="0CEE35D1" w:rsidR="00C1211D" w:rsidRDefault="00C1211D" w:rsidP="009F1EB2">
            <w:r>
              <w:t>Consultant</w:t>
            </w:r>
            <w:r w:rsidR="001A077D">
              <w:t>-e-</w:t>
            </w:r>
            <w:r>
              <w:t xml:space="preserve">s </w:t>
            </w:r>
            <w:r w:rsidRPr="00EC6467">
              <w:t>expert</w:t>
            </w:r>
            <w:r w:rsidR="001A077D">
              <w:t>-e-</w:t>
            </w:r>
            <w:r>
              <w:t>s</w:t>
            </w:r>
            <w:r w:rsidR="00B051DF">
              <w:t xml:space="preserve"> / cabinet de consulting</w:t>
            </w:r>
            <w:r w:rsidRPr="00EC6467">
              <w:t xml:space="preserve"> en </w:t>
            </w:r>
            <w:r w:rsidR="000A1FB8">
              <w:t>suivi &amp; évaluation</w:t>
            </w:r>
          </w:p>
        </w:tc>
      </w:tr>
      <w:tr w:rsidR="00C1211D" w14:paraId="3DDF7B0B" w14:textId="77777777" w:rsidTr="00B30D76">
        <w:tc>
          <w:tcPr>
            <w:tcW w:w="2689" w:type="dxa"/>
          </w:tcPr>
          <w:p w14:paraId="56DFBEBD" w14:textId="77777777" w:rsidR="00C1211D" w:rsidRDefault="00C1211D" w:rsidP="009F1EB2">
            <w:r>
              <w:t>Contrat</w:t>
            </w:r>
          </w:p>
        </w:tc>
        <w:tc>
          <w:tcPr>
            <w:tcW w:w="6373" w:type="dxa"/>
          </w:tcPr>
          <w:p w14:paraId="60A53B44" w14:textId="77777777" w:rsidR="00C1211D" w:rsidRDefault="00C1211D" w:rsidP="009F1EB2">
            <w:r>
              <w:t>Contrat de prestation de service</w:t>
            </w:r>
          </w:p>
        </w:tc>
      </w:tr>
      <w:tr w:rsidR="00C1211D" w14:paraId="16067760" w14:textId="77777777" w:rsidTr="00B30D76">
        <w:tc>
          <w:tcPr>
            <w:tcW w:w="2689" w:type="dxa"/>
          </w:tcPr>
          <w:p w14:paraId="41801895" w14:textId="77777777" w:rsidR="00C1211D" w:rsidRDefault="00C1211D" w:rsidP="009F1EB2">
            <w:r>
              <w:t>Mission</w:t>
            </w:r>
          </w:p>
        </w:tc>
        <w:tc>
          <w:tcPr>
            <w:tcW w:w="6373" w:type="dxa"/>
          </w:tcPr>
          <w:p w14:paraId="6A3BDFD2" w14:textId="77777777" w:rsidR="00C1211D" w:rsidRDefault="00C1211D" w:rsidP="009F1EB2">
            <w:r>
              <w:t>Voir termes de référence ci-dessous</w:t>
            </w:r>
          </w:p>
        </w:tc>
      </w:tr>
      <w:tr w:rsidR="00C1211D" w14:paraId="503CD9E9" w14:textId="77777777" w:rsidTr="00B30D76">
        <w:tc>
          <w:tcPr>
            <w:tcW w:w="2689" w:type="dxa"/>
          </w:tcPr>
          <w:p w14:paraId="111E4990" w14:textId="77777777" w:rsidR="00C1211D" w:rsidRDefault="00C1211D" w:rsidP="009F1EB2">
            <w:r>
              <w:t>Durée</w:t>
            </w:r>
          </w:p>
        </w:tc>
        <w:tc>
          <w:tcPr>
            <w:tcW w:w="6373" w:type="dxa"/>
          </w:tcPr>
          <w:p w14:paraId="51F8C8D1" w14:textId="4E436E6F" w:rsidR="00C1211D" w:rsidRPr="00F54F32" w:rsidRDefault="00EB74DA" w:rsidP="009F1EB2">
            <w:r w:rsidRPr="00F54F32">
              <w:t>45</w:t>
            </w:r>
            <w:r w:rsidR="00C1211D" w:rsidRPr="00F54F32">
              <w:t xml:space="preserve"> jours de travail sur une durée de </w:t>
            </w:r>
            <w:r w:rsidR="00F54F32" w:rsidRPr="00F54F32">
              <w:t>1</w:t>
            </w:r>
            <w:r w:rsidR="00652997">
              <w:t>4</w:t>
            </w:r>
            <w:r w:rsidR="00C1211D" w:rsidRPr="00F54F32">
              <w:t xml:space="preserve"> mois</w:t>
            </w:r>
            <w:r w:rsidR="00B34C8F">
              <w:t xml:space="preserve"> </w:t>
            </w:r>
            <w:r w:rsidR="00AE6B6A">
              <w:t xml:space="preserve">(de </w:t>
            </w:r>
            <w:r w:rsidR="00652997">
              <w:t>nov</w:t>
            </w:r>
            <w:r w:rsidR="00AE6B6A">
              <w:t xml:space="preserve">. 2024 à </w:t>
            </w:r>
            <w:proofErr w:type="spellStart"/>
            <w:r w:rsidR="00AE6B6A">
              <w:t>dec</w:t>
            </w:r>
            <w:proofErr w:type="spellEnd"/>
            <w:r w:rsidR="00AE6B6A">
              <w:t>. 2025)</w:t>
            </w:r>
          </w:p>
        </w:tc>
      </w:tr>
      <w:tr w:rsidR="00C1211D" w14:paraId="35CC2F0E" w14:textId="77777777" w:rsidTr="00B30D76">
        <w:tc>
          <w:tcPr>
            <w:tcW w:w="2689" w:type="dxa"/>
          </w:tcPr>
          <w:p w14:paraId="49808D45" w14:textId="77777777" w:rsidR="00C1211D" w:rsidRDefault="00C1211D" w:rsidP="009F1EB2">
            <w:r>
              <w:t>Lieu d’affectation</w:t>
            </w:r>
          </w:p>
        </w:tc>
        <w:tc>
          <w:tcPr>
            <w:tcW w:w="6373" w:type="dxa"/>
          </w:tcPr>
          <w:p w14:paraId="63B870CC" w14:textId="77777777" w:rsidR="00C1211D" w:rsidRDefault="00C1211D" w:rsidP="009F1EB2">
            <w:r>
              <w:t>Tunis avec des missions fréquentes sur tout le territoire tunisien</w:t>
            </w:r>
          </w:p>
        </w:tc>
      </w:tr>
      <w:tr w:rsidR="00C1211D" w:rsidRPr="00AC52F1" w14:paraId="0F4C830E" w14:textId="77777777" w:rsidTr="00B30D76">
        <w:tc>
          <w:tcPr>
            <w:tcW w:w="2689" w:type="dxa"/>
          </w:tcPr>
          <w:p w14:paraId="753609F8" w14:textId="77777777" w:rsidR="00C1211D" w:rsidRPr="00AC52F1" w:rsidRDefault="00C1211D" w:rsidP="009F1EB2">
            <w:pPr>
              <w:rPr>
                <w:b/>
                <w:bCs/>
                <w:color w:val="FF0000"/>
              </w:rPr>
            </w:pPr>
            <w:bookmarkStart w:id="0" w:name="_Hlk178774732"/>
            <w:r w:rsidRPr="00AC52F1">
              <w:rPr>
                <w:b/>
                <w:bCs/>
                <w:color w:val="FF0000"/>
              </w:rPr>
              <w:t>Dernier délai de candidature</w:t>
            </w:r>
            <w:bookmarkEnd w:id="0"/>
            <w:r w:rsidRPr="00AC52F1">
              <w:rPr>
                <w:b/>
                <w:bCs/>
                <w:color w:val="FF0000"/>
              </w:rPr>
              <w:t xml:space="preserve"> </w:t>
            </w:r>
          </w:p>
        </w:tc>
        <w:tc>
          <w:tcPr>
            <w:tcW w:w="6373" w:type="dxa"/>
          </w:tcPr>
          <w:p w14:paraId="35295FC9" w14:textId="264A1F41" w:rsidR="00C1211D" w:rsidRPr="00AC52F1" w:rsidRDefault="00DF2B7B" w:rsidP="009F1EB2">
            <w:pPr>
              <w:rPr>
                <w:b/>
                <w:bCs/>
                <w:color w:val="FF0000"/>
              </w:rPr>
            </w:pPr>
            <w:bookmarkStart w:id="1" w:name="_Hlk176878082"/>
            <w:r>
              <w:rPr>
                <w:b/>
                <w:bCs/>
                <w:color w:val="FF0000"/>
              </w:rPr>
              <w:t>31</w:t>
            </w:r>
            <w:r w:rsidR="00C1211D" w:rsidRPr="00AC52F1">
              <w:rPr>
                <w:b/>
                <w:bCs/>
                <w:color w:val="FF0000"/>
              </w:rPr>
              <w:t xml:space="preserve"> </w:t>
            </w:r>
            <w:r w:rsidR="0040135B">
              <w:rPr>
                <w:b/>
                <w:bCs/>
                <w:color w:val="FF0000"/>
              </w:rPr>
              <w:t>octobre</w:t>
            </w:r>
            <w:r w:rsidR="00C1211D" w:rsidRPr="00AC52F1">
              <w:rPr>
                <w:b/>
                <w:bCs/>
                <w:color w:val="FF0000"/>
              </w:rPr>
              <w:t xml:space="preserve"> 2024</w:t>
            </w:r>
            <w:bookmarkEnd w:id="1"/>
          </w:p>
        </w:tc>
      </w:tr>
    </w:tbl>
    <w:p w14:paraId="054C6C2F" w14:textId="77777777" w:rsidR="00C1211D" w:rsidRPr="00E46680" w:rsidRDefault="00C1211D" w:rsidP="00C1211D">
      <w:pPr>
        <w:rPr>
          <w:lang w:val="fr-FR"/>
        </w:rPr>
      </w:pPr>
    </w:p>
    <w:p w14:paraId="5FDEEE1C" w14:textId="77777777" w:rsidR="00C1211D" w:rsidRPr="002C219D" w:rsidRDefault="00C1211D" w:rsidP="00C1211D">
      <w:pPr>
        <w:pStyle w:val="Titre1"/>
        <w:jc w:val="both"/>
      </w:pPr>
      <w:r>
        <w:t>Présentation de la LTDH</w:t>
      </w:r>
    </w:p>
    <w:p w14:paraId="06619A5E" w14:textId="77777777" w:rsidR="00C1211D" w:rsidRPr="00727B8E" w:rsidRDefault="00C1211D" w:rsidP="00C1211D">
      <w:pPr>
        <w:jc w:val="both"/>
        <w:rPr>
          <w:lang w:val="fr-FR"/>
        </w:rPr>
      </w:pPr>
      <w:r w:rsidRPr="00727B8E">
        <w:rPr>
          <w:lang w:val="fr-FR"/>
        </w:rPr>
        <w:t>La Ligue Tunisienne pour la Défense des Droits de l'Homme (LTDH) est une organisation de la société civile tunisienne qui se consacre à la promotion, à la protection et à la défense des droits de l'Homme. Fondée en 1977, la LTDH est la doyenne des associations des droits de l’Homme en Afrique et dans le monde arabe, et a joué un rôle crucial dans la lutte pour les droits fondamentaux et les libertés en Tunisie avant, pendant et après la Révolution de 2011.</w:t>
      </w:r>
    </w:p>
    <w:p w14:paraId="696BB4BB" w14:textId="77777777" w:rsidR="00C1211D" w:rsidRPr="00727B8E" w:rsidRDefault="00C1211D" w:rsidP="00C1211D">
      <w:pPr>
        <w:jc w:val="both"/>
        <w:rPr>
          <w:lang w:val="fr-FR"/>
        </w:rPr>
      </w:pPr>
      <w:r w:rsidRPr="00727B8E">
        <w:rPr>
          <w:lang w:val="fr-FR"/>
        </w:rPr>
        <w:t>La Ligue est l’une des composantes du quartet du « Dialogue national » qui a reçu le prix Nobel de la paix 2015 pour son succès dans la mission qui a abouti à la tenue des élections présidentielles et législatives ainsi qu’à la ratification de la nouvelle Constitution en 2014.</w:t>
      </w:r>
    </w:p>
    <w:p w14:paraId="640146B1" w14:textId="77777777" w:rsidR="00C1211D" w:rsidRPr="00727B8E" w:rsidRDefault="00C1211D" w:rsidP="00C1211D">
      <w:pPr>
        <w:jc w:val="both"/>
        <w:rPr>
          <w:lang w:val="fr-FR"/>
        </w:rPr>
      </w:pPr>
      <w:r w:rsidRPr="00727B8E">
        <w:rPr>
          <w:lang w:val="fr-FR"/>
        </w:rPr>
        <w:t>La mission fondamentale de la LTDH est de lutter contre toutes les formes de violations des droits de l'Homme et de promouvoir un environnement respectueux des droits humains en Tunisie. Les objectifs de la LTDH comprennent :</w:t>
      </w:r>
    </w:p>
    <w:p w14:paraId="2001EF8F" w14:textId="77777777" w:rsidR="00C1211D" w:rsidRPr="00727B8E" w:rsidRDefault="00C1211D" w:rsidP="00C1211D">
      <w:pPr>
        <w:pStyle w:val="Paragraphedeliste"/>
        <w:numPr>
          <w:ilvl w:val="0"/>
          <w:numId w:val="1"/>
        </w:numPr>
        <w:jc w:val="both"/>
        <w:rPr>
          <w:lang w:val="fr-FR"/>
        </w:rPr>
      </w:pPr>
      <w:r w:rsidRPr="00727B8E">
        <w:rPr>
          <w:lang w:val="fr-FR"/>
        </w:rPr>
        <w:t xml:space="preserve">Promotion des </w:t>
      </w:r>
      <w:r>
        <w:rPr>
          <w:lang w:val="fr-FR"/>
        </w:rPr>
        <w:t>d</w:t>
      </w:r>
      <w:r w:rsidRPr="00727B8E">
        <w:rPr>
          <w:lang w:val="fr-FR"/>
        </w:rPr>
        <w:t>roits de l'Homme : La LTDH œuvre pour la sensibilisation et l'éducation du public sur les droits de l'Homme, visant à créer une société plus consciente et respectueuse de ces droits.</w:t>
      </w:r>
    </w:p>
    <w:p w14:paraId="05501313" w14:textId="77777777" w:rsidR="00C1211D" w:rsidRPr="00727B8E" w:rsidRDefault="00C1211D" w:rsidP="00C1211D">
      <w:pPr>
        <w:pStyle w:val="Paragraphedeliste"/>
        <w:numPr>
          <w:ilvl w:val="0"/>
          <w:numId w:val="1"/>
        </w:numPr>
        <w:jc w:val="both"/>
        <w:rPr>
          <w:lang w:val="fr-FR"/>
        </w:rPr>
      </w:pPr>
      <w:r>
        <w:rPr>
          <w:lang w:val="fr-FR"/>
        </w:rPr>
        <w:t>Assistance aux</w:t>
      </w:r>
      <w:r w:rsidRPr="00727B8E">
        <w:rPr>
          <w:lang w:val="fr-FR"/>
        </w:rPr>
        <w:t xml:space="preserve"> </w:t>
      </w:r>
      <w:r>
        <w:rPr>
          <w:lang w:val="fr-FR"/>
        </w:rPr>
        <w:t>v</w:t>
      </w:r>
      <w:r w:rsidRPr="00727B8E">
        <w:rPr>
          <w:lang w:val="fr-FR"/>
        </w:rPr>
        <w:t>ictimes</w:t>
      </w:r>
      <w:r>
        <w:rPr>
          <w:lang w:val="fr-FR"/>
        </w:rPr>
        <w:t xml:space="preserve"> et aux personnes en situation de vulnérabilité</w:t>
      </w:r>
      <w:r w:rsidRPr="00727B8E">
        <w:rPr>
          <w:lang w:val="fr-FR"/>
        </w:rPr>
        <w:t xml:space="preserve"> : La ligue intervient pour apporter un soutien aux victimes de violations des droits de l'Homme, qu'il s'agisse de violations perpétrées par l'État, de discriminations, ou d'autres formes de violations.</w:t>
      </w:r>
    </w:p>
    <w:p w14:paraId="6BF8765F" w14:textId="77777777" w:rsidR="00C1211D" w:rsidRPr="00727B8E" w:rsidRDefault="00C1211D" w:rsidP="00C1211D">
      <w:pPr>
        <w:pStyle w:val="Paragraphedeliste"/>
        <w:numPr>
          <w:ilvl w:val="0"/>
          <w:numId w:val="1"/>
        </w:numPr>
        <w:jc w:val="both"/>
        <w:rPr>
          <w:lang w:val="fr-FR"/>
        </w:rPr>
      </w:pPr>
      <w:r w:rsidRPr="00727B8E">
        <w:rPr>
          <w:lang w:val="fr-FR"/>
        </w:rPr>
        <w:lastRenderedPageBreak/>
        <w:t>Plaidoyer et Réforme : La LTDH s'engage dans des activités de plaidoyer auprès des autorités pour promouvoir l'adoption de lois et de politiques respectueuses des droits de l'Homme, ainsi que pour la réforme des lois et pratiques existantes.</w:t>
      </w:r>
    </w:p>
    <w:p w14:paraId="35E21CBD" w14:textId="77777777" w:rsidR="00C1211D" w:rsidRDefault="00C1211D" w:rsidP="00C1211D">
      <w:pPr>
        <w:pStyle w:val="Paragraphedeliste"/>
        <w:numPr>
          <w:ilvl w:val="0"/>
          <w:numId w:val="1"/>
        </w:numPr>
        <w:jc w:val="both"/>
        <w:rPr>
          <w:lang w:val="fr-FR"/>
        </w:rPr>
      </w:pPr>
      <w:r w:rsidRPr="00727B8E">
        <w:rPr>
          <w:lang w:val="fr-FR"/>
        </w:rPr>
        <w:t>Surveillance et Documentation : La ligue surveille les développements en matière de droits de l'Homme, documente les violations et produit des rapports afin d'informer le public, les organisations internationales et les gouvernements sur la situation des droits de l'Homme en Tunisie.</w:t>
      </w:r>
    </w:p>
    <w:p w14:paraId="3E754CD0" w14:textId="77777777" w:rsidR="00C1211D" w:rsidRPr="002C219D" w:rsidRDefault="00C1211D" w:rsidP="00C1211D">
      <w:pPr>
        <w:pStyle w:val="Titre1"/>
        <w:jc w:val="both"/>
      </w:pPr>
      <w:r w:rsidRPr="002C219D">
        <w:t>Présentation</w:t>
      </w:r>
      <w:r>
        <w:t xml:space="preserve"> du projet </w:t>
      </w:r>
    </w:p>
    <w:p w14:paraId="35108C59" w14:textId="77777777" w:rsidR="00C1211D" w:rsidRDefault="00C1211D" w:rsidP="00C1211D">
      <w:pPr>
        <w:jc w:val="both"/>
        <w:rPr>
          <w:iCs/>
        </w:rPr>
      </w:pPr>
      <w:r>
        <w:rPr>
          <w:iCs/>
        </w:rPr>
        <w:t xml:space="preserve">La LTDH a conclu avec </w:t>
      </w:r>
      <w:r w:rsidRPr="002D49BF">
        <w:rPr>
          <w:iCs/>
        </w:rPr>
        <w:t>Programme des Nations unies pour le Développement (PNUD)</w:t>
      </w:r>
      <w:r>
        <w:rPr>
          <w:iCs/>
        </w:rPr>
        <w:t xml:space="preserve"> un “A</w:t>
      </w:r>
      <w:r w:rsidRPr="00AB643A">
        <w:rPr>
          <w:iCs/>
        </w:rPr>
        <w:t>ccord avec la partie responsable</w:t>
      </w:r>
      <w:r>
        <w:rPr>
          <w:iCs/>
        </w:rPr>
        <w:t>” (</w:t>
      </w:r>
      <w:proofErr w:type="spellStart"/>
      <w:r w:rsidRPr="00994DA5">
        <w:rPr>
          <w:iCs/>
        </w:rPr>
        <w:t>Responsible</w:t>
      </w:r>
      <w:proofErr w:type="spellEnd"/>
      <w:r w:rsidRPr="00994DA5">
        <w:rPr>
          <w:iCs/>
        </w:rPr>
        <w:t xml:space="preserve"> Party</w:t>
      </w:r>
      <w:r>
        <w:rPr>
          <w:iCs/>
        </w:rPr>
        <w:t xml:space="preserve"> Agreement – RPA) pour mettre œuvre le projet</w:t>
      </w:r>
      <w:proofErr w:type="gramStart"/>
      <w:r>
        <w:rPr>
          <w:iCs/>
        </w:rPr>
        <w:t xml:space="preserve"> </w:t>
      </w:r>
      <w:r w:rsidRPr="000739D1">
        <w:rPr>
          <w:iCs/>
        </w:rPr>
        <w:t>«</w:t>
      </w:r>
      <w:r w:rsidRPr="00F84977">
        <w:rPr>
          <w:b/>
          <w:bCs/>
          <w:iCs/>
        </w:rPr>
        <w:t>Renforcer</w:t>
      </w:r>
      <w:proofErr w:type="gramEnd"/>
      <w:r w:rsidRPr="00F84977">
        <w:rPr>
          <w:b/>
          <w:bCs/>
          <w:iCs/>
        </w:rPr>
        <w:t xml:space="preserve"> les capacités des avocats et assurer une coordination effective entre les différents acteurs intervenant en matière d’aide judiciaire et juridictionnelle pour contribuer à développer la qualité des services, afin d’améliorer l’accès à la justice des personnes les plus vulnérables</w:t>
      </w:r>
      <w:r w:rsidRPr="000739D1">
        <w:rPr>
          <w:iCs/>
        </w:rPr>
        <w:t>»</w:t>
      </w:r>
      <w:r>
        <w:rPr>
          <w:iCs/>
        </w:rPr>
        <w:t>.</w:t>
      </w:r>
    </w:p>
    <w:p w14:paraId="628114CB" w14:textId="77777777" w:rsidR="00C1211D" w:rsidRPr="00BF73AE" w:rsidRDefault="00C1211D" w:rsidP="00C1211D">
      <w:pPr>
        <w:pStyle w:val="Titre2"/>
        <w:jc w:val="both"/>
      </w:pPr>
      <w:r w:rsidRPr="00025418">
        <w:t>Justification du projet et raisons de l’approche</w:t>
      </w:r>
      <w:r>
        <w:t> :</w:t>
      </w:r>
    </w:p>
    <w:p w14:paraId="0D07A935" w14:textId="77777777" w:rsidR="00C1211D" w:rsidRPr="00F961EA" w:rsidRDefault="00C1211D" w:rsidP="00C1211D">
      <w:pPr>
        <w:spacing w:after="120" w:line="264" w:lineRule="auto"/>
        <w:jc w:val="both"/>
        <w:rPr>
          <w:iCs/>
        </w:rPr>
      </w:pPr>
      <w:r w:rsidRPr="00F961EA">
        <w:rPr>
          <w:iCs/>
        </w:rPr>
        <w:t>Selon l'article 2 du décret-loi n° 79 du 20 août 2011, la mission de représentation des parties devant diverses juridictions, qu'elles soient judiciaires, administratives, disciplinaires ou de régulation, ainsi qu'auprès de la police judiciaire, est exclusivement dévolue à l'avocat. Cet article précise également que l'avocat est responsable de la défense, de l'assistance, du conseil, et de la gestion de toutes les procédures au nom des parties, conformément aux lois régissant les procédures civiles, commerciales, fiscales et pénales. Bien que l'exclusivité de la compétence de l'avocat dans la représentation devant les tribunaux soit explicite, l'étendue de cette exclusivité en matière de conseil, notamment dans le cadre de l'aide légale, peut prêter à confusion. Cependant, l'interprétation générale parmi les avocats tend vers une lecture large de cette compétence, leur attribuant aussi cette exclusivité en matière de conseil.</w:t>
      </w:r>
    </w:p>
    <w:p w14:paraId="79F31A96" w14:textId="77777777" w:rsidR="00C1211D" w:rsidRPr="00F961EA" w:rsidRDefault="00C1211D" w:rsidP="00C1211D">
      <w:pPr>
        <w:spacing w:after="120" w:line="264" w:lineRule="auto"/>
        <w:jc w:val="both"/>
        <w:rPr>
          <w:iCs/>
          <w:lang w:val="fr-FR"/>
        </w:rPr>
      </w:pPr>
      <w:r w:rsidRPr="00F961EA">
        <w:rPr>
          <w:iCs/>
          <w:lang w:val="fr-FR"/>
        </w:rPr>
        <w:t>Malgré ce rôle prépondérant, la tendance générale au sein des avocats n’est pas très favorable à l’aide légale, notamment dans le cadre de l’aide judiciaire. Les avocats se plaignent notamment de la faiblesse des honoraires (octroyés par décision du président du TPI), et des délais excessifs du paiement de ces honoraires.</w:t>
      </w:r>
    </w:p>
    <w:p w14:paraId="7E4FDF81" w14:textId="77777777" w:rsidR="00C1211D" w:rsidRPr="00F961EA" w:rsidRDefault="00C1211D" w:rsidP="00C1211D">
      <w:pPr>
        <w:spacing w:after="120" w:line="264" w:lineRule="auto"/>
        <w:jc w:val="both"/>
        <w:rPr>
          <w:iCs/>
          <w:lang w:val="fr-FR"/>
        </w:rPr>
      </w:pPr>
      <w:r w:rsidRPr="00F961EA">
        <w:rPr>
          <w:iCs/>
          <w:lang w:val="fr-FR"/>
        </w:rPr>
        <w:t>D’un autre côté, l’absence de mesures qui obligent ou incitent (comme des avantage fiscaux…) les avocats à prendre des affaires Pro Bono engendrent un désengagement des avocats dans l’aide légale / judiciaire.</w:t>
      </w:r>
    </w:p>
    <w:p w14:paraId="46BCE1D2" w14:textId="4A122CC1" w:rsidR="00C1211D" w:rsidRPr="00F961EA" w:rsidRDefault="00C1211D" w:rsidP="00C1211D">
      <w:pPr>
        <w:spacing w:after="120" w:line="264" w:lineRule="auto"/>
        <w:jc w:val="both"/>
        <w:rPr>
          <w:iCs/>
          <w:lang w:val="fr-FR"/>
        </w:rPr>
      </w:pPr>
      <w:r w:rsidRPr="00F961EA">
        <w:rPr>
          <w:iCs/>
          <w:lang w:val="fr-FR"/>
        </w:rPr>
        <w:t>Dans ce contexte, le manque de sensibilisation et d’incitation des avocats et de leurs structures professionnelles (ONAT, sections régionale</w:t>
      </w:r>
      <w:r w:rsidR="00F504D0">
        <w:rPr>
          <w:iCs/>
          <w:lang w:val="fr-FR"/>
        </w:rPr>
        <w:t>s</w:t>
      </w:r>
      <w:r w:rsidRPr="00F961EA">
        <w:rPr>
          <w:iCs/>
          <w:lang w:val="fr-FR"/>
        </w:rPr>
        <w:t>) pour participer aux services d’aide légale et judiciaire fait que le rôle des avocats et leurs structures reste très faible.</w:t>
      </w:r>
    </w:p>
    <w:p w14:paraId="57301126" w14:textId="77777777" w:rsidR="00C1211D" w:rsidRDefault="00C1211D" w:rsidP="00C1211D">
      <w:pPr>
        <w:jc w:val="both"/>
        <w:rPr>
          <w:iCs/>
          <w:lang w:val="fr-FR"/>
        </w:rPr>
      </w:pPr>
      <w:r w:rsidRPr="00F961EA">
        <w:rPr>
          <w:iCs/>
          <w:lang w:val="fr-FR"/>
        </w:rPr>
        <w:t>Sur cette base, ce projet vise à contribuer à renforcer la qualité des services d’aide judiciaire et juridictionnelle à travers la formation, la sensibilisation et la coordination des avocats et des autres acteurs du système judiciaire concernés par les mécanismes d'aide légale ciblant les groupes vulnérables, à travers tout le pays.</w:t>
      </w:r>
    </w:p>
    <w:p w14:paraId="55C7F5D5" w14:textId="77777777" w:rsidR="00C1211D" w:rsidRPr="00F961EA" w:rsidRDefault="00C1211D" w:rsidP="00C1211D">
      <w:pPr>
        <w:pStyle w:val="Titre2"/>
      </w:pPr>
      <w:r>
        <w:lastRenderedPageBreak/>
        <w:t>Objectifs du projet :</w:t>
      </w:r>
    </w:p>
    <w:p w14:paraId="425B63BA" w14:textId="77777777" w:rsidR="00F504D0" w:rsidRDefault="00F504D0" w:rsidP="00C1211D">
      <w:pPr>
        <w:spacing w:after="120" w:line="264" w:lineRule="auto"/>
        <w:jc w:val="both"/>
        <w:rPr>
          <w:b/>
          <w:iCs/>
          <w:lang w:val="fr-FR"/>
        </w:rPr>
      </w:pPr>
    </w:p>
    <w:p w14:paraId="732EC4B7" w14:textId="649EFCF6" w:rsidR="00C1211D" w:rsidRPr="00C85D4A" w:rsidRDefault="00C1211D" w:rsidP="00C1211D">
      <w:pPr>
        <w:spacing w:after="120" w:line="264" w:lineRule="auto"/>
        <w:jc w:val="both"/>
        <w:rPr>
          <w:b/>
          <w:iCs/>
          <w:lang w:val="fr-FR"/>
        </w:rPr>
      </w:pPr>
      <w:r w:rsidRPr="00C85D4A">
        <w:rPr>
          <w:b/>
          <w:iCs/>
          <w:lang w:val="fr-FR"/>
        </w:rPr>
        <w:t xml:space="preserve">Objectif général : </w:t>
      </w:r>
    </w:p>
    <w:p w14:paraId="643DA69A" w14:textId="77777777" w:rsidR="00C1211D" w:rsidRPr="00C85D4A" w:rsidRDefault="00C1211D" w:rsidP="00C1211D">
      <w:pPr>
        <w:spacing w:after="120" w:line="264" w:lineRule="auto"/>
        <w:jc w:val="both"/>
        <w:rPr>
          <w:bCs/>
          <w:iCs/>
          <w:lang w:val="fr-FR"/>
        </w:rPr>
      </w:pPr>
      <w:r w:rsidRPr="00C85D4A">
        <w:rPr>
          <w:bCs/>
          <w:iCs/>
          <w:lang w:val="fr-FR"/>
        </w:rPr>
        <w:t>Contribuer à renforcer l’accès aux droits pour les groupes et les ménages précaires ainsi que les groupes particulièrement vulnérables à travers un système d’aide légale efficace et inclusif intégré à la protection et la promotion sociale, et des services d’aide légale de proximité et de qualité où les avocats jouent un rôle éminent en coordination avec les autres intervenants</w:t>
      </w:r>
    </w:p>
    <w:p w14:paraId="2C2D412E" w14:textId="77777777" w:rsidR="00C1211D" w:rsidRPr="00C85D4A" w:rsidRDefault="00C1211D" w:rsidP="00C1211D">
      <w:pPr>
        <w:spacing w:after="120" w:line="264" w:lineRule="auto"/>
        <w:jc w:val="both"/>
        <w:rPr>
          <w:b/>
          <w:iCs/>
          <w:lang w:val="fr-FR"/>
        </w:rPr>
      </w:pPr>
      <w:r w:rsidRPr="00C85D4A">
        <w:rPr>
          <w:b/>
          <w:iCs/>
          <w:lang w:val="fr-FR"/>
        </w:rPr>
        <w:t>Objectifs spécifiques :</w:t>
      </w:r>
    </w:p>
    <w:p w14:paraId="5F2A5661" w14:textId="77777777" w:rsidR="00C1211D" w:rsidRPr="00C85D4A" w:rsidRDefault="00C1211D" w:rsidP="00C1211D">
      <w:pPr>
        <w:numPr>
          <w:ilvl w:val="0"/>
          <w:numId w:val="4"/>
        </w:numPr>
        <w:spacing w:after="120" w:line="264" w:lineRule="auto"/>
        <w:jc w:val="both"/>
        <w:rPr>
          <w:bCs/>
          <w:iCs/>
          <w:lang w:val="fr-FR"/>
        </w:rPr>
      </w:pPr>
      <w:r w:rsidRPr="00C85D4A">
        <w:rPr>
          <w:bCs/>
          <w:iCs/>
          <w:lang w:val="fr-FR"/>
        </w:rPr>
        <w:t>Le rôle des avocats et leurs structures professionnels en matière d’aide légale, principalement en matière d’aide judiciaire/juridictionnelle, est renforcé ;</w:t>
      </w:r>
    </w:p>
    <w:p w14:paraId="7640AAD1" w14:textId="77777777" w:rsidR="00C1211D" w:rsidRPr="00C85D4A" w:rsidRDefault="00C1211D" w:rsidP="00C1211D">
      <w:pPr>
        <w:numPr>
          <w:ilvl w:val="0"/>
          <w:numId w:val="4"/>
        </w:numPr>
        <w:spacing w:after="120" w:line="264" w:lineRule="auto"/>
        <w:jc w:val="both"/>
        <w:rPr>
          <w:bCs/>
          <w:iCs/>
          <w:lang w:val="fr-FR"/>
        </w:rPr>
      </w:pPr>
      <w:r w:rsidRPr="00C85D4A">
        <w:rPr>
          <w:bCs/>
          <w:iCs/>
          <w:lang w:val="fr-FR"/>
        </w:rPr>
        <w:t>Les justiciables, notamment les groupes et les ménages précaires ainsi que des groupes particulièrement vulnérables, bénéficient de services d’aide légale de qualité offerte par des avocats et d’autres intervenants ;</w:t>
      </w:r>
    </w:p>
    <w:p w14:paraId="29E5FD20" w14:textId="77777777" w:rsidR="00C1211D" w:rsidRPr="00C85D4A" w:rsidRDefault="00C1211D" w:rsidP="00C1211D">
      <w:pPr>
        <w:numPr>
          <w:ilvl w:val="0"/>
          <w:numId w:val="4"/>
        </w:numPr>
        <w:spacing w:after="120" w:line="264" w:lineRule="auto"/>
        <w:jc w:val="both"/>
        <w:rPr>
          <w:bCs/>
          <w:iCs/>
          <w:lang w:val="fr-FR"/>
        </w:rPr>
      </w:pPr>
      <w:r w:rsidRPr="00C85D4A">
        <w:rPr>
          <w:bCs/>
          <w:iCs/>
          <w:lang w:val="fr-FR"/>
        </w:rPr>
        <w:t>Les connaissances produites par l’expérience de la mise en œuvre du projet sont capitalisées et informent à court terme l’ajustement et l’amélioration de l’intervention, à moyen terme l’amélioration du rôle et de la coordination des différents intervenants notamment les avocats et à long terme des réformes législatives et institutionnelles du système d’aide légale en Tunisie en tant que mécanisme de protection et de promotion sociale</w:t>
      </w:r>
    </w:p>
    <w:p w14:paraId="772C8F5C" w14:textId="77777777" w:rsidR="00C1211D" w:rsidRDefault="00C1211D" w:rsidP="00C1211D">
      <w:pPr>
        <w:jc w:val="both"/>
        <w:rPr>
          <w:iCs/>
          <w:lang w:val="fr-FR"/>
        </w:rPr>
      </w:pPr>
    </w:p>
    <w:p w14:paraId="0384BB5B" w14:textId="77777777" w:rsidR="00C1211D" w:rsidRDefault="00C1211D" w:rsidP="00C1211D">
      <w:pPr>
        <w:pStyle w:val="Titre2"/>
      </w:pPr>
      <w:r>
        <w:t>Produits et principales activités</w:t>
      </w:r>
    </w:p>
    <w:p w14:paraId="0B74FD46" w14:textId="77777777" w:rsidR="00C1211D" w:rsidRDefault="00C1211D" w:rsidP="00C1211D">
      <w:pPr>
        <w:spacing w:after="120" w:line="264" w:lineRule="auto"/>
        <w:jc w:val="both"/>
        <w:rPr>
          <w:b/>
          <w:bCs/>
          <w:iCs/>
          <w:u w:val="single"/>
          <w:lang w:val="fr-FR"/>
        </w:rPr>
      </w:pPr>
    </w:p>
    <w:p w14:paraId="16143A26" w14:textId="3E2ACFDC" w:rsidR="00C1211D" w:rsidRPr="00E10EB8" w:rsidRDefault="00C1211D" w:rsidP="00C1211D">
      <w:pPr>
        <w:spacing w:after="120" w:line="264" w:lineRule="auto"/>
        <w:jc w:val="both"/>
        <w:rPr>
          <w:b/>
          <w:bCs/>
          <w:iCs/>
          <w:u w:val="single"/>
          <w:lang w:val="fr-FR"/>
        </w:rPr>
      </w:pPr>
      <w:r w:rsidRPr="00E10EB8">
        <w:rPr>
          <w:b/>
          <w:bCs/>
          <w:iCs/>
          <w:u w:val="single"/>
          <w:lang w:val="fr-FR"/>
        </w:rPr>
        <w:t>Produit 1 :</w:t>
      </w:r>
    </w:p>
    <w:p w14:paraId="21077E1A" w14:textId="77777777" w:rsidR="00C1211D" w:rsidRPr="00E10EB8" w:rsidRDefault="00C1211D" w:rsidP="00C1211D">
      <w:pPr>
        <w:spacing w:after="120" w:line="264" w:lineRule="auto"/>
        <w:jc w:val="both"/>
        <w:rPr>
          <w:b/>
          <w:bCs/>
          <w:iCs/>
          <w:lang w:val="fr-FR"/>
        </w:rPr>
      </w:pPr>
      <w:r w:rsidRPr="00E10EB8">
        <w:rPr>
          <w:b/>
          <w:bCs/>
          <w:iCs/>
          <w:lang w:val="fr-FR"/>
        </w:rPr>
        <w:t>Les avocats et leurs structures nationales et régionales sont mieux informés et outillés sur les mécanismes d'aide légale ciblant les groupes et les ménages précaires ainsi que les groupes particulièrement vulnérables et coordonnent avec les différents intervenants.</w:t>
      </w:r>
    </w:p>
    <w:p w14:paraId="377D6B0F" w14:textId="77777777" w:rsidR="00C1211D" w:rsidRPr="00E10EB8" w:rsidRDefault="00C1211D" w:rsidP="00C1211D">
      <w:pPr>
        <w:spacing w:after="120" w:line="264" w:lineRule="auto"/>
        <w:jc w:val="both"/>
        <w:rPr>
          <w:iCs/>
          <w:lang w:val="fr-FR"/>
        </w:rPr>
      </w:pPr>
      <w:r w:rsidRPr="00E10EB8">
        <w:rPr>
          <w:iCs/>
          <w:lang w:val="fr-FR"/>
        </w:rPr>
        <w:t>Le projet vise à atteindre ce produit en renforçant le rôle des avocats et de leurs structures professionnelles nationales et régionales à travers le renforcement de leur capacité et leur sensibilisation et information outillés sur les mécanismes d'aide légale ciblant les groupes et les ménages précaires ainsi que les groupes particulièrement vulnérables et la facilitation de leur coordination avec les principales parties prenantes.</w:t>
      </w:r>
    </w:p>
    <w:p w14:paraId="61810074" w14:textId="77777777" w:rsidR="00C1211D" w:rsidRPr="00E10EB8" w:rsidRDefault="00C1211D" w:rsidP="00C1211D">
      <w:pPr>
        <w:spacing w:after="120" w:line="264" w:lineRule="auto"/>
        <w:jc w:val="both"/>
        <w:rPr>
          <w:iCs/>
          <w:lang w:val="fr-FR"/>
        </w:rPr>
      </w:pPr>
    </w:p>
    <w:p w14:paraId="2CFB5276" w14:textId="77777777" w:rsidR="00C1211D" w:rsidRPr="00E10EB8" w:rsidRDefault="00C1211D" w:rsidP="00C1211D">
      <w:pPr>
        <w:spacing w:after="120" w:line="264" w:lineRule="auto"/>
        <w:jc w:val="both"/>
        <w:rPr>
          <w:b/>
          <w:bCs/>
          <w:iCs/>
          <w:u w:val="single"/>
          <w:lang w:val="fr-FR"/>
        </w:rPr>
      </w:pPr>
      <w:r w:rsidRPr="00E10EB8">
        <w:rPr>
          <w:b/>
          <w:bCs/>
          <w:iCs/>
          <w:u w:val="single"/>
          <w:lang w:val="fr-FR"/>
        </w:rPr>
        <w:t>Activités :</w:t>
      </w:r>
    </w:p>
    <w:p w14:paraId="4097370F" w14:textId="77777777" w:rsidR="00C1211D" w:rsidRPr="00E10EB8" w:rsidRDefault="00C1211D" w:rsidP="00C1211D">
      <w:pPr>
        <w:spacing w:after="120" w:line="264" w:lineRule="auto"/>
        <w:jc w:val="both"/>
        <w:rPr>
          <w:iCs/>
          <w:lang w:val="fr-FR"/>
        </w:rPr>
      </w:pPr>
    </w:p>
    <w:p w14:paraId="04280B27" w14:textId="77777777" w:rsidR="00C1211D" w:rsidRPr="00E10EB8" w:rsidRDefault="00C1211D" w:rsidP="00C1211D">
      <w:pPr>
        <w:spacing w:after="120" w:line="264" w:lineRule="auto"/>
        <w:jc w:val="both"/>
        <w:rPr>
          <w:iCs/>
          <w:lang w:val="fr-FR"/>
        </w:rPr>
      </w:pPr>
      <w:r w:rsidRPr="00E10EB8">
        <w:rPr>
          <w:b/>
          <w:bCs/>
          <w:iCs/>
          <w:u w:val="single"/>
          <w:lang w:val="fr-FR"/>
        </w:rPr>
        <w:t>A1.1</w:t>
      </w:r>
      <w:r w:rsidRPr="00E10EB8">
        <w:rPr>
          <w:b/>
          <w:bCs/>
          <w:iCs/>
          <w:lang w:val="fr-FR"/>
        </w:rPr>
        <w:t xml:space="preserve"> : Ateliers nationaux et régionaux avec les organisations d'avocats sur les mécanismes institutionnels et judiciaires en matière d’aide légale</w:t>
      </w:r>
      <w:r w:rsidRPr="00E10EB8">
        <w:rPr>
          <w:iCs/>
          <w:lang w:val="fr-FR"/>
        </w:rPr>
        <w:t> :</w:t>
      </w:r>
    </w:p>
    <w:p w14:paraId="0F407C56" w14:textId="77777777" w:rsidR="00C1211D" w:rsidRPr="00E10EB8" w:rsidRDefault="00C1211D" w:rsidP="00C1211D">
      <w:pPr>
        <w:spacing w:after="120" w:line="264" w:lineRule="auto"/>
        <w:jc w:val="both"/>
        <w:rPr>
          <w:iCs/>
          <w:lang w:val="fr-FR"/>
        </w:rPr>
      </w:pPr>
      <w:r w:rsidRPr="00E10EB8">
        <w:rPr>
          <w:iCs/>
          <w:lang w:val="fr-FR"/>
        </w:rPr>
        <w:t xml:space="preserve">18 ateliers : Un atelier sera organisé avec chaque section régionale (16 sections), avec l’Association des jeunes avocats et l’Institut Supérieur De La Profession D'Avocat. Ces ateliers ont pour objectif </w:t>
      </w:r>
      <w:r w:rsidRPr="00E10EB8">
        <w:rPr>
          <w:iCs/>
          <w:lang w:val="fr-FR"/>
        </w:rPr>
        <w:lastRenderedPageBreak/>
        <w:t xml:space="preserve">d’informer, de sensibiliser et de renforcer les capacités des avocats en matière d’aide légale et aide judiciaire / juridictionnelle. Ils constitueront également l’occasion d’entamer un échange et une coordination avec les différents autres intervenants notamment les </w:t>
      </w:r>
      <w:proofErr w:type="spellStart"/>
      <w:r w:rsidRPr="00E10EB8">
        <w:rPr>
          <w:iCs/>
          <w:lang w:val="fr-FR"/>
        </w:rPr>
        <w:t>BAJs</w:t>
      </w:r>
      <w:proofErr w:type="spellEnd"/>
      <w:r w:rsidRPr="00E10EB8">
        <w:rPr>
          <w:iCs/>
          <w:lang w:val="fr-FR"/>
        </w:rPr>
        <w:t xml:space="preserve"> (judiciaires et administratif) et les travailleurs sociaux qui seront invités à prendre part à une partie de ces ateliers.</w:t>
      </w:r>
    </w:p>
    <w:p w14:paraId="37EEA651" w14:textId="77777777" w:rsidR="00C1211D" w:rsidRPr="00E10EB8" w:rsidRDefault="00C1211D" w:rsidP="00C1211D">
      <w:pPr>
        <w:spacing w:after="120" w:line="264" w:lineRule="auto"/>
        <w:jc w:val="both"/>
        <w:rPr>
          <w:iCs/>
          <w:lang w:val="fr-FR"/>
        </w:rPr>
      </w:pPr>
      <w:r w:rsidRPr="00E10EB8">
        <w:rPr>
          <w:iCs/>
          <w:lang w:val="fr-FR"/>
        </w:rPr>
        <w:t xml:space="preserve">Ces ateliers pourront être organisés en coopération l’OSC/ONG qui sera sélectionnée pour mettre en œuvre le projet « Renforcement des services sociaux pour les ménages, groupes et individus pauvres et vulnérables en Tunisie par l’appui des mécanismes d'aide légale et la mise en place d'un système intégré de prestations sociales (dit « Aide légale et protection sociale </w:t>
      </w:r>
      <w:proofErr w:type="gramStart"/>
      <w:r w:rsidRPr="00E10EB8">
        <w:rPr>
          <w:iCs/>
          <w:lang w:val="fr-FR"/>
        </w:rPr>
        <w:t>» )</w:t>
      </w:r>
      <w:proofErr w:type="gramEnd"/>
      <w:r w:rsidRPr="00E10EB8">
        <w:rPr>
          <w:iCs/>
          <w:lang w:val="fr-FR"/>
        </w:rPr>
        <w:t> »objet de l’appel à proposition UNDP-TUN-00211.</w:t>
      </w:r>
    </w:p>
    <w:p w14:paraId="596F384F" w14:textId="77777777" w:rsidR="00C1211D" w:rsidRPr="00E10EB8" w:rsidRDefault="00C1211D" w:rsidP="00C1211D">
      <w:pPr>
        <w:spacing w:after="120" w:line="264" w:lineRule="auto"/>
        <w:jc w:val="both"/>
        <w:rPr>
          <w:iCs/>
          <w:lang w:val="fr-FR"/>
        </w:rPr>
      </w:pPr>
    </w:p>
    <w:p w14:paraId="1AD00219" w14:textId="77777777" w:rsidR="00C1211D" w:rsidRPr="00E10EB8" w:rsidRDefault="00C1211D" w:rsidP="00C1211D">
      <w:pPr>
        <w:spacing w:after="120" w:line="264" w:lineRule="auto"/>
        <w:jc w:val="both"/>
        <w:rPr>
          <w:b/>
          <w:bCs/>
          <w:iCs/>
          <w:lang w:val="fr-FR"/>
        </w:rPr>
      </w:pPr>
      <w:r w:rsidRPr="00E10EB8">
        <w:rPr>
          <w:b/>
          <w:bCs/>
          <w:iCs/>
          <w:u w:val="single"/>
          <w:lang w:val="fr-FR"/>
        </w:rPr>
        <w:t>A1.2</w:t>
      </w:r>
      <w:r w:rsidRPr="00E10EB8">
        <w:rPr>
          <w:b/>
          <w:bCs/>
          <w:iCs/>
          <w:lang w:val="fr-FR"/>
        </w:rPr>
        <w:t> : Appui à l’établissement d'un cadre de coopération et de coordination entre les avocats et les différents intervenants dans l'aide légale</w:t>
      </w:r>
    </w:p>
    <w:p w14:paraId="38ED32ED" w14:textId="77777777" w:rsidR="00C1211D" w:rsidRPr="00E10EB8" w:rsidRDefault="00C1211D" w:rsidP="00C1211D">
      <w:pPr>
        <w:spacing w:after="120" w:line="264" w:lineRule="auto"/>
        <w:jc w:val="both"/>
        <w:rPr>
          <w:iCs/>
          <w:lang w:val="fr-FR"/>
        </w:rPr>
      </w:pPr>
      <w:r w:rsidRPr="00E10EB8">
        <w:rPr>
          <w:iCs/>
          <w:lang w:val="fr-FR"/>
        </w:rPr>
        <w:t xml:space="preserve">L’équipe du projet facilitera la conclusion et la mise en œuvre de Mémorandum d’entente et protocoles de coopération entre les différentes parties intervenantes (MAS, MJ, </w:t>
      </w:r>
      <w:proofErr w:type="spellStart"/>
      <w:r w:rsidRPr="00E10EB8">
        <w:rPr>
          <w:iCs/>
          <w:lang w:val="fr-FR"/>
        </w:rPr>
        <w:t>OSCs</w:t>
      </w:r>
      <w:proofErr w:type="spellEnd"/>
      <w:r w:rsidRPr="00E10EB8">
        <w:rPr>
          <w:iCs/>
          <w:lang w:val="fr-FR"/>
        </w:rPr>
        <w:t>…etc.) dont notamment les structures des avocats (ONAT, ATJA…etc.).</w:t>
      </w:r>
    </w:p>
    <w:p w14:paraId="7EC790A0" w14:textId="77777777" w:rsidR="00C1211D" w:rsidRPr="00E10EB8" w:rsidRDefault="00C1211D" w:rsidP="00C1211D">
      <w:pPr>
        <w:spacing w:after="120" w:line="264" w:lineRule="auto"/>
        <w:jc w:val="both"/>
        <w:rPr>
          <w:iCs/>
          <w:lang w:val="fr-FR"/>
        </w:rPr>
      </w:pPr>
      <w:r w:rsidRPr="00E10EB8">
        <w:rPr>
          <w:iCs/>
          <w:lang w:val="fr-FR"/>
        </w:rPr>
        <w:t xml:space="preserve">L’équipe du projet facilitera également l’organisation de réunions de coordination régulières à l’échelle nationale et régionale entre ces différentes parties intervenantes (MAS, MJ, </w:t>
      </w:r>
      <w:proofErr w:type="spellStart"/>
      <w:r w:rsidRPr="00E10EB8">
        <w:rPr>
          <w:iCs/>
          <w:lang w:val="fr-FR"/>
        </w:rPr>
        <w:t>OSCs</w:t>
      </w:r>
      <w:proofErr w:type="spellEnd"/>
      <w:r w:rsidRPr="00E10EB8">
        <w:rPr>
          <w:iCs/>
          <w:lang w:val="fr-FR"/>
        </w:rPr>
        <w:t>…etc.) et notamment les structures des avocats.</w:t>
      </w:r>
    </w:p>
    <w:p w14:paraId="490444DB" w14:textId="77777777" w:rsidR="00C1211D" w:rsidRPr="00E10EB8" w:rsidRDefault="00C1211D" w:rsidP="00C1211D">
      <w:pPr>
        <w:spacing w:after="120" w:line="264" w:lineRule="auto"/>
        <w:jc w:val="both"/>
        <w:rPr>
          <w:iCs/>
          <w:lang w:val="fr-FR"/>
        </w:rPr>
      </w:pPr>
    </w:p>
    <w:p w14:paraId="43D273C7" w14:textId="77777777" w:rsidR="00C1211D" w:rsidRPr="00E10EB8" w:rsidRDefault="00C1211D" w:rsidP="00C1211D">
      <w:pPr>
        <w:spacing w:after="120" w:line="264" w:lineRule="auto"/>
        <w:jc w:val="both"/>
        <w:rPr>
          <w:b/>
          <w:bCs/>
          <w:iCs/>
          <w:u w:val="single"/>
          <w:lang w:val="fr-FR"/>
        </w:rPr>
      </w:pPr>
      <w:r w:rsidRPr="00E10EB8">
        <w:rPr>
          <w:b/>
          <w:bCs/>
          <w:iCs/>
          <w:u w:val="single"/>
          <w:lang w:val="fr-FR"/>
        </w:rPr>
        <w:t>Produit 2 :</w:t>
      </w:r>
    </w:p>
    <w:p w14:paraId="7BB07A8C" w14:textId="77777777" w:rsidR="00C1211D" w:rsidRPr="00E10EB8" w:rsidRDefault="00C1211D" w:rsidP="00C1211D">
      <w:pPr>
        <w:spacing w:after="120" w:line="264" w:lineRule="auto"/>
        <w:jc w:val="both"/>
        <w:rPr>
          <w:b/>
          <w:bCs/>
          <w:iCs/>
          <w:lang w:val="fr-FR"/>
        </w:rPr>
      </w:pPr>
      <w:r w:rsidRPr="00E10EB8">
        <w:rPr>
          <w:b/>
          <w:bCs/>
          <w:iCs/>
          <w:lang w:val="fr-FR"/>
        </w:rPr>
        <w:t>Les justiciables, notamment les groupes et les ménages précaires ainsi que des groupes particulièrement vulnérables, bénéficient de services d’aide légale de proximité et de qualité offerts par des avocats et d’autres intervenants</w:t>
      </w:r>
    </w:p>
    <w:p w14:paraId="6DF7FFD1" w14:textId="77777777" w:rsidR="00C1211D" w:rsidRPr="00E10EB8" w:rsidRDefault="00C1211D" w:rsidP="00C1211D">
      <w:pPr>
        <w:spacing w:after="120" w:line="264" w:lineRule="auto"/>
        <w:jc w:val="both"/>
        <w:rPr>
          <w:iCs/>
          <w:lang w:val="fr-FR"/>
        </w:rPr>
      </w:pPr>
      <w:r w:rsidRPr="00E10EB8">
        <w:rPr>
          <w:iCs/>
          <w:lang w:val="fr-FR"/>
        </w:rPr>
        <w:t xml:space="preserve">Le projet vise à atteindre ce produit en mettant en place un réseau d’"avocats référents" hautement qualifiés dans l’aide légale </w:t>
      </w:r>
      <w:r>
        <w:rPr>
          <w:iCs/>
          <w:lang w:val="fr-FR"/>
        </w:rPr>
        <w:t xml:space="preserve">aux victimes des violations des droits humains et </w:t>
      </w:r>
      <w:r w:rsidRPr="00E10EB8">
        <w:rPr>
          <w:iCs/>
          <w:lang w:val="fr-FR"/>
        </w:rPr>
        <w:t xml:space="preserve">aux groupes et ménages précaires ainsi que les groupes particulièrement vulnérables qui couvre tout le territoire tunisien. </w:t>
      </w:r>
    </w:p>
    <w:p w14:paraId="5E1DEF35" w14:textId="77777777" w:rsidR="00C1211D" w:rsidRPr="00E10EB8" w:rsidRDefault="00C1211D" w:rsidP="00C1211D">
      <w:pPr>
        <w:spacing w:after="120" w:line="264" w:lineRule="auto"/>
        <w:jc w:val="both"/>
        <w:rPr>
          <w:iCs/>
          <w:lang w:val="fr-FR"/>
        </w:rPr>
      </w:pPr>
      <w:r w:rsidRPr="00E10EB8">
        <w:rPr>
          <w:iCs/>
          <w:lang w:val="fr-FR"/>
        </w:rPr>
        <w:t xml:space="preserve">Ces avocats bénéficieront d’un programme de formation et de renforcement de capacités. Ils assureront des sessions d’information, de conseil et d’orientation pour les demandeurs d’aide légale ainsi que des sessions d’appui aux travailleurs sociaux et aux </w:t>
      </w:r>
      <w:proofErr w:type="spellStart"/>
      <w:r w:rsidRPr="00E10EB8">
        <w:rPr>
          <w:iCs/>
          <w:lang w:val="fr-FR"/>
        </w:rPr>
        <w:t>OSCs</w:t>
      </w:r>
      <w:proofErr w:type="spellEnd"/>
      <w:r w:rsidRPr="00E10EB8">
        <w:rPr>
          <w:iCs/>
          <w:lang w:val="fr-FR"/>
        </w:rPr>
        <w:t xml:space="preserve">. Ces avocats vont jouer également le rôle de référents dans les questions liées à l’aide légale notamment l’aide légale dans les thématiques suscités pour leurs structures professionnelles, les </w:t>
      </w:r>
      <w:proofErr w:type="spellStart"/>
      <w:r w:rsidRPr="00E10EB8">
        <w:rPr>
          <w:iCs/>
          <w:lang w:val="fr-FR"/>
        </w:rPr>
        <w:t>OSCs</w:t>
      </w:r>
      <w:proofErr w:type="spellEnd"/>
      <w:r w:rsidRPr="00E10EB8">
        <w:rPr>
          <w:iCs/>
          <w:lang w:val="fr-FR"/>
        </w:rPr>
        <w:t>, les structures sociales ainsi que pour toute autre entité demandeuse.</w:t>
      </w:r>
    </w:p>
    <w:p w14:paraId="3D6EAEE1" w14:textId="77777777" w:rsidR="00C1211D" w:rsidRPr="00E10EB8" w:rsidRDefault="00C1211D" w:rsidP="00C1211D">
      <w:pPr>
        <w:spacing w:after="120" w:line="264" w:lineRule="auto"/>
        <w:jc w:val="both"/>
        <w:rPr>
          <w:iCs/>
          <w:lang w:val="fr-FR"/>
        </w:rPr>
      </w:pPr>
    </w:p>
    <w:p w14:paraId="5A37B36C" w14:textId="77777777" w:rsidR="00C1211D" w:rsidRPr="00E10EB8" w:rsidRDefault="00C1211D" w:rsidP="00C1211D">
      <w:pPr>
        <w:spacing w:after="120" w:line="264" w:lineRule="auto"/>
        <w:jc w:val="both"/>
        <w:rPr>
          <w:b/>
          <w:bCs/>
          <w:iCs/>
          <w:u w:val="single"/>
          <w:lang w:val="fr-FR"/>
        </w:rPr>
      </w:pPr>
      <w:r w:rsidRPr="00E10EB8">
        <w:rPr>
          <w:b/>
          <w:bCs/>
          <w:iCs/>
          <w:u w:val="single"/>
          <w:lang w:val="fr-FR"/>
        </w:rPr>
        <w:t>Activités :</w:t>
      </w:r>
    </w:p>
    <w:p w14:paraId="45673F7D" w14:textId="77777777" w:rsidR="00C1211D" w:rsidRPr="00E10EB8" w:rsidRDefault="00C1211D" w:rsidP="00C1211D">
      <w:pPr>
        <w:spacing w:after="120" w:line="264" w:lineRule="auto"/>
        <w:jc w:val="both"/>
        <w:rPr>
          <w:iCs/>
          <w:lang w:val="fr-FR"/>
        </w:rPr>
      </w:pPr>
      <w:r w:rsidRPr="00E10EB8">
        <w:rPr>
          <w:b/>
          <w:bCs/>
          <w:iCs/>
          <w:u w:val="single"/>
          <w:lang w:val="fr-FR"/>
        </w:rPr>
        <w:t>A2.1</w:t>
      </w:r>
      <w:r w:rsidRPr="00E10EB8">
        <w:rPr>
          <w:b/>
          <w:bCs/>
          <w:iCs/>
          <w:lang w:val="fr-FR"/>
        </w:rPr>
        <w:t xml:space="preserve"> : Ateliers de renforcement des capacités des avocats référents dans les thématiques spécifiques à l’aide légale et l’assistance aux groupes et ménages précaires ainsi que les groupes particulièrement vulnérables</w:t>
      </w:r>
      <w:r w:rsidRPr="00E10EB8">
        <w:rPr>
          <w:iCs/>
          <w:lang w:val="fr-FR"/>
        </w:rPr>
        <w:t xml:space="preserve"> :</w:t>
      </w:r>
    </w:p>
    <w:p w14:paraId="24FB7AF3" w14:textId="77777777" w:rsidR="00C1211D" w:rsidRPr="00E10EB8" w:rsidRDefault="00C1211D" w:rsidP="00C1211D">
      <w:pPr>
        <w:spacing w:after="120" w:line="264" w:lineRule="auto"/>
        <w:jc w:val="both"/>
        <w:rPr>
          <w:iCs/>
          <w:lang w:val="fr-FR"/>
        </w:rPr>
      </w:pPr>
      <w:r w:rsidRPr="00E10EB8">
        <w:rPr>
          <w:iCs/>
          <w:lang w:val="fr-FR"/>
        </w:rPr>
        <w:t xml:space="preserve">Les capacités de ces avocats seront renforcées à travers au moins 6 ateliers de formation sur des thématiques spécifiques, ces ateliers constitueront également un cadre de suivi et d’échange </w:t>
      </w:r>
      <w:r w:rsidRPr="00E10EB8">
        <w:rPr>
          <w:iCs/>
          <w:lang w:val="fr-FR"/>
        </w:rPr>
        <w:lastRenderedPageBreak/>
        <w:t>d’expérience et de perfectionnement des sessions de conseil et d’orientation (voir ci-dessous). D’autres personnes ressources pourront être invitées à participer à ces ateliers (représentants de la Justice, de services sociaux, d’OSCS, d’instances indépendantes…etc.).</w:t>
      </w:r>
    </w:p>
    <w:p w14:paraId="5EA87C44" w14:textId="77777777" w:rsidR="00C1211D" w:rsidRPr="00E10EB8" w:rsidRDefault="00C1211D" w:rsidP="00C1211D">
      <w:pPr>
        <w:spacing w:after="120" w:line="264" w:lineRule="auto"/>
        <w:jc w:val="both"/>
        <w:rPr>
          <w:iCs/>
          <w:lang w:val="fr-FR"/>
        </w:rPr>
      </w:pPr>
      <w:proofErr w:type="spellStart"/>
      <w:r w:rsidRPr="00E10EB8">
        <w:rPr>
          <w:iCs/>
          <w:lang w:val="fr-FR"/>
        </w:rPr>
        <w:t>A</w:t>
      </w:r>
      <w:proofErr w:type="spellEnd"/>
      <w:r w:rsidRPr="00E10EB8">
        <w:rPr>
          <w:iCs/>
          <w:lang w:val="fr-FR"/>
        </w:rPr>
        <w:t xml:space="preserve"> titre indicatif, les thématiques qui pourront être traitées :</w:t>
      </w:r>
    </w:p>
    <w:p w14:paraId="00B41B31" w14:textId="77777777" w:rsidR="00C1211D" w:rsidRPr="00E10EB8" w:rsidRDefault="00C1211D" w:rsidP="00C1211D">
      <w:pPr>
        <w:numPr>
          <w:ilvl w:val="0"/>
          <w:numId w:val="4"/>
        </w:numPr>
        <w:spacing w:after="120" w:line="264" w:lineRule="auto"/>
        <w:jc w:val="both"/>
        <w:rPr>
          <w:iCs/>
          <w:lang w:val="fr-FR"/>
        </w:rPr>
      </w:pPr>
      <w:r w:rsidRPr="00E10EB8">
        <w:rPr>
          <w:iCs/>
          <w:lang w:val="fr-FR"/>
        </w:rPr>
        <w:t>Aide légale et judiciaire pour les femmes victimes de violences</w:t>
      </w:r>
    </w:p>
    <w:p w14:paraId="1883DC27" w14:textId="77777777" w:rsidR="00C1211D" w:rsidRPr="00E10EB8" w:rsidRDefault="00C1211D" w:rsidP="00C1211D">
      <w:pPr>
        <w:numPr>
          <w:ilvl w:val="0"/>
          <w:numId w:val="4"/>
        </w:numPr>
        <w:spacing w:after="120" w:line="264" w:lineRule="auto"/>
        <w:jc w:val="both"/>
        <w:rPr>
          <w:iCs/>
          <w:lang w:val="fr-FR"/>
        </w:rPr>
      </w:pPr>
      <w:r w:rsidRPr="00E10EB8">
        <w:rPr>
          <w:iCs/>
          <w:lang w:val="fr-FR"/>
        </w:rPr>
        <w:t xml:space="preserve">Aide légale et judiciaire pour les victimes de discriminations </w:t>
      </w:r>
    </w:p>
    <w:p w14:paraId="15A1843C" w14:textId="77777777" w:rsidR="00C1211D" w:rsidRPr="00E10EB8" w:rsidRDefault="00C1211D" w:rsidP="00C1211D">
      <w:pPr>
        <w:numPr>
          <w:ilvl w:val="0"/>
          <w:numId w:val="4"/>
        </w:numPr>
        <w:spacing w:after="120" w:line="264" w:lineRule="auto"/>
        <w:jc w:val="both"/>
        <w:rPr>
          <w:iCs/>
          <w:lang w:val="fr-FR"/>
        </w:rPr>
      </w:pPr>
      <w:r w:rsidRPr="00E10EB8">
        <w:rPr>
          <w:iCs/>
          <w:lang w:val="fr-FR"/>
        </w:rPr>
        <w:t>Aide légale et judiciaire pour les victimes de traite</w:t>
      </w:r>
    </w:p>
    <w:p w14:paraId="705ABC63" w14:textId="77777777" w:rsidR="00C1211D" w:rsidRPr="00E10EB8" w:rsidRDefault="00C1211D" w:rsidP="00C1211D">
      <w:pPr>
        <w:numPr>
          <w:ilvl w:val="0"/>
          <w:numId w:val="4"/>
        </w:numPr>
        <w:spacing w:after="120" w:line="264" w:lineRule="auto"/>
        <w:jc w:val="both"/>
        <w:rPr>
          <w:bCs/>
          <w:iCs/>
          <w:lang w:val="fr-FR"/>
        </w:rPr>
      </w:pPr>
      <w:r w:rsidRPr="00E10EB8">
        <w:rPr>
          <w:iCs/>
          <w:lang w:val="fr-FR"/>
        </w:rPr>
        <w:t>Aide légale et judiciaire pour les</w:t>
      </w:r>
      <w:r w:rsidRPr="00E10EB8">
        <w:rPr>
          <w:bCs/>
          <w:iCs/>
          <w:lang w:val="fr-FR"/>
        </w:rPr>
        <w:t xml:space="preserve"> victimes du terrorisme ;</w:t>
      </w:r>
    </w:p>
    <w:p w14:paraId="63FA0834" w14:textId="77777777" w:rsidR="00C1211D" w:rsidRPr="00E10EB8" w:rsidRDefault="00C1211D" w:rsidP="00C1211D">
      <w:pPr>
        <w:numPr>
          <w:ilvl w:val="0"/>
          <w:numId w:val="4"/>
        </w:numPr>
        <w:spacing w:after="120" w:line="264" w:lineRule="auto"/>
        <w:jc w:val="both"/>
        <w:rPr>
          <w:iCs/>
          <w:lang w:val="fr-FR"/>
        </w:rPr>
      </w:pPr>
      <w:r w:rsidRPr="00E10EB8">
        <w:rPr>
          <w:bCs/>
          <w:iCs/>
          <w:lang w:val="fr-FR"/>
        </w:rPr>
        <w:t>Droit pénitentiaire et rôle de l’avocat pour les personnes en détention ;</w:t>
      </w:r>
    </w:p>
    <w:p w14:paraId="0A199A38" w14:textId="77777777" w:rsidR="00C1211D" w:rsidRPr="00E10EB8" w:rsidRDefault="00C1211D" w:rsidP="00C1211D">
      <w:pPr>
        <w:numPr>
          <w:ilvl w:val="0"/>
          <w:numId w:val="4"/>
        </w:numPr>
        <w:spacing w:after="120" w:line="264" w:lineRule="auto"/>
        <w:jc w:val="both"/>
        <w:rPr>
          <w:iCs/>
          <w:lang w:val="fr-FR"/>
        </w:rPr>
      </w:pPr>
      <w:r w:rsidRPr="00E10EB8">
        <w:rPr>
          <w:iCs/>
          <w:lang w:val="fr-FR"/>
        </w:rPr>
        <w:t>…etc.</w:t>
      </w:r>
    </w:p>
    <w:p w14:paraId="133E1C54" w14:textId="77777777" w:rsidR="00C1211D" w:rsidRPr="00E10EB8" w:rsidRDefault="00C1211D" w:rsidP="00C1211D">
      <w:pPr>
        <w:spacing w:after="120" w:line="264" w:lineRule="auto"/>
        <w:jc w:val="both"/>
        <w:rPr>
          <w:iCs/>
          <w:lang w:val="fr-FR"/>
        </w:rPr>
      </w:pPr>
      <w:r w:rsidRPr="00E10EB8">
        <w:rPr>
          <w:iCs/>
          <w:lang w:val="fr-FR"/>
        </w:rPr>
        <w:t>Ces thématiques seront adaptés selon les besoins et le retour d’expérience du terrain.</w:t>
      </w:r>
    </w:p>
    <w:p w14:paraId="50D18F04" w14:textId="77777777" w:rsidR="00C1211D" w:rsidRPr="00E10EB8" w:rsidRDefault="00C1211D" w:rsidP="00C1211D">
      <w:pPr>
        <w:spacing w:after="120" w:line="264" w:lineRule="auto"/>
        <w:jc w:val="both"/>
        <w:rPr>
          <w:iCs/>
          <w:lang w:val="fr-FR"/>
        </w:rPr>
      </w:pPr>
      <w:r w:rsidRPr="00E10EB8">
        <w:rPr>
          <w:iCs/>
          <w:lang w:val="fr-FR"/>
        </w:rPr>
        <w:t>D’autres sessions de formation, de suivi et de coordination seront également organisées en présentiel et/ou à distance.</w:t>
      </w:r>
    </w:p>
    <w:p w14:paraId="4CC6DEC9" w14:textId="77777777" w:rsidR="00C1211D" w:rsidRPr="00E10EB8" w:rsidRDefault="00C1211D" w:rsidP="00C1211D">
      <w:pPr>
        <w:spacing w:after="120" w:line="264" w:lineRule="auto"/>
        <w:jc w:val="both"/>
        <w:rPr>
          <w:iCs/>
          <w:lang w:val="fr-FR"/>
        </w:rPr>
      </w:pPr>
      <w:r w:rsidRPr="00E10EB8">
        <w:rPr>
          <w:b/>
          <w:bCs/>
          <w:iCs/>
          <w:u w:val="single"/>
          <w:lang w:val="fr-FR"/>
        </w:rPr>
        <w:t>A2.2</w:t>
      </w:r>
      <w:r w:rsidRPr="00E10EB8">
        <w:rPr>
          <w:b/>
          <w:bCs/>
          <w:iCs/>
          <w:lang w:val="fr-FR"/>
        </w:rPr>
        <w:t xml:space="preserve"> : Sessions d’information, de conseil et d’orientation</w:t>
      </w:r>
      <w:r w:rsidRPr="00E10EB8">
        <w:rPr>
          <w:iCs/>
          <w:lang w:val="fr-FR"/>
        </w:rPr>
        <w:t xml:space="preserve"> :</w:t>
      </w:r>
    </w:p>
    <w:p w14:paraId="045D9D4A" w14:textId="77777777" w:rsidR="00C1211D" w:rsidRPr="00E10EB8" w:rsidRDefault="00C1211D" w:rsidP="00C1211D">
      <w:pPr>
        <w:spacing w:after="120" w:line="264" w:lineRule="auto"/>
        <w:jc w:val="both"/>
        <w:rPr>
          <w:iCs/>
          <w:lang w:val="fr-FR"/>
        </w:rPr>
      </w:pPr>
      <w:r w:rsidRPr="00E10EB8">
        <w:rPr>
          <w:iCs/>
          <w:lang w:val="fr-FR"/>
        </w:rPr>
        <w:t xml:space="preserve">Ces avocats assureront des sessions d’information, de conseil et d’orientation pour les demandeurs d’aide légale ainsi que des sessions d’appui aux travailleurs sociaux et aux </w:t>
      </w:r>
      <w:proofErr w:type="spellStart"/>
      <w:r w:rsidRPr="00E10EB8">
        <w:rPr>
          <w:iCs/>
          <w:lang w:val="fr-FR"/>
        </w:rPr>
        <w:t>OSCs</w:t>
      </w:r>
      <w:proofErr w:type="spellEnd"/>
      <w:r w:rsidRPr="00E10EB8">
        <w:rPr>
          <w:iCs/>
          <w:lang w:val="fr-FR"/>
        </w:rPr>
        <w:t>.</w:t>
      </w:r>
    </w:p>
    <w:p w14:paraId="1667D250" w14:textId="77777777" w:rsidR="00C1211D" w:rsidRPr="00E10EB8" w:rsidRDefault="00C1211D" w:rsidP="00C1211D">
      <w:pPr>
        <w:spacing w:after="120" w:line="264" w:lineRule="auto"/>
        <w:jc w:val="both"/>
        <w:rPr>
          <w:iCs/>
          <w:lang w:val="fr-FR"/>
        </w:rPr>
      </w:pPr>
      <w:r w:rsidRPr="00E10EB8">
        <w:rPr>
          <w:iCs/>
          <w:lang w:val="fr-FR"/>
        </w:rPr>
        <w:t xml:space="preserve">Ces sessions seront organisées au moins une fois par mois dans tous les gouvernorats, dans les structures sociales (CDIS, DPS, ULPS), dans les structures du ministère de la Femme, dans les locaux régionaux de la LTDH et des </w:t>
      </w:r>
      <w:proofErr w:type="spellStart"/>
      <w:r w:rsidRPr="00E10EB8">
        <w:rPr>
          <w:iCs/>
          <w:lang w:val="fr-FR"/>
        </w:rPr>
        <w:t>OSCs</w:t>
      </w:r>
      <w:proofErr w:type="spellEnd"/>
      <w:r w:rsidRPr="00E10EB8">
        <w:rPr>
          <w:iCs/>
          <w:lang w:val="fr-FR"/>
        </w:rPr>
        <w:t xml:space="preserve"> partenaires et dans tout autre organisme pertinent.</w:t>
      </w:r>
    </w:p>
    <w:p w14:paraId="27FC03E8" w14:textId="77777777" w:rsidR="00C1211D" w:rsidRDefault="00C1211D" w:rsidP="00C1211D">
      <w:pPr>
        <w:jc w:val="both"/>
        <w:rPr>
          <w:iCs/>
          <w:lang w:val="fr-FR"/>
        </w:rPr>
      </w:pPr>
    </w:p>
    <w:p w14:paraId="0A2EA1A4" w14:textId="77777777" w:rsidR="00C1211D" w:rsidRPr="00B565E6" w:rsidRDefault="00C1211D" w:rsidP="00C1211D">
      <w:pPr>
        <w:spacing w:after="120" w:line="264" w:lineRule="auto"/>
        <w:jc w:val="both"/>
        <w:rPr>
          <w:b/>
          <w:bCs/>
          <w:iCs/>
          <w:u w:val="single"/>
          <w:lang w:val="fr-FR"/>
        </w:rPr>
      </w:pPr>
      <w:r w:rsidRPr="00B565E6">
        <w:rPr>
          <w:b/>
          <w:bCs/>
          <w:iCs/>
          <w:u w:val="single"/>
          <w:lang w:val="fr-FR"/>
        </w:rPr>
        <w:t>Produit 3 :</w:t>
      </w:r>
    </w:p>
    <w:p w14:paraId="39FBD98F" w14:textId="77777777" w:rsidR="00C1211D" w:rsidRPr="00B565E6" w:rsidRDefault="00C1211D" w:rsidP="00C1211D">
      <w:pPr>
        <w:spacing w:after="120" w:line="264" w:lineRule="auto"/>
        <w:jc w:val="both"/>
        <w:rPr>
          <w:b/>
          <w:bCs/>
          <w:iCs/>
          <w:lang w:val="fr-FR"/>
        </w:rPr>
      </w:pPr>
      <w:r w:rsidRPr="00B565E6">
        <w:rPr>
          <w:b/>
          <w:bCs/>
          <w:iCs/>
          <w:lang w:val="fr-FR"/>
        </w:rPr>
        <w:t>Les connaissances tirées du projet, notamment les bonnes pratiques et les défaillances identifiées, sont documentées et capitalisées et informent des recommandations visant l’amélioration du rôle des intervenants notamment les avocats et la réforme du système d’aide légale.</w:t>
      </w:r>
    </w:p>
    <w:p w14:paraId="0DD619A5" w14:textId="77777777" w:rsidR="00C1211D" w:rsidRPr="00B565E6" w:rsidRDefault="00C1211D" w:rsidP="00C1211D">
      <w:pPr>
        <w:spacing w:after="120" w:line="264" w:lineRule="auto"/>
        <w:jc w:val="both"/>
        <w:rPr>
          <w:iCs/>
          <w:lang w:val="fr-FR"/>
        </w:rPr>
      </w:pPr>
      <w:r w:rsidRPr="00B565E6">
        <w:rPr>
          <w:iCs/>
          <w:lang w:val="fr-FR"/>
        </w:rPr>
        <w:t>Le projet vise à ce que les connaissances produites par l’expérience de la mise en œuvre du projet soient capitalisées et informent à court terme l’ajustement et l’amélioration de l’intervention, à moyen terme l’amélioration du rôle et de la coordination des différents intervenants notamment les avocats et à long terme des réformes législatives et institutionnelles du système d’aide légale en Tunisie en tant que mécanisme de protection et de promotion sociale.</w:t>
      </w:r>
    </w:p>
    <w:p w14:paraId="69A2887C" w14:textId="77777777" w:rsidR="00C1211D" w:rsidRPr="00B565E6" w:rsidRDefault="00C1211D" w:rsidP="00C1211D">
      <w:pPr>
        <w:spacing w:after="120" w:line="264" w:lineRule="auto"/>
        <w:jc w:val="both"/>
        <w:rPr>
          <w:iCs/>
          <w:lang w:val="fr-FR"/>
        </w:rPr>
      </w:pPr>
      <w:r w:rsidRPr="00B565E6">
        <w:rPr>
          <w:iCs/>
          <w:lang w:val="fr-FR"/>
        </w:rPr>
        <w:t>Le ciblage des bénéficiaires et l’intervention des avocats et la coordination avec les autres intervenants sont améliorés continuellement par l’analyse des données et retour d’expérience des ateliers et des sessions de conseil et d’orientation.</w:t>
      </w:r>
    </w:p>
    <w:p w14:paraId="1B5AEA12" w14:textId="77777777" w:rsidR="00C1211D" w:rsidRDefault="00C1211D" w:rsidP="00C1211D">
      <w:pPr>
        <w:spacing w:after="120" w:line="264" w:lineRule="auto"/>
        <w:jc w:val="both"/>
        <w:rPr>
          <w:iCs/>
          <w:lang w:val="fr-FR"/>
        </w:rPr>
      </w:pPr>
      <w:r w:rsidRPr="00B565E6">
        <w:rPr>
          <w:iCs/>
          <w:lang w:val="fr-FR"/>
        </w:rPr>
        <w:t>Les enseignements tirés du projet, notamment les bonnes pratiques et les défaillances identifiées au cours de la mise en œuvre du projet, sont documentés et capitalisés et des recommandations visant l’amélioration du rôle des intervenants notamment les avocats et la réforme du système d’aide légale.</w:t>
      </w:r>
    </w:p>
    <w:p w14:paraId="294FA812" w14:textId="77777777" w:rsidR="00F504D0" w:rsidRPr="00B565E6" w:rsidRDefault="00F504D0" w:rsidP="00C1211D">
      <w:pPr>
        <w:spacing w:after="120" w:line="264" w:lineRule="auto"/>
        <w:jc w:val="both"/>
        <w:rPr>
          <w:iCs/>
          <w:lang w:val="fr-FR"/>
        </w:rPr>
      </w:pPr>
    </w:p>
    <w:p w14:paraId="6993C01D" w14:textId="77777777" w:rsidR="00C1211D" w:rsidRPr="00B565E6" w:rsidRDefault="00C1211D" w:rsidP="00C1211D">
      <w:pPr>
        <w:spacing w:after="120" w:line="264" w:lineRule="auto"/>
        <w:jc w:val="both"/>
        <w:rPr>
          <w:b/>
          <w:bCs/>
          <w:iCs/>
          <w:u w:val="single"/>
          <w:lang w:val="fr-FR"/>
        </w:rPr>
      </w:pPr>
      <w:r w:rsidRPr="00B565E6">
        <w:rPr>
          <w:b/>
          <w:bCs/>
          <w:iCs/>
          <w:u w:val="single"/>
          <w:lang w:val="fr-FR"/>
        </w:rPr>
        <w:lastRenderedPageBreak/>
        <w:t>Activités :</w:t>
      </w:r>
    </w:p>
    <w:p w14:paraId="38AA717C" w14:textId="77777777" w:rsidR="00C1211D" w:rsidRPr="00B565E6" w:rsidRDefault="00C1211D" w:rsidP="00C1211D">
      <w:pPr>
        <w:spacing w:after="120" w:line="264" w:lineRule="auto"/>
        <w:jc w:val="both"/>
        <w:rPr>
          <w:b/>
          <w:iCs/>
          <w:lang w:val="fr-FR"/>
        </w:rPr>
      </w:pPr>
      <w:r w:rsidRPr="00B565E6">
        <w:rPr>
          <w:b/>
          <w:bCs/>
          <w:iCs/>
          <w:u w:val="single"/>
          <w:lang w:val="fr-FR"/>
        </w:rPr>
        <w:t>A3.1</w:t>
      </w:r>
      <w:r w:rsidRPr="00B565E6">
        <w:rPr>
          <w:b/>
          <w:bCs/>
          <w:iCs/>
          <w:lang w:val="fr-FR"/>
        </w:rPr>
        <w:t xml:space="preserve"> : Atelier de capitalisation des connaissances</w:t>
      </w:r>
    </w:p>
    <w:p w14:paraId="7DD08134" w14:textId="77777777" w:rsidR="00C1211D" w:rsidRPr="00B565E6" w:rsidRDefault="00C1211D" w:rsidP="00C1211D">
      <w:pPr>
        <w:spacing w:after="120" w:line="264" w:lineRule="auto"/>
        <w:jc w:val="both"/>
        <w:rPr>
          <w:bCs/>
          <w:iCs/>
          <w:lang w:val="fr-FR"/>
        </w:rPr>
      </w:pPr>
      <w:proofErr w:type="gramStart"/>
      <w:r w:rsidRPr="00B565E6">
        <w:rPr>
          <w:bCs/>
          <w:iCs/>
          <w:lang w:val="fr-FR"/>
        </w:rPr>
        <w:t>n</w:t>
      </w:r>
      <w:proofErr w:type="gramEnd"/>
      <w:r w:rsidRPr="00B565E6">
        <w:rPr>
          <w:bCs/>
          <w:iCs/>
          <w:lang w:val="fr-FR"/>
        </w:rPr>
        <w:t xml:space="preserve"> atelier de capitalisation sera organisé à la fin du projet avec la participation des différentes parties prenantes du projet, notamment les structures nationales et régionales des avocats, des représentants de la Justice, des services sociaux, d’OSCS, d’instances indépendantes…etc.</w:t>
      </w:r>
    </w:p>
    <w:p w14:paraId="42F99BF4" w14:textId="77777777" w:rsidR="00C1211D" w:rsidRPr="00B565E6" w:rsidRDefault="00C1211D" w:rsidP="00C1211D">
      <w:pPr>
        <w:spacing w:after="120" w:line="264" w:lineRule="auto"/>
        <w:jc w:val="both"/>
        <w:rPr>
          <w:bCs/>
          <w:iCs/>
          <w:lang w:val="fr-FR"/>
        </w:rPr>
      </w:pPr>
      <w:r w:rsidRPr="00B565E6">
        <w:rPr>
          <w:bCs/>
          <w:iCs/>
          <w:lang w:val="fr-FR"/>
        </w:rPr>
        <w:t>Les participants auront l’occasion d’évaluer l’expérience de la mise en œuvre du projet et de formuler des recommandations visant à moyen terme l’amélioration du rôle et de la coordination des différents intervenants notamment les avocats et à long terme des réformes législatives et institutionnelles du système d’aide légale en Tunisie en tant que mécanisme de protection et de promotion sociale.</w:t>
      </w:r>
    </w:p>
    <w:p w14:paraId="564F1D4D" w14:textId="77777777" w:rsidR="00C1211D" w:rsidRPr="00B565E6" w:rsidRDefault="00C1211D" w:rsidP="00C1211D">
      <w:pPr>
        <w:spacing w:after="120" w:line="264" w:lineRule="auto"/>
        <w:jc w:val="both"/>
        <w:rPr>
          <w:b/>
          <w:iCs/>
          <w:lang w:val="fr-FR"/>
        </w:rPr>
      </w:pPr>
      <w:r w:rsidRPr="00B565E6">
        <w:rPr>
          <w:b/>
          <w:bCs/>
          <w:iCs/>
          <w:u w:val="single"/>
          <w:lang w:val="fr-FR"/>
        </w:rPr>
        <w:t>A3.2</w:t>
      </w:r>
      <w:r w:rsidRPr="00B565E6">
        <w:rPr>
          <w:b/>
          <w:bCs/>
          <w:iCs/>
          <w:lang w:val="fr-FR"/>
        </w:rPr>
        <w:t xml:space="preserve"> : Rapport de capitalisation des connaissances</w:t>
      </w:r>
    </w:p>
    <w:p w14:paraId="3423ED1D" w14:textId="77777777" w:rsidR="00C1211D" w:rsidRDefault="00C1211D" w:rsidP="00C1211D">
      <w:pPr>
        <w:spacing w:after="120" w:line="264" w:lineRule="auto"/>
        <w:jc w:val="both"/>
        <w:rPr>
          <w:bCs/>
          <w:iCs/>
          <w:lang w:val="fr-FR"/>
        </w:rPr>
      </w:pPr>
      <w:r w:rsidRPr="00B565E6">
        <w:rPr>
          <w:bCs/>
          <w:iCs/>
          <w:lang w:val="fr-FR"/>
        </w:rPr>
        <w:t>Sur la base de la documentation des différentes activités du projet (rapports des ateliers, fiches d’évaluation, fiches des bénéficiaires des sessions de conseil et d’orientation…etc.), des travaux de l’atelier de capitalisation, ainsi que des entretiens et des focus groups avec les différentes personnes et entités participantes à la mise en œuvre du projet, un rapport de capitalisation sera élaboré et diffusé. Il analysera la situation de l’aide légale en Tunisie à partir des expériences et les enseignements tirés de la mise en œuvre du projet en mettant le focus sur le rôle de l’avocat. L’analyse et les recommandations de ce rapport pourront contribuer à des actions de plaidoyer pour des réformes législatives et institutionnelles.</w:t>
      </w:r>
    </w:p>
    <w:p w14:paraId="533EF461" w14:textId="77777777" w:rsidR="00F504D0" w:rsidRDefault="00F504D0" w:rsidP="00C1211D">
      <w:pPr>
        <w:spacing w:after="120" w:line="264" w:lineRule="auto"/>
        <w:jc w:val="both"/>
        <w:rPr>
          <w:bCs/>
          <w:iCs/>
          <w:lang w:val="fr-FR"/>
        </w:rPr>
      </w:pPr>
    </w:p>
    <w:p w14:paraId="4428B3C0" w14:textId="77777777" w:rsidR="00C1211D" w:rsidRDefault="00C1211D" w:rsidP="00C1211D">
      <w:pPr>
        <w:pStyle w:val="Titre1"/>
        <w:jc w:val="both"/>
      </w:pPr>
      <w:r>
        <w:t>Termes de référence de la mission</w:t>
      </w:r>
    </w:p>
    <w:p w14:paraId="68849C79" w14:textId="77777777" w:rsidR="00C1211D" w:rsidRPr="005F5808" w:rsidRDefault="00C1211D" w:rsidP="00C1211D">
      <w:pPr>
        <w:pStyle w:val="Titre2"/>
        <w:jc w:val="both"/>
      </w:pPr>
      <w:r w:rsidRPr="0081202C">
        <w:t xml:space="preserve">Objectif </w:t>
      </w:r>
      <w:r>
        <w:t>de la mission :</w:t>
      </w:r>
    </w:p>
    <w:p w14:paraId="4273B1FD" w14:textId="6889295D" w:rsidR="00C1211D" w:rsidRPr="0081202C" w:rsidRDefault="00C71D88" w:rsidP="00C1211D">
      <w:pPr>
        <w:jc w:val="both"/>
      </w:pPr>
      <w:r w:rsidRPr="00C71D88">
        <w:t>L'expert ou le cabinet sera responsable de l'ensemble des activités de suivi et d’évaluation (S&amp;E) du projet d'aide légale. Ces activités permettront d'assurer que le projet atteint ses objectifs, respecte les engagements pris envers les partenaires, et génère l'impact souhaité auprès des bénéficiaires. Les objectifs spécifiques de la mission sont les suivants</w:t>
      </w:r>
      <w:r>
        <w:t xml:space="preserve"> :</w:t>
      </w:r>
    </w:p>
    <w:p w14:paraId="6B7FFD31" w14:textId="77777777" w:rsidR="00C1211D" w:rsidRDefault="00C1211D" w:rsidP="00C1211D">
      <w:pPr>
        <w:pStyle w:val="Titre2"/>
        <w:jc w:val="both"/>
      </w:pPr>
      <w:r>
        <w:t>Rôles</w:t>
      </w:r>
      <w:r w:rsidRPr="0081202C">
        <w:t xml:space="preserve"> </w:t>
      </w:r>
      <w:r>
        <w:t>p</w:t>
      </w:r>
      <w:r w:rsidRPr="0081202C">
        <w:t>rincipa</w:t>
      </w:r>
      <w:r>
        <w:t>ux :</w:t>
      </w:r>
    </w:p>
    <w:p w14:paraId="2821292D" w14:textId="04063F02" w:rsidR="00C1211D" w:rsidRDefault="00C1211D" w:rsidP="00C1211D">
      <w:pPr>
        <w:rPr>
          <w:lang w:val="fr-FR"/>
        </w:rPr>
      </w:pPr>
      <w:r>
        <w:rPr>
          <w:lang w:val="fr-FR"/>
        </w:rPr>
        <w:t>Pour effectuer cette mission, le consultant sera chargé d’assurer les rôles principaux suivant</w:t>
      </w:r>
      <w:r w:rsidR="00C34FE7">
        <w:rPr>
          <w:lang w:val="fr-FR"/>
        </w:rPr>
        <w:t>s :</w:t>
      </w:r>
    </w:p>
    <w:p w14:paraId="6926472F" w14:textId="77777777" w:rsidR="00C34FE7" w:rsidRPr="00C34FE7" w:rsidRDefault="00C34FE7" w:rsidP="00C34FE7">
      <w:pPr>
        <w:rPr>
          <w:lang w:val="fr-FR"/>
        </w:rPr>
      </w:pPr>
      <w:r w:rsidRPr="00C34FE7">
        <w:rPr>
          <w:b/>
          <w:bCs/>
          <w:lang w:val="fr-FR"/>
        </w:rPr>
        <w:t>1. Conception et mise en place d’un cadre de suivi et évaluation (S&amp;E) :</w:t>
      </w:r>
    </w:p>
    <w:p w14:paraId="7C85C6C3" w14:textId="77777777" w:rsidR="00C34FE7" w:rsidRPr="00C34FE7" w:rsidRDefault="00C34FE7" w:rsidP="00C34FE7">
      <w:pPr>
        <w:numPr>
          <w:ilvl w:val="0"/>
          <w:numId w:val="11"/>
        </w:numPr>
        <w:rPr>
          <w:lang w:val="fr-FR"/>
        </w:rPr>
      </w:pPr>
      <w:r w:rsidRPr="00C34FE7">
        <w:rPr>
          <w:lang w:val="fr-FR"/>
        </w:rPr>
        <w:t>Élaborer un cadre de suivi et évaluation adapté aux besoins spécifiques du projet. Ce cadre doit inclure une matrice des indicateurs clairs, mesurables, et pertinents (quantitatifs et qualitatifs) pour évaluer les progrès, l'efficacité et l’impact du projet.</w:t>
      </w:r>
    </w:p>
    <w:p w14:paraId="33272E3D" w14:textId="77777777" w:rsidR="00C34FE7" w:rsidRPr="00C34FE7" w:rsidRDefault="00C34FE7" w:rsidP="00C34FE7">
      <w:pPr>
        <w:numPr>
          <w:ilvl w:val="0"/>
          <w:numId w:val="11"/>
        </w:numPr>
        <w:rPr>
          <w:lang w:val="fr-FR"/>
        </w:rPr>
      </w:pPr>
      <w:r w:rsidRPr="00C34FE7">
        <w:rPr>
          <w:lang w:val="fr-FR"/>
        </w:rPr>
        <w:t>Définir des outils et des méthodes de collecte de données, incluant des questionnaires, des entretiens et des rapports de terrain…etc. permettant d'obtenir des informations précises sur les résultats du projet.</w:t>
      </w:r>
    </w:p>
    <w:p w14:paraId="01259655" w14:textId="0EA8A44D" w:rsidR="00C34FE7" w:rsidRPr="00C34FE7" w:rsidRDefault="00F241E3" w:rsidP="00C34FE7">
      <w:pPr>
        <w:numPr>
          <w:ilvl w:val="0"/>
          <w:numId w:val="11"/>
        </w:numPr>
        <w:rPr>
          <w:lang w:val="fr-FR"/>
        </w:rPr>
      </w:pPr>
      <w:proofErr w:type="spellStart"/>
      <w:r>
        <w:rPr>
          <w:lang w:val="fr-FR"/>
        </w:rPr>
        <w:t>Elaborer</w:t>
      </w:r>
      <w:proofErr w:type="spellEnd"/>
      <w:r>
        <w:rPr>
          <w:lang w:val="fr-FR"/>
        </w:rPr>
        <w:t xml:space="preserve"> </w:t>
      </w:r>
      <w:r w:rsidR="001A573A">
        <w:rPr>
          <w:lang w:val="fr-FR"/>
        </w:rPr>
        <w:t>des</w:t>
      </w:r>
      <w:r w:rsidR="00C34FE7" w:rsidRPr="00C34FE7">
        <w:rPr>
          <w:lang w:val="fr-FR"/>
        </w:rPr>
        <w:t xml:space="preserve"> mécanismes de collecte et d’analyse des données pour suivre les activités de manière continue et évaluer leur conformité par rapport aux objectifs initiaux.</w:t>
      </w:r>
    </w:p>
    <w:p w14:paraId="1A04E8E3" w14:textId="77777777" w:rsidR="00C34FE7" w:rsidRPr="00C34FE7" w:rsidRDefault="00C34FE7" w:rsidP="00C34FE7">
      <w:pPr>
        <w:rPr>
          <w:lang w:val="fr-FR"/>
        </w:rPr>
      </w:pPr>
      <w:r w:rsidRPr="00C34FE7">
        <w:rPr>
          <w:b/>
          <w:bCs/>
          <w:lang w:val="fr-FR"/>
        </w:rPr>
        <w:lastRenderedPageBreak/>
        <w:t>2. Participation active au suivi des activités du projet :</w:t>
      </w:r>
    </w:p>
    <w:p w14:paraId="4967142C" w14:textId="77777777" w:rsidR="00C34FE7" w:rsidRPr="00C34FE7" w:rsidRDefault="00C34FE7" w:rsidP="00C34FE7">
      <w:pPr>
        <w:numPr>
          <w:ilvl w:val="0"/>
          <w:numId w:val="12"/>
        </w:numPr>
        <w:rPr>
          <w:lang w:val="fr-FR"/>
        </w:rPr>
      </w:pPr>
      <w:r w:rsidRPr="00C34FE7">
        <w:rPr>
          <w:lang w:val="fr-FR"/>
        </w:rPr>
        <w:t>Participer à toutes les réunions de planification et de suivi organisées par la LTDH et les partenaires du projet, afin de s’assurer que les objectifs et indicateurs de S&amp;E sont bien intégrés dans la gestion quotidienne du projet.</w:t>
      </w:r>
    </w:p>
    <w:p w14:paraId="127DBACF" w14:textId="77777777" w:rsidR="00C34FE7" w:rsidRPr="00C34FE7" w:rsidRDefault="00C34FE7" w:rsidP="00C34FE7">
      <w:pPr>
        <w:numPr>
          <w:ilvl w:val="0"/>
          <w:numId w:val="12"/>
        </w:numPr>
        <w:rPr>
          <w:lang w:val="fr-FR"/>
        </w:rPr>
      </w:pPr>
      <w:r w:rsidRPr="00C34FE7">
        <w:rPr>
          <w:lang w:val="fr-FR"/>
        </w:rPr>
        <w:t>Suivre l’exécution des activités du projet sur le terrain en collaboration avec l’équipe du projet, pour identifier les obstacles potentiels et formuler des recommandations en temps réel.</w:t>
      </w:r>
    </w:p>
    <w:p w14:paraId="7C7458AF" w14:textId="77777777" w:rsidR="00C34FE7" w:rsidRPr="00C34FE7" w:rsidRDefault="00C34FE7" w:rsidP="00C34FE7">
      <w:pPr>
        <w:rPr>
          <w:lang w:val="fr-FR"/>
        </w:rPr>
      </w:pPr>
      <w:r w:rsidRPr="00C34FE7">
        <w:rPr>
          <w:b/>
          <w:bCs/>
          <w:lang w:val="fr-FR"/>
        </w:rPr>
        <w:t>3. Contribution au rapports périodiques destinés aux partenaires :</w:t>
      </w:r>
    </w:p>
    <w:p w14:paraId="167B2857" w14:textId="77777777" w:rsidR="00C34FE7" w:rsidRPr="00C34FE7" w:rsidRDefault="00C34FE7" w:rsidP="00C34FE7">
      <w:pPr>
        <w:numPr>
          <w:ilvl w:val="0"/>
          <w:numId w:val="13"/>
        </w:numPr>
        <w:rPr>
          <w:lang w:val="fr-FR"/>
        </w:rPr>
      </w:pPr>
      <w:r w:rsidRPr="00C34FE7">
        <w:rPr>
          <w:lang w:val="fr-FR"/>
        </w:rPr>
        <w:t>Participer à l’élaboration des rapports périodiques détaillant les activités réalisées, les résultats atteints, les difficultés rencontrées, et les ajustements recommandés pour améliorer la mise en œuvre du projet.</w:t>
      </w:r>
    </w:p>
    <w:p w14:paraId="0DC74157" w14:textId="77777777" w:rsidR="00C34FE7" w:rsidRPr="00C34FE7" w:rsidRDefault="00C34FE7" w:rsidP="00C34FE7">
      <w:pPr>
        <w:numPr>
          <w:ilvl w:val="0"/>
          <w:numId w:val="13"/>
        </w:numPr>
        <w:rPr>
          <w:lang w:val="fr-FR"/>
        </w:rPr>
      </w:pPr>
      <w:r w:rsidRPr="00C34FE7">
        <w:rPr>
          <w:lang w:val="fr-FR"/>
        </w:rPr>
        <w:t>Assurer que ces rapports répondent aux exigences des partenaires du projet, en présentant une analyse claire de l'impact des activités par rapport aux objectifs définis.</w:t>
      </w:r>
    </w:p>
    <w:p w14:paraId="30224EC5" w14:textId="77777777" w:rsidR="00C34FE7" w:rsidRPr="00C34FE7" w:rsidRDefault="00C34FE7" w:rsidP="00C34FE7">
      <w:pPr>
        <w:rPr>
          <w:lang w:val="fr-FR"/>
        </w:rPr>
      </w:pPr>
      <w:r w:rsidRPr="00C34FE7">
        <w:rPr>
          <w:b/>
          <w:bCs/>
          <w:lang w:val="fr-FR"/>
        </w:rPr>
        <w:t>4. Réalisation d’une évaluation à mi-parcours :</w:t>
      </w:r>
    </w:p>
    <w:p w14:paraId="2F349CD5" w14:textId="77777777" w:rsidR="00C34FE7" w:rsidRPr="00C34FE7" w:rsidRDefault="00C34FE7" w:rsidP="00C34FE7">
      <w:pPr>
        <w:numPr>
          <w:ilvl w:val="0"/>
          <w:numId w:val="14"/>
        </w:numPr>
        <w:rPr>
          <w:lang w:val="fr-FR"/>
        </w:rPr>
      </w:pPr>
      <w:r w:rsidRPr="00C34FE7">
        <w:rPr>
          <w:lang w:val="fr-FR"/>
        </w:rPr>
        <w:t>Conduire une évaluation intermédiaire à mi-parcours pour analyser les progrès réalisés à ce stade, identifier les résultats atteints et les écarts éventuels par rapport aux prévisions.</w:t>
      </w:r>
    </w:p>
    <w:p w14:paraId="107152E0" w14:textId="77777777" w:rsidR="00C34FE7" w:rsidRPr="00C34FE7" w:rsidRDefault="00C34FE7" w:rsidP="00C34FE7">
      <w:pPr>
        <w:numPr>
          <w:ilvl w:val="0"/>
          <w:numId w:val="14"/>
        </w:numPr>
        <w:rPr>
          <w:lang w:val="fr-FR"/>
        </w:rPr>
      </w:pPr>
      <w:r w:rsidRPr="00C34FE7">
        <w:rPr>
          <w:lang w:val="fr-FR"/>
        </w:rPr>
        <w:t>Fournir des recommandations basées sur cette évaluation pour améliorer la gestion du projet dans la seconde moitié de la période d'exécution, et s'assurer que les objectifs finaux sont atteints.</w:t>
      </w:r>
    </w:p>
    <w:p w14:paraId="66851764" w14:textId="77777777" w:rsidR="00C34FE7" w:rsidRPr="00C34FE7" w:rsidRDefault="00C34FE7" w:rsidP="00C34FE7">
      <w:pPr>
        <w:rPr>
          <w:lang w:val="fr-FR"/>
        </w:rPr>
      </w:pPr>
      <w:r w:rsidRPr="00C34FE7">
        <w:rPr>
          <w:b/>
          <w:bCs/>
          <w:lang w:val="fr-FR"/>
        </w:rPr>
        <w:t>5. Élaboration d’un rapport final de synthèse :</w:t>
      </w:r>
    </w:p>
    <w:p w14:paraId="1ADF4420" w14:textId="77777777" w:rsidR="00C34FE7" w:rsidRPr="00C34FE7" w:rsidRDefault="00C34FE7" w:rsidP="00C34FE7">
      <w:pPr>
        <w:numPr>
          <w:ilvl w:val="0"/>
          <w:numId w:val="15"/>
        </w:numPr>
        <w:rPr>
          <w:lang w:val="fr-FR"/>
        </w:rPr>
      </w:pPr>
      <w:r w:rsidRPr="00C34FE7">
        <w:rPr>
          <w:lang w:val="fr-FR"/>
        </w:rPr>
        <w:t>À la fin du projet, réaliser une évaluation complète de l’impact du projet, en analysant les données recueillies tout au long de la mise en œuvre.</w:t>
      </w:r>
    </w:p>
    <w:p w14:paraId="02454F94" w14:textId="77777777" w:rsidR="00C34FE7" w:rsidRPr="00C34FE7" w:rsidRDefault="00C34FE7" w:rsidP="00C34FE7">
      <w:pPr>
        <w:numPr>
          <w:ilvl w:val="0"/>
          <w:numId w:val="15"/>
        </w:numPr>
        <w:rPr>
          <w:lang w:val="fr-FR"/>
        </w:rPr>
      </w:pPr>
      <w:r w:rsidRPr="00C34FE7">
        <w:rPr>
          <w:lang w:val="fr-FR"/>
        </w:rPr>
        <w:t>Rédiger un rapport final de synthèse, mettant en lumière les succès du projet, les leçons apprises, ainsi que les recommandations pour la pérennisation des actions d'aide légale dans le futur. Ce rapport doit inclure une analyse approfondie de l'efficience des ressources mobilisées et de la durabilité des résultats obtenus.</w:t>
      </w:r>
    </w:p>
    <w:p w14:paraId="380A8CF9" w14:textId="77777777" w:rsidR="00C34FE7" w:rsidRPr="00C34FE7" w:rsidRDefault="00C34FE7" w:rsidP="00C34FE7">
      <w:pPr>
        <w:rPr>
          <w:lang w:val="fr-FR"/>
        </w:rPr>
      </w:pPr>
      <w:r w:rsidRPr="00C34FE7">
        <w:rPr>
          <w:b/>
          <w:bCs/>
          <w:lang w:val="fr-FR"/>
        </w:rPr>
        <w:t>6. Suivi et amélioration continue des indicateurs de performance :</w:t>
      </w:r>
    </w:p>
    <w:p w14:paraId="07CF0CBF" w14:textId="77777777" w:rsidR="00C34FE7" w:rsidRPr="00C34FE7" w:rsidRDefault="00C34FE7" w:rsidP="00C34FE7">
      <w:pPr>
        <w:numPr>
          <w:ilvl w:val="0"/>
          <w:numId w:val="16"/>
        </w:numPr>
        <w:rPr>
          <w:lang w:val="fr-FR"/>
        </w:rPr>
      </w:pPr>
      <w:r w:rsidRPr="00C34FE7">
        <w:rPr>
          <w:lang w:val="fr-FR"/>
        </w:rPr>
        <w:t>Assurer le suivi régulier des indicateurs de performance clés, en ajustant ces indicateurs si nécessaire pour mieux refléter les besoins du projet et les évolutions sur le terrain.</w:t>
      </w:r>
    </w:p>
    <w:p w14:paraId="2D28AF2A" w14:textId="77777777" w:rsidR="00C34FE7" w:rsidRPr="00C34FE7" w:rsidRDefault="00C34FE7" w:rsidP="00C34FE7">
      <w:pPr>
        <w:numPr>
          <w:ilvl w:val="0"/>
          <w:numId w:val="16"/>
        </w:numPr>
        <w:rPr>
          <w:lang w:val="fr-FR"/>
        </w:rPr>
      </w:pPr>
      <w:r w:rsidRPr="00C34FE7">
        <w:rPr>
          <w:lang w:val="fr-FR"/>
        </w:rPr>
        <w:t>Proposer des améliorations méthodologiques dans les pratiques de suivi et évaluation afin de garantir une mesure précise de l’impact du projet et une meilleure allocation des ressources.</w:t>
      </w:r>
    </w:p>
    <w:p w14:paraId="0CD4A571" w14:textId="77777777" w:rsidR="00C34FE7" w:rsidRPr="00C34FE7" w:rsidRDefault="00C34FE7" w:rsidP="00C34FE7">
      <w:pPr>
        <w:rPr>
          <w:lang w:val="fr-FR"/>
        </w:rPr>
      </w:pPr>
      <w:r w:rsidRPr="00C34FE7">
        <w:rPr>
          <w:b/>
          <w:bCs/>
          <w:lang w:val="fr-FR"/>
        </w:rPr>
        <w:t>7. Réalisation d’entretiens avec les parties prenantes et les bénéficiaires :</w:t>
      </w:r>
    </w:p>
    <w:p w14:paraId="54DBA8F4" w14:textId="77777777" w:rsidR="00C34FE7" w:rsidRPr="00C34FE7" w:rsidRDefault="00C34FE7" w:rsidP="00C34FE7">
      <w:pPr>
        <w:numPr>
          <w:ilvl w:val="0"/>
          <w:numId w:val="17"/>
        </w:numPr>
        <w:rPr>
          <w:lang w:val="fr-FR"/>
        </w:rPr>
      </w:pPr>
      <w:r w:rsidRPr="00C34FE7">
        <w:rPr>
          <w:lang w:val="fr-FR"/>
        </w:rPr>
        <w:t>Réaliser des entretiens réguliers avec les bénéficiaires, les partenaires locaux, les autorités publiques et autres parties prenantes pour recueillir leurs avis sur l’implémentation du projet.</w:t>
      </w:r>
    </w:p>
    <w:p w14:paraId="09ED8EBB" w14:textId="77777777" w:rsidR="00C34FE7" w:rsidRPr="00C34FE7" w:rsidRDefault="00C34FE7" w:rsidP="00C34FE7">
      <w:pPr>
        <w:numPr>
          <w:ilvl w:val="0"/>
          <w:numId w:val="17"/>
        </w:numPr>
        <w:rPr>
          <w:lang w:val="fr-FR"/>
        </w:rPr>
      </w:pPr>
      <w:r w:rsidRPr="00C34FE7">
        <w:rPr>
          <w:lang w:val="fr-FR"/>
        </w:rPr>
        <w:t>Intégrer ces avis dans les rapports périodiques et le rapport final pour une évaluation complète et participative.</w:t>
      </w:r>
    </w:p>
    <w:p w14:paraId="79895999" w14:textId="77777777" w:rsidR="00C34FE7" w:rsidRPr="00C34FE7" w:rsidRDefault="00C34FE7" w:rsidP="00C34FE7">
      <w:pPr>
        <w:rPr>
          <w:lang w:val="fr-FR"/>
        </w:rPr>
      </w:pPr>
      <w:r w:rsidRPr="00C34FE7">
        <w:rPr>
          <w:b/>
          <w:bCs/>
          <w:lang w:val="fr-FR"/>
        </w:rPr>
        <w:lastRenderedPageBreak/>
        <w:t>8. Identification des leçons apprises et des meilleures pratiques :</w:t>
      </w:r>
    </w:p>
    <w:p w14:paraId="253F2F3B" w14:textId="77777777" w:rsidR="00C34FE7" w:rsidRPr="00C34FE7" w:rsidRDefault="00C34FE7" w:rsidP="00C34FE7">
      <w:pPr>
        <w:numPr>
          <w:ilvl w:val="0"/>
          <w:numId w:val="18"/>
        </w:numPr>
        <w:rPr>
          <w:lang w:val="fr-FR"/>
        </w:rPr>
      </w:pPr>
      <w:r w:rsidRPr="00C34FE7">
        <w:rPr>
          <w:lang w:val="fr-FR"/>
        </w:rPr>
        <w:t>Identifier les bonnes pratiques et les leçons apprises tout au long de la mise en œuvre du projet afin de les partager avec l'équipe du projet et les partenaires pour une utilisation dans de futurs projets.</w:t>
      </w:r>
    </w:p>
    <w:p w14:paraId="0403AC99" w14:textId="77777777" w:rsidR="00C34FE7" w:rsidRPr="00C34FE7" w:rsidRDefault="00C34FE7" w:rsidP="00C34FE7">
      <w:pPr>
        <w:numPr>
          <w:ilvl w:val="0"/>
          <w:numId w:val="18"/>
        </w:numPr>
        <w:rPr>
          <w:lang w:val="fr-FR"/>
        </w:rPr>
      </w:pPr>
      <w:r w:rsidRPr="00C34FE7">
        <w:rPr>
          <w:lang w:val="fr-FR"/>
        </w:rPr>
        <w:t>Formuler des recommandations pour renforcer l’impact, l'efficacité et la durabilité des actions similaires à l’avenir.</w:t>
      </w:r>
    </w:p>
    <w:p w14:paraId="56E0FFA8" w14:textId="7C7F20D1" w:rsidR="00FA56C7" w:rsidRDefault="00C34FE7" w:rsidP="007E4187">
      <w:pPr>
        <w:pStyle w:val="Titre2"/>
      </w:pPr>
      <w:r>
        <w:t>Livrables</w:t>
      </w:r>
      <w:r w:rsidR="00C1211D">
        <w:t xml:space="preserve"> </w:t>
      </w:r>
      <w:r w:rsidR="006B0CB9">
        <w:t>attendus</w:t>
      </w:r>
      <w:r w:rsidR="007E7D41">
        <w:t xml:space="preserve"> et modalités de paiement</w:t>
      </w:r>
      <w:r w:rsidR="00C1211D">
        <w:t> :</w:t>
      </w:r>
    </w:p>
    <w:p w14:paraId="78F59D96" w14:textId="6D5D82F4" w:rsidR="007E4187" w:rsidRPr="007E4187" w:rsidRDefault="00C01440" w:rsidP="007E4187">
      <w:pPr>
        <w:rPr>
          <w:lang w:val="fr-FR"/>
        </w:rPr>
      </w:pPr>
      <w:r>
        <w:rPr>
          <w:lang w:val="fr-FR"/>
        </w:rPr>
        <w:t>Le paiement</w:t>
      </w:r>
      <w:r w:rsidR="00561417">
        <w:rPr>
          <w:lang w:val="fr-FR"/>
        </w:rPr>
        <w:t xml:space="preserve"> </w:t>
      </w:r>
      <w:r w:rsidR="00561417" w:rsidRPr="00561417">
        <w:rPr>
          <w:lang w:val="fr-FR"/>
        </w:rPr>
        <w:t>sera effectué selon l’échéancier suivant</w:t>
      </w:r>
      <w:r w:rsidR="007E7D41">
        <w:rPr>
          <w:lang w:val="fr-FR"/>
        </w:rPr>
        <w:t xml:space="preserve"> </w:t>
      </w:r>
      <w:proofErr w:type="gramStart"/>
      <w:r w:rsidR="00DC27F8">
        <w:rPr>
          <w:lang w:val="fr-FR"/>
        </w:rPr>
        <w:t>suite à</w:t>
      </w:r>
      <w:proofErr w:type="gramEnd"/>
      <w:r w:rsidR="007E7D41">
        <w:rPr>
          <w:lang w:val="fr-FR"/>
        </w:rPr>
        <w:t xml:space="preserve"> la livraison et la validation des livrables indiqués</w:t>
      </w:r>
      <w:r w:rsidR="001A1F64">
        <w:rPr>
          <w:lang w:val="fr-FR"/>
        </w:rPr>
        <w:t> :</w:t>
      </w:r>
    </w:p>
    <w:tbl>
      <w:tblPr>
        <w:tblStyle w:val="Grilledutableau"/>
        <w:tblW w:w="0" w:type="auto"/>
        <w:tblLook w:val="04A0" w:firstRow="1" w:lastRow="0" w:firstColumn="1" w:lastColumn="0" w:noHBand="0" w:noVBand="1"/>
      </w:tblPr>
      <w:tblGrid>
        <w:gridCol w:w="1129"/>
        <w:gridCol w:w="4678"/>
        <w:gridCol w:w="1701"/>
        <w:gridCol w:w="1554"/>
      </w:tblGrid>
      <w:tr w:rsidR="004D4CE5" w:rsidRPr="00C934D3" w14:paraId="3DC9DC09" w14:textId="77777777" w:rsidTr="0095461E">
        <w:tc>
          <w:tcPr>
            <w:tcW w:w="1129" w:type="dxa"/>
            <w:shd w:val="clear" w:color="auto" w:fill="8EAADB" w:themeFill="accent1" w:themeFillTint="99"/>
            <w:vAlign w:val="center"/>
          </w:tcPr>
          <w:p w14:paraId="0E670B15" w14:textId="2C1E4B12" w:rsidR="004D4CE5" w:rsidRPr="00C934D3" w:rsidRDefault="004D4CE5" w:rsidP="00EB0A32">
            <w:pPr>
              <w:jc w:val="center"/>
              <w:rPr>
                <w:b/>
                <w:bCs/>
              </w:rPr>
            </w:pPr>
            <w:r>
              <w:rPr>
                <w:b/>
                <w:bCs/>
              </w:rPr>
              <w:t>Trimestre</w:t>
            </w:r>
          </w:p>
        </w:tc>
        <w:tc>
          <w:tcPr>
            <w:tcW w:w="4678" w:type="dxa"/>
            <w:shd w:val="clear" w:color="auto" w:fill="8EAADB" w:themeFill="accent1" w:themeFillTint="99"/>
            <w:vAlign w:val="center"/>
          </w:tcPr>
          <w:p w14:paraId="2220F089" w14:textId="1741CFC5" w:rsidR="004D4CE5" w:rsidRPr="00C934D3" w:rsidRDefault="004D4CE5" w:rsidP="00EB0A32">
            <w:pPr>
              <w:jc w:val="center"/>
              <w:rPr>
                <w:b/>
                <w:bCs/>
              </w:rPr>
            </w:pPr>
            <w:r w:rsidRPr="00C934D3">
              <w:rPr>
                <w:b/>
                <w:bCs/>
              </w:rPr>
              <w:t>Livrables</w:t>
            </w:r>
          </w:p>
        </w:tc>
        <w:tc>
          <w:tcPr>
            <w:tcW w:w="1701" w:type="dxa"/>
            <w:shd w:val="clear" w:color="auto" w:fill="8EAADB" w:themeFill="accent1" w:themeFillTint="99"/>
            <w:vAlign w:val="center"/>
          </w:tcPr>
          <w:p w14:paraId="64B86B51" w14:textId="3DBD94C4" w:rsidR="004D4CE5" w:rsidRPr="00C934D3" w:rsidRDefault="004D4CE5" w:rsidP="00EB0A32">
            <w:pPr>
              <w:jc w:val="center"/>
              <w:rPr>
                <w:b/>
                <w:bCs/>
              </w:rPr>
            </w:pPr>
            <w:r w:rsidRPr="00C934D3">
              <w:rPr>
                <w:b/>
                <w:bCs/>
              </w:rPr>
              <w:t>Nbr</w:t>
            </w:r>
            <w:r w:rsidR="0095461E">
              <w:rPr>
                <w:b/>
                <w:bCs/>
              </w:rPr>
              <w:t>e de</w:t>
            </w:r>
            <w:r w:rsidRPr="00C934D3">
              <w:rPr>
                <w:b/>
                <w:bCs/>
              </w:rPr>
              <w:t xml:space="preserve"> </w:t>
            </w:r>
            <w:r w:rsidR="0095461E">
              <w:rPr>
                <w:b/>
                <w:bCs/>
              </w:rPr>
              <w:t>j</w:t>
            </w:r>
            <w:r w:rsidRPr="00C934D3">
              <w:rPr>
                <w:b/>
                <w:bCs/>
              </w:rPr>
              <w:t xml:space="preserve">ours </w:t>
            </w:r>
            <w:r w:rsidR="0095461E">
              <w:rPr>
                <w:b/>
                <w:bCs/>
              </w:rPr>
              <w:t xml:space="preserve">de </w:t>
            </w:r>
            <w:r w:rsidRPr="00C934D3">
              <w:rPr>
                <w:b/>
                <w:bCs/>
              </w:rPr>
              <w:t>travail</w:t>
            </w:r>
          </w:p>
        </w:tc>
        <w:tc>
          <w:tcPr>
            <w:tcW w:w="1554" w:type="dxa"/>
            <w:shd w:val="clear" w:color="auto" w:fill="8EAADB" w:themeFill="accent1" w:themeFillTint="99"/>
            <w:vAlign w:val="center"/>
          </w:tcPr>
          <w:p w14:paraId="3F15AE3B" w14:textId="4FD871A8" w:rsidR="004D4CE5" w:rsidRPr="00C934D3" w:rsidRDefault="00561417" w:rsidP="00EB0A32">
            <w:pPr>
              <w:jc w:val="center"/>
              <w:rPr>
                <w:b/>
                <w:bCs/>
              </w:rPr>
            </w:pPr>
            <w:r w:rsidRPr="00C934D3">
              <w:rPr>
                <w:b/>
                <w:bCs/>
              </w:rPr>
              <w:t>Échéance</w:t>
            </w:r>
            <w:r w:rsidR="004D4CE5" w:rsidRPr="00C934D3">
              <w:rPr>
                <w:b/>
                <w:bCs/>
              </w:rPr>
              <w:t xml:space="preserve"> estimative</w:t>
            </w:r>
          </w:p>
        </w:tc>
      </w:tr>
      <w:tr w:rsidR="004D4CE5" w14:paraId="11A8E6EB" w14:textId="77777777" w:rsidTr="0095461E">
        <w:tc>
          <w:tcPr>
            <w:tcW w:w="1129" w:type="dxa"/>
            <w:vAlign w:val="center"/>
          </w:tcPr>
          <w:p w14:paraId="040B0D81" w14:textId="771F989D" w:rsidR="004D4CE5" w:rsidRDefault="004D4CE5" w:rsidP="00EB0A32">
            <w:pPr>
              <w:jc w:val="center"/>
            </w:pPr>
            <w:r>
              <w:t>T1</w:t>
            </w:r>
          </w:p>
        </w:tc>
        <w:tc>
          <w:tcPr>
            <w:tcW w:w="4678" w:type="dxa"/>
            <w:vAlign w:val="center"/>
          </w:tcPr>
          <w:p w14:paraId="3711C53C" w14:textId="1BE7A1D6" w:rsidR="004D4CE5" w:rsidRDefault="004D4CE5" w:rsidP="00EB0A32">
            <w:r w:rsidRPr="00963E7E">
              <w:t>Un cadre de suivi et d’évaluation conçu et opérationnel, intégrant des indicateurs quantitatifs et qualitatifs et les outils de collecte, vérification et analyse des données</w:t>
            </w:r>
          </w:p>
        </w:tc>
        <w:tc>
          <w:tcPr>
            <w:tcW w:w="1701" w:type="dxa"/>
            <w:vAlign w:val="center"/>
          </w:tcPr>
          <w:p w14:paraId="3FC8718D" w14:textId="219CA5C3" w:rsidR="004D4CE5" w:rsidRDefault="004D4CE5" w:rsidP="00EB0A32">
            <w:pPr>
              <w:jc w:val="center"/>
            </w:pPr>
            <w:r>
              <w:t>10 j</w:t>
            </w:r>
          </w:p>
        </w:tc>
        <w:tc>
          <w:tcPr>
            <w:tcW w:w="1554" w:type="dxa"/>
            <w:vAlign w:val="center"/>
          </w:tcPr>
          <w:p w14:paraId="62C744D7" w14:textId="5BEC1E4B" w:rsidR="004D4CE5" w:rsidRDefault="004D4CE5" w:rsidP="00EB0A32">
            <w:pPr>
              <w:jc w:val="center"/>
            </w:pPr>
            <w:r>
              <w:t>Déc. 2024</w:t>
            </w:r>
          </w:p>
        </w:tc>
      </w:tr>
      <w:tr w:rsidR="004D4CE5" w14:paraId="408740D7" w14:textId="77777777" w:rsidTr="0095461E">
        <w:tc>
          <w:tcPr>
            <w:tcW w:w="1129" w:type="dxa"/>
            <w:vAlign w:val="center"/>
          </w:tcPr>
          <w:p w14:paraId="17AF6DAF" w14:textId="2409F453" w:rsidR="004D4CE5" w:rsidRDefault="004D4CE5" w:rsidP="00EB0A32">
            <w:pPr>
              <w:jc w:val="center"/>
            </w:pPr>
            <w:r>
              <w:t>T2</w:t>
            </w:r>
          </w:p>
        </w:tc>
        <w:tc>
          <w:tcPr>
            <w:tcW w:w="4678" w:type="dxa"/>
            <w:vAlign w:val="center"/>
          </w:tcPr>
          <w:p w14:paraId="400FA1C6" w14:textId="4AD2C156" w:rsidR="004D4CE5" w:rsidRDefault="004D4CE5" w:rsidP="00EB0A32">
            <w:r>
              <w:t>R</w:t>
            </w:r>
            <w:r w:rsidRPr="00E4276C">
              <w:t>apports de suivi périodiques (mensuels ou trimestriels) détaillant l'avancement des activités, les résultats atteints, et les éventuels ajustements nécessaires</w:t>
            </w:r>
          </w:p>
        </w:tc>
        <w:tc>
          <w:tcPr>
            <w:tcW w:w="1701" w:type="dxa"/>
            <w:vAlign w:val="center"/>
          </w:tcPr>
          <w:p w14:paraId="32BE028C" w14:textId="5380D15C" w:rsidR="004D4CE5" w:rsidRDefault="004D4CE5" w:rsidP="00EB0A32">
            <w:pPr>
              <w:jc w:val="center"/>
            </w:pPr>
            <w:r>
              <w:t>7,5 j</w:t>
            </w:r>
          </w:p>
        </w:tc>
        <w:tc>
          <w:tcPr>
            <w:tcW w:w="1554" w:type="dxa"/>
            <w:vAlign w:val="center"/>
          </w:tcPr>
          <w:p w14:paraId="1437ECE1" w14:textId="653C19AE" w:rsidR="004D4CE5" w:rsidRDefault="004D4CE5" w:rsidP="00EB0A32">
            <w:pPr>
              <w:jc w:val="center"/>
            </w:pPr>
            <w:r>
              <w:t>Mars 2025</w:t>
            </w:r>
          </w:p>
        </w:tc>
      </w:tr>
      <w:tr w:rsidR="0095461E" w14:paraId="46BDF518" w14:textId="77777777" w:rsidTr="0095461E">
        <w:tc>
          <w:tcPr>
            <w:tcW w:w="1129" w:type="dxa"/>
            <w:vAlign w:val="center"/>
          </w:tcPr>
          <w:p w14:paraId="1FCF4E6D" w14:textId="64D99EB2" w:rsidR="0095461E" w:rsidRDefault="0095461E" w:rsidP="00EB0A32">
            <w:pPr>
              <w:jc w:val="center"/>
            </w:pPr>
            <w:r>
              <w:t>T3</w:t>
            </w:r>
          </w:p>
        </w:tc>
        <w:tc>
          <w:tcPr>
            <w:tcW w:w="4678" w:type="dxa"/>
            <w:vAlign w:val="center"/>
          </w:tcPr>
          <w:p w14:paraId="6F0068A9" w14:textId="2C0310FB" w:rsidR="0095461E" w:rsidRDefault="0095461E" w:rsidP="00EB0A32">
            <w:r w:rsidRPr="00E4276C">
              <w:t>Un rapport de mi-parcours incluant une évaluation intermédiaire des résultats, défis et perspectives pour la suite du projet</w:t>
            </w:r>
          </w:p>
        </w:tc>
        <w:tc>
          <w:tcPr>
            <w:tcW w:w="1701" w:type="dxa"/>
            <w:vAlign w:val="center"/>
          </w:tcPr>
          <w:p w14:paraId="7DBC1D04" w14:textId="059C8BE8" w:rsidR="0095461E" w:rsidRDefault="0095461E" w:rsidP="00EB0A32">
            <w:pPr>
              <w:jc w:val="center"/>
            </w:pPr>
            <w:r>
              <w:t>10 j</w:t>
            </w:r>
          </w:p>
        </w:tc>
        <w:tc>
          <w:tcPr>
            <w:tcW w:w="1554" w:type="dxa"/>
            <w:vAlign w:val="center"/>
          </w:tcPr>
          <w:p w14:paraId="324CC8BE" w14:textId="23EAF062" w:rsidR="0095461E" w:rsidRDefault="0095461E" w:rsidP="00EB0A32">
            <w:pPr>
              <w:jc w:val="center"/>
            </w:pPr>
            <w:r>
              <w:t>Juin 2025</w:t>
            </w:r>
          </w:p>
        </w:tc>
      </w:tr>
      <w:tr w:rsidR="0095461E" w14:paraId="206968FD" w14:textId="77777777" w:rsidTr="0095461E">
        <w:tc>
          <w:tcPr>
            <w:tcW w:w="1129" w:type="dxa"/>
            <w:vAlign w:val="center"/>
          </w:tcPr>
          <w:p w14:paraId="00706BEB" w14:textId="3864A59D" w:rsidR="0095461E" w:rsidRDefault="0095461E" w:rsidP="00EB0A32">
            <w:pPr>
              <w:jc w:val="center"/>
            </w:pPr>
            <w:r>
              <w:t>T4</w:t>
            </w:r>
          </w:p>
        </w:tc>
        <w:tc>
          <w:tcPr>
            <w:tcW w:w="4678" w:type="dxa"/>
            <w:vAlign w:val="center"/>
          </w:tcPr>
          <w:p w14:paraId="73E8D3CF" w14:textId="7085DA22" w:rsidR="0095461E" w:rsidRDefault="0095461E" w:rsidP="00EB0A32">
            <w:r>
              <w:t>R</w:t>
            </w:r>
            <w:r w:rsidRPr="00963E7E">
              <w:t>apports de suivi périodiques (mensuels ou trimestriels) détaillant l'avancement des activités, les résultats atteints, et les éventuels ajustements nécessaires</w:t>
            </w:r>
          </w:p>
        </w:tc>
        <w:tc>
          <w:tcPr>
            <w:tcW w:w="1701" w:type="dxa"/>
            <w:vAlign w:val="center"/>
          </w:tcPr>
          <w:p w14:paraId="4612AA4E" w14:textId="61674D65" w:rsidR="0095461E" w:rsidRDefault="0095461E" w:rsidP="00EB0A32">
            <w:pPr>
              <w:jc w:val="center"/>
            </w:pPr>
            <w:r>
              <w:t>7,5 j</w:t>
            </w:r>
          </w:p>
        </w:tc>
        <w:tc>
          <w:tcPr>
            <w:tcW w:w="1554" w:type="dxa"/>
            <w:vAlign w:val="center"/>
          </w:tcPr>
          <w:p w14:paraId="39A8EBC3" w14:textId="5A4913D9" w:rsidR="0095461E" w:rsidRDefault="0095461E" w:rsidP="00EB0A32">
            <w:pPr>
              <w:jc w:val="center"/>
            </w:pPr>
            <w:r>
              <w:t>Sept. 2025</w:t>
            </w:r>
          </w:p>
        </w:tc>
      </w:tr>
      <w:tr w:rsidR="0095461E" w14:paraId="747B7051" w14:textId="77777777" w:rsidTr="0095461E">
        <w:tc>
          <w:tcPr>
            <w:tcW w:w="1129" w:type="dxa"/>
            <w:vAlign w:val="center"/>
          </w:tcPr>
          <w:p w14:paraId="06ED80E3" w14:textId="0E61C5B4" w:rsidR="0095461E" w:rsidRDefault="0095461E" w:rsidP="00EB0A32">
            <w:pPr>
              <w:jc w:val="center"/>
            </w:pPr>
            <w:r>
              <w:t>T5</w:t>
            </w:r>
          </w:p>
        </w:tc>
        <w:tc>
          <w:tcPr>
            <w:tcW w:w="4678" w:type="dxa"/>
            <w:vAlign w:val="center"/>
          </w:tcPr>
          <w:p w14:paraId="6076492C" w14:textId="20385434" w:rsidR="0095461E" w:rsidRDefault="0095461E" w:rsidP="00EB0A32">
            <w:r w:rsidRPr="00101DEE">
              <w:t>Un rapport final de synthèse présentant une évaluation complète du projet, des recommandations et des suggestions pour la pérennisation des actions</w:t>
            </w:r>
          </w:p>
        </w:tc>
        <w:tc>
          <w:tcPr>
            <w:tcW w:w="1701" w:type="dxa"/>
            <w:vAlign w:val="center"/>
          </w:tcPr>
          <w:p w14:paraId="34E20C7B" w14:textId="0E479DDA" w:rsidR="0095461E" w:rsidRDefault="0095461E" w:rsidP="00EB0A32">
            <w:pPr>
              <w:jc w:val="center"/>
            </w:pPr>
            <w:r>
              <w:t>10 j</w:t>
            </w:r>
          </w:p>
        </w:tc>
        <w:tc>
          <w:tcPr>
            <w:tcW w:w="1554" w:type="dxa"/>
            <w:vAlign w:val="center"/>
          </w:tcPr>
          <w:p w14:paraId="7263A9F1" w14:textId="2299B081" w:rsidR="0095461E" w:rsidRDefault="0095461E" w:rsidP="00EB0A32">
            <w:pPr>
              <w:jc w:val="center"/>
            </w:pPr>
            <w:r>
              <w:t>Déc. 202</w:t>
            </w:r>
            <w:r>
              <w:t>5</w:t>
            </w:r>
          </w:p>
        </w:tc>
      </w:tr>
    </w:tbl>
    <w:p w14:paraId="385067B4" w14:textId="77777777" w:rsidR="001A1F64" w:rsidRDefault="001A1F64" w:rsidP="001A1F64"/>
    <w:p w14:paraId="0AD751E7" w14:textId="3775ABE6" w:rsidR="00C1211D" w:rsidRDefault="000071AA" w:rsidP="00C1211D">
      <w:pPr>
        <w:pStyle w:val="Titre1"/>
        <w:jc w:val="both"/>
      </w:pPr>
      <w:r>
        <w:t>Qualifications requises</w:t>
      </w:r>
      <w:r w:rsidR="00C1211D">
        <w:t> :</w:t>
      </w:r>
    </w:p>
    <w:p w14:paraId="6C86BF55" w14:textId="77777777" w:rsidR="00C1211D" w:rsidRPr="00B775CD" w:rsidRDefault="00C1211D" w:rsidP="00F504D0">
      <w:pPr>
        <w:pStyle w:val="Paragraphedeliste"/>
        <w:numPr>
          <w:ilvl w:val="0"/>
          <w:numId w:val="2"/>
        </w:numPr>
        <w:ind w:left="142" w:hanging="142"/>
        <w:contextualSpacing w:val="0"/>
        <w:jc w:val="both"/>
      </w:pPr>
      <w:r w:rsidRPr="00B775CD">
        <w:t xml:space="preserve">Diplôme universitaire </w:t>
      </w:r>
      <w:r>
        <w:t>dans une spécialité pertinente, un master ou plus serait un atout.</w:t>
      </w:r>
    </w:p>
    <w:p w14:paraId="08670E54" w14:textId="48E93263" w:rsidR="00C1211D" w:rsidRDefault="00BD0FA1" w:rsidP="00F504D0">
      <w:pPr>
        <w:pStyle w:val="Paragraphedeliste"/>
        <w:numPr>
          <w:ilvl w:val="0"/>
          <w:numId w:val="2"/>
        </w:numPr>
        <w:ind w:left="142" w:hanging="142"/>
        <w:contextualSpacing w:val="0"/>
        <w:jc w:val="both"/>
      </w:pPr>
      <w:r>
        <w:t xml:space="preserve">Au moins </w:t>
      </w:r>
      <w:r w:rsidR="00C1211D">
        <w:t>3</w:t>
      </w:r>
      <w:r w:rsidR="00C1211D" w:rsidRPr="00B775CD">
        <w:t xml:space="preserve"> ans d’expérience professionnelle </w:t>
      </w:r>
      <w:r w:rsidR="006933B7" w:rsidRPr="006933B7">
        <w:rPr>
          <w:lang w:val="fr-FR"/>
        </w:rPr>
        <w:t>avérée dans le suivi et l'évaluation de projets, idéalement dans les domaines des droits humains, de l’aide légale ou de la société civile</w:t>
      </w:r>
      <w:r w:rsidR="00C1211D">
        <w:t>.</w:t>
      </w:r>
    </w:p>
    <w:p w14:paraId="749D617D" w14:textId="77777777" w:rsidR="00C1211D" w:rsidRDefault="00C1211D" w:rsidP="00F504D0">
      <w:pPr>
        <w:pStyle w:val="Paragraphedeliste"/>
        <w:numPr>
          <w:ilvl w:val="0"/>
          <w:numId w:val="2"/>
        </w:numPr>
        <w:ind w:left="142" w:hanging="142"/>
        <w:contextualSpacing w:val="0"/>
        <w:jc w:val="both"/>
      </w:pPr>
      <w:r>
        <w:t>Des expériences professionnelles avec des organisations de la société civile et/ou des agences onusiennes.</w:t>
      </w:r>
    </w:p>
    <w:p w14:paraId="2B37E8E8" w14:textId="0F0AB216" w:rsidR="00187622" w:rsidRPr="00187622" w:rsidRDefault="00187622" w:rsidP="00F504D0">
      <w:pPr>
        <w:pStyle w:val="Paragraphedeliste"/>
        <w:numPr>
          <w:ilvl w:val="0"/>
          <w:numId w:val="2"/>
        </w:numPr>
        <w:ind w:left="142" w:hanging="142"/>
        <w:contextualSpacing w:val="0"/>
        <w:jc w:val="both"/>
        <w:rPr>
          <w:lang w:val="fr-FR"/>
        </w:rPr>
      </w:pPr>
      <w:r w:rsidRPr="00187622">
        <w:rPr>
          <w:lang w:val="fr-FR"/>
        </w:rPr>
        <w:t>Maîtrise des outils de suivi et évaluation, y compris la conception de cadres logiques et l’utilisation d’indicateurs clés de performance.</w:t>
      </w:r>
    </w:p>
    <w:p w14:paraId="54B1E25C" w14:textId="1AEEE30D" w:rsidR="00C1211D" w:rsidRPr="00B775CD" w:rsidRDefault="00187622" w:rsidP="00F504D0">
      <w:pPr>
        <w:pStyle w:val="Paragraphedeliste"/>
        <w:numPr>
          <w:ilvl w:val="0"/>
          <w:numId w:val="2"/>
        </w:numPr>
        <w:ind w:left="142" w:hanging="142"/>
        <w:contextualSpacing w:val="0"/>
        <w:jc w:val="both"/>
      </w:pPr>
      <w:r w:rsidRPr="00187622">
        <w:rPr>
          <w:lang w:val="fr-FR"/>
        </w:rPr>
        <w:t>Compétences en rédaction de rapports et en présentation des résultats aux partenaires</w:t>
      </w:r>
      <w:r w:rsidR="00C1211D">
        <w:t>.</w:t>
      </w:r>
    </w:p>
    <w:p w14:paraId="4745B744" w14:textId="77777777" w:rsidR="00C1211D" w:rsidRDefault="00C1211D" w:rsidP="00F504D0">
      <w:pPr>
        <w:pStyle w:val="Paragraphedeliste"/>
        <w:numPr>
          <w:ilvl w:val="0"/>
          <w:numId w:val="2"/>
        </w:numPr>
        <w:ind w:left="142" w:hanging="142"/>
        <w:contextualSpacing w:val="0"/>
        <w:jc w:val="both"/>
      </w:pPr>
      <w:r w:rsidRPr="00B775CD">
        <w:lastRenderedPageBreak/>
        <w:t>Excellente communication (orale et écrite) en arabe et français exigée.</w:t>
      </w:r>
    </w:p>
    <w:p w14:paraId="58948F5B" w14:textId="77777777" w:rsidR="00C1211D" w:rsidRDefault="00C1211D" w:rsidP="00F504D0">
      <w:pPr>
        <w:pStyle w:val="Paragraphedeliste"/>
        <w:numPr>
          <w:ilvl w:val="0"/>
          <w:numId w:val="2"/>
        </w:numPr>
        <w:ind w:left="142" w:hanging="142"/>
        <w:contextualSpacing w:val="0"/>
        <w:jc w:val="both"/>
      </w:pPr>
      <w:r w:rsidRPr="00B775CD">
        <w:t xml:space="preserve">Excellente </w:t>
      </w:r>
      <w:r>
        <w:t>capacité analytique et rédactionnelle exigée.</w:t>
      </w:r>
    </w:p>
    <w:p w14:paraId="12E8042F" w14:textId="282BCAB2" w:rsidR="00FD53E1" w:rsidRDefault="00FD53E1" w:rsidP="00F504D0">
      <w:pPr>
        <w:pStyle w:val="Paragraphedeliste"/>
        <w:numPr>
          <w:ilvl w:val="0"/>
          <w:numId w:val="2"/>
        </w:numPr>
        <w:ind w:left="142" w:hanging="142"/>
        <w:contextualSpacing w:val="0"/>
        <w:jc w:val="both"/>
      </w:pPr>
      <w:r w:rsidRPr="00FD53E1">
        <w:rPr>
          <w:lang w:val="fr-FR"/>
        </w:rPr>
        <w:t>Excellentes aptitudes de communication et capacité à travailler en équipe avec des parties prenantes variées</w:t>
      </w:r>
      <w:r>
        <w:rPr>
          <w:lang w:val="fr-FR"/>
        </w:rPr>
        <w:t>.</w:t>
      </w:r>
    </w:p>
    <w:p w14:paraId="564C863A" w14:textId="77777777" w:rsidR="00C1211D" w:rsidRDefault="00C1211D" w:rsidP="00F504D0">
      <w:pPr>
        <w:pStyle w:val="Paragraphedeliste"/>
        <w:numPr>
          <w:ilvl w:val="0"/>
          <w:numId w:val="2"/>
        </w:numPr>
        <w:ind w:left="142" w:hanging="142"/>
        <w:contextualSpacing w:val="0"/>
        <w:jc w:val="both"/>
      </w:pPr>
      <w:r>
        <w:t>Haute disponibilité et d</w:t>
      </w:r>
      <w:r w:rsidRPr="00D265A7">
        <w:t xml:space="preserve">isposition à se déplacer fréquemment </w:t>
      </w:r>
      <w:r>
        <w:t>dans les régions tunisiennes.</w:t>
      </w:r>
    </w:p>
    <w:p w14:paraId="70F71B17" w14:textId="16167D71" w:rsidR="00336291" w:rsidRPr="001A1F64" w:rsidRDefault="00336291" w:rsidP="00336291">
      <w:pPr>
        <w:jc w:val="both"/>
        <w:rPr>
          <w:b/>
          <w:bCs/>
          <w:u w:val="single"/>
        </w:rPr>
      </w:pPr>
      <w:r w:rsidRPr="001A1F64">
        <w:rPr>
          <w:b/>
          <w:bCs/>
          <w:u w:val="single"/>
        </w:rPr>
        <w:t>NB : pour les cabinets de consulting, fournir au moins un profil répondant à ces critères</w:t>
      </w:r>
    </w:p>
    <w:p w14:paraId="7F303A3F" w14:textId="77777777" w:rsidR="00942CC4" w:rsidRPr="00336291" w:rsidRDefault="00942CC4" w:rsidP="00336291">
      <w:pPr>
        <w:jc w:val="both"/>
        <w:rPr>
          <w:u w:val="single"/>
        </w:rPr>
      </w:pPr>
    </w:p>
    <w:p w14:paraId="03CC2E9C" w14:textId="3FA5E60C" w:rsidR="00C1211D" w:rsidRDefault="004B6974" w:rsidP="00C1211D">
      <w:pPr>
        <w:pStyle w:val="Titre1"/>
        <w:jc w:val="both"/>
      </w:pPr>
      <w:r>
        <w:t>Éléments</w:t>
      </w:r>
      <w:r w:rsidR="00247A83">
        <w:t xml:space="preserve"> constitutifs de l’offre</w:t>
      </w:r>
    </w:p>
    <w:p w14:paraId="4B24CFC4" w14:textId="77777777" w:rsidR="00C1211D" w:rsidRDefault="00C1211D" w:rsidP="00C1211D">
      <w:pPr>
        <w:jc w:val="both"/>
      </w:pPr>
      <w:r>
        <w:t>Envoyer le dossier de candidature constitué des éléments suivants en respectant les modalités ci-dessous :</w:t>
      </w:r>
    </w:p>
    <w:p w14:paraId="1CA9BD38" w14:textId="5D3594A0" w:rsidR="0084140D" w:rsidRPr="00B84B74" w:rsidRDefault="00465100" w:rsidP="004B0ADD">
      <w:pPr>
        <w:pStyle w:val="Titre2"/>
      </w:pPr>
      <w:r>
        <w:t xml:space="preserve">1- </w:t>
      </w:r>
      <w:bookmarkStart w:id="2" w:name="_Hlk178774416"/>
      <w:r w:rsidR="007B0FD8" w:rsidRPr="00B84B74">
        <w:t xml:space="preserve">Une offre technique </w:t>
      </w:r>
      <w:r w:rsidR="0097449C" w:rsidRPr="00B84B74">
        <w:t xml:space="preserve">comprenant : </w:t>
      </w:r>
    </w:p>
    <w:bookmarkEnd w:id="2"/>
    <w:p w14:paraId="6D8CA9B2" w14:textId="61A86662" w:rsidR="0097449C" w:rsidRPr="0097449C" w:rsidRDefault="0097449C" w:rsidP="00C1211D">
      <w:pPr>
        <w:pStyle w:val="Paragraphedeliste"/>
        <w:numPr>
          <w:ilvl w:val="0"/>
          <w:numId w:val="7"/>
        </w:numPr>
        <w:jc w:val="both"/>
        <w:rPr>
          <w:lang w:val="fr-FR"/>
        </w:rPr>
      </w:pPr>
      <w:r>
        <w:rPr>
          <w:lang w:val="fr-FR"/>
        </w:rPr>
        <w:t xml:space="preserve">Une </w:t>
      </w:r>
      <w:r w:rsidRPr="00B84B74">
        <w:rPr>
          <w:u w:val="single"/>
          <w:lang w:val="fr-FR"/>
        </w:rPr>
        <w:t xml:space="preserve">note </w:t>
      </w:r>
      <w:r w:rsidR="00DD37CF">
        <w:rPr>
          <w:u w:val="single"/>
          <w:lang w:val="fr-FR"/>
        </w:rPr>
        <w:t>méthodologique</w:t>
      </w:r>
      <w:r w:rsidR="00B84B74" w:rsidRPr="00B84B74">
        <w:rPr>
          <w:lang w:val="fr-FR"/>
        </w:rPr>
        <w:t xml:space="preserve"> décrivant la méthodologie proposée pour </w:t>
      </w:r>
      <w:r w:rsidR="00B84B74">
        <w:rPr>
          <w:lang w:val="fr-FR"/>
        </w:rPr>
        <w:t>la mission.</w:t>
      </w:r>
    </w:p>
    <w:p w14:paraId="5DF05882" w14:textId="1F647FEF" w:rsidR="00C1211D" w:rsidRPr="00AC50D8" w:rsidRDefault="00C1211D" w:rsidP="00C1211D">
      <w:pPr>
        <w:pStyle w:val="Paragraphedeliste"/>
        <w:numPr>
          <w:ilvl w:val="0"/>
          <w:numId w:val="7"/>
        </w:numPr>
        <w:jc w:val="both"/>
        <w:rPr>
          <w:lang w:val="fr-FR"/>
        </w:rPr>
      </w:pPr>
      <w:r w:rsidRPr="00AC50D8">
        <w:rPr>
          <w:u w:val="single"/>
          <w:lang w:val="fr-FR"/>
        </w:rPr>
        <w:t>Curriculum Vitae</w:t>
      </w:r>
      <w:r w:rsidRPr="00AC50D8">
        <w:rPr>
          <w:lang w:val="fr-FR"/>
        </w:rPr>
        <w:t> : incluant surtout votre expérience des missions similaires et indiquant au moins 3 (trois) personnes de référence ;</w:t>
      </w:r>
    </w:p>
    <w:p w14:paraId="68805D8C" w14:textId="77777777" w:rsidR="00C1211D" w:rsidRPr="00AC50D8" w:rsidRDefault="00C1211D" w:rsidP="00C1211D">
      <w:pPr>
        <w:pStyle w:val="Paragraphedeliste"/>
        <w:numPr>
          <w:ilvl w:val="0"/>
          <w:numId w:val="10"/>
        </w:numPr>
        <w:jc w:val="both"/>
        <w:rPr>
          <w:u w:val="single"/>
          <w:lang w:val="fr-FR"/>
        </w:rPr>
      </w:pPr>
      <w:r w:rsidRPr="00AC50D8">
        <w:rPr>
          <w:u w:val="single"/>
          <w:lang w:val="fr-FR"/>
        </w:rPr>
        <w:t>Des preuves documentées des qualifications </w:t>
      </w:r>
      <w:r>
        <w:rPr>
          <w:u w:val="single"/>
          <w:lang w:val="fr-FR"/>
        </w:rPr>
        <w:t xml:space="preserve">et expériences </w:t>
      </w:r>
      <w:r w:rsidRPr="00AC50D8">
        <w:rPr>
          <w:u w:val="single"/>
          <w:lang w:val="fr-FR"/>
        </w:rPr>
        <w:t>:</w:t>
      </w:r>
    </w:p>
    <w:p w14:paraId="1F91BA66" w14:textId="77777777" w:rsidR="00C1211D" w:rsidRPr="00CD1F0D" w:rsidRDefault="00C1211D" w:rsidP="00C1211D">
      <w:pPr>
        <w:numPr>
          <w:ilvl w:val="1"/>
          <w:numId w:val="10"/>
        </w:numPr>
        <w:spacing w:after="120" w:line="264" w:lineRule="auto"/>
        <w:jc w:val="both"/>
        <w:rPr>
          <w:lang w:val="fr-FR"/>
        </w:rPr>
      </w:pPr>
      <w:r w:rsidRPr="00CD1F0D">
        <w:rPr>
          <w:lang w:val="fr-FR"/>
        </w:rPr>
        <w:t>Joindre à votre offre les attestations/certificats des expériences spécifiques dans la thématique ;</w:t>
      </w:r>
    </w:p>
    <w:p w14:paraId="34A89C2B" w14:textId="77777777" w:rsidR="00C1211D" w:rsidRPr="00CD1F0D" w:rsidRDefault="00C1211D" w:rsidP="00C1211D">
      <w:pPr>
        <w:numPr>
          <w:ilvl w:val="1"/>
          <w:numId w:val="10"/>
        </w:numPr>
        <w:spacing w:after="120" w:line="264" w:lineRule="auto"/>
        <w:jc w:val="both"/>
        <w:rPr>
          <w:lang w:val="fr-FR"/>
        </w:rPr>
      </w:pPr>
      <w:r w:rsidRPr="00CD1F0D">
        <w:rPr>
          <w:lang w:val="fr-FR"/>
        </w:rPr>
        <w:t xml:space="preserve">Fournir un tableau reprenant les noms des </w:t>
      </w:r>
      <w:r>
        <w:rPr>
          <w:lang w:val="fr-FR"/>
        </w:rPr>
        <w:t>missions</w:t>
      </w:r>
      <w:r w:rsidRPr="00CD1F0D">
        <w:rPr>
          <w:lang w:val="fr-FR"/>
        </w:rPr>
        <w:t xml:space="preserve"> /activités, durée de la mission, par rapport à cette thématique, et le nom du client ;</w:t>
      </w:r>
    </w:p>
    <w:p w14:paraId="437BF18A" w14:textId="77777777" w:rsidR="00C1211D" w:rsidRDefault="00C1211D" w:rsidP="00C1211D">
      <w:pPr>
        <w:pStyle w:val="Paragraphedeliste"/>
        <w:numPr>
          <w:ilvl w:val="0"/>
          <w:numId w:val="10"/>
        </w:numPr>
        <w:jc w:val="both"/>
        <w:rPr>
          <w:lang w:val="fr-FR"/>
        </w:rPr>
      </w:pPr>
      <w:r w:rsidRPr="00E710AB">
        <w:rPr>
          <w:u w:val="single"/>
          <w:lang w:val="fr-FR"/>
        </w:rPr>
        <w:t>Diplômes :</w:t>
      </w:r>
      <w:r w:rsidRPr="00E710AB">
        <w:rPr>
          <w:lang w:val="fr-FR"/>
        </w:rPr>
        <w:t xml:space="preserve"> Transmettre une (les) copies du (des) diplômes ;</w:t>
      </w:r>
    </w:p>
    <w:p w14:paraId="5F0251DC" w14:textId="77777777" w:rsidR="001F696D" w:rsidRDefault="001F696D" w:rsidP="006D7594">
      <w:pPr>
        <w:pStyle w:val="Paragraphedeliste"/>
        <w:jc w:val="both"/>
        <w:rPr>
          <w:lang w:val="fr-FR"/>
        </w:rPr>
      </w:pPr>
    </w:p>
    <w:p w14:paraId="12A30C19" w14:textId="7B0FB5AA" w:rsidR="00B84B74" w:rsidRDefault="00465100" w:rsidP="004B0ADD">
      <w:pPr>
        <w:pStyle w:val="Titre2"/>
      </w:pPr>
      <w:r>
        <w:t xml:space="preserve">2- </w:t>
      </w:r>
      <w:r w:rsidR="00B84B74" w:rsidRPr="00B84B74">
        <w:t xml:space="preserve">Une offre </w:t>
      </w:r>
      <w:r w:rsidR="00B84B74">
        <w:t>financière</w:t>
      </w:r>
      <w:r w:rsidR="000E11F2">
        <w:t> :</w:t>
      </w:r>
      <w:r w:rsidR="00B84B74" w:rsidRPr="00B84B74">
        <w:t xml:space="preserve"> </w:t>
      </w:r>
    </w:p>
    <w:p w14:paraId="751DC43E" w14:textId="4A0FC059" w:rsidR="00490C0B" w:rsidRDefault="006931F9" w:rsidP="00B84B74">
      <w:pPr>
        <w:jc w:val="both"/>
        <w:rPr>
          <w:lang w:val="fr-FR"/>
        </w:rPr>
      </w:pPr>
      <w:r w:rsidRPr="006931F9">
        <w:rPr>
          <w:lang w:val="fr-FR"/>
        </w:rPr>
        <w:t>Proposer</w:t>
      </w:r>
      <w:r w:rsidRPr="006931F9">
        <w:rPr>
          <w:lang w:val="fr-FR"/>
        </w:rPr>
        <w:t xml:space="preserve"> un montant forfaitaire et présenter dans un tableau des coûts la ventilation de ce montant forfaitaire en y incluant les éléments qui le composent à savoir les honoraires (taux journalier), et les </w:t>
      </w:r>
      <w:r w:rsidR="000E11F2" w:rsidRPr="006931F9">
        <w:rPr>
          <w:lang w:val="fr-FR"/>
        </w:rPr>
        <w:t>frais nécessaires</w:t>
      </w:r>
      <w:r w:rsidRPr="006931F9">
        <w:rPr>
          <w:lang w:val="fr-FR"/>
        </w:rPr>
        <w:t xml:space="preserve"> pour la bonne conduite de la missio</w:t>
      </w:r>
      <w:r w:rsidR="00EE3D31">
        <w:rPr>
          <w:lang w:val="fr-FR"/>
        </w:rPr>
        <w:t>n (</w:t>
      </w:r>
      <w:r w:rsidR="00745FBE" w:rsidRPr="00745FBE">
        <w:rPr>
          <w:u w:val="single"/>
          <w:lang w:val="fr-FR"/>
        </w:rPr>
        <w:t>modèle en annexe</w:t>
      </w:r>
      <w:r w:rsidR="00745FBE">
        <w:rPr>
          <w:lang w:val="fr-FR"/>
        </w:rPr>
        <w:t>).</w:t>
      </w:r>
    </w:p>
    <w:p w14:paraId="064F1854" w14:textId="6310209A" w:rsidR="00942CC4" w:rsidRDefault="00AA3B50" w:rsidP="00B84B74">
      <w:pPr>
        <w:jc w:val="both"/>
        <w:rPr>
          <w:b/>
          <w:bCs/>
          <w:u w:val="single"/>
          <w:lang w:val="fr-FR"/>
        </w:rPr>
      </w:pPr>
      <w:r w:rsidRPr="004B0ADD">
        <w:rPr>
          <w:b/>
          <w:bCs/>
          <w:u w:val="single"/>
          <w:lang w:val="fr-FR"/>
        </w:rPr>
        <w:t xml:space="preserve">L’offre doit </w:t>
      </w:r>
      <w:r w:rsidR="00F540E0" w:rsidRPr="004B0ADD">
        <w:rPr>
          <w:b/>
          <w:bCs/>
          <w:u w:val="single"/>
          <w:lang w:val="fr-FR"/>
        </w:rPr>
        <w:t xml:space="preserve">être établie en </w:t>
      </w:r>
      <w:r w:rsidR="00386DED" w:rsidRPr="004B0ADD">
        <w:rPr>
          <w:b/>
          <w:bCs/>
          <w:u w:val="single"/>
          <w:lang w:val="fr-FR"/>
        </w:rPr>
        <w:t>hors</w:t>
      </w:r>
      <w:r w:rsidR="002E0745" w:rsidRPr="004B0ADD">
        <w:rPr>
          <w:b/>
          <w:bCs/>
          <w:u w:val="single"/>
          <w:lang w:val="fr-FR"/>
        </w:rPr>
        <w:t xml:space="preserve"> taxe</w:t>
      </w:r>
      <w:r w:rsidR="00386DED" w:rsidRPr="004B0ADD">
        <w:rPr>
          <w:b/>
          <w:bCs/>
          <w:u w:val="single"/>
          <w:lang w:val="fr-FR"/>
        </w:rPr>
        <w:t>.</w:t>
      </w:r>
    </w:p>
    <w:p w14:paraId="14C58B7D" w14:textId="77777777" w:rsidR="006D7594" w:rsidRPr="004B0ADD" w:rsidRDefault="006D7594" w:rsidP="00B84B74">
      <w:pPr>
        <w:jc w:val="both"/>
        <w:rPr>
          <w:b/>
          <w:bCs/>
          <w:u w:val="single"/>
          <w:lang w:val="fr-FR"/>
        </w:rPr>
      </w:pPr>
    </w:p>
    <w:p w14:paraId="363B17BB" w14:textId="4E38D8EC" w:rsidR="00652976" w:rsidRDefault="005B17ED" w:rsidP="005B17ED">
      <w:pPr>
        <w:pStyle w:val="Titre1"/>
      </w:pPr>
      <w:r>
        <w:t>Critères d’évaluation</w:t>
      </w:r>
    </w:p>
    <w:p w14:paraId="74A4DB7F" w14:textId="655FF0AF" w:rsidR="000B2225" w:rsidRPr="000B2225" w:rsidRDefault="000B2225" w:rsidP="000B2225">
      <w:pPr>
        <w:jc w:val="both"/>
        <w:rPr>
          <w:lang w:val="fr-FR"/>
        </w:rPr>
      </w:pPr>
      <w:r w:rsidRPr="00DD37CF">
        <w:rPr>
          <w:b/>
          <w:bCs/>
          <w:lang w:val="fr-FR"/>
        </w:rPr>
        <w:t>Méthode de notation mixte</w:t>
      </w:r>
      <w:r w:rsidRPr="000B2225">
        <w:rPr>
          <w:lang w:val="fr-FR"/>
        </w:rPr>
        <w:t xml:space="preserve"> : l’offre technique (CV + note méthodologique + des preuves documentées des</w:t>
      </w:r>
      <w:r>
        <w:rPr>
          <w:lang w:val="fr-FR"/>
        </w:rPr>
        <w:t xml:space="preserve"> </w:t>
      </w:r>
      <w:r w:rsidRPr="000B2225">
        <w:rPr>
          <w:lang w:val="fr-FR"/>
        </w:rPr>
        <w:t>qualifications + Diplômes) sera pondérée de 70% et l’offre financière de 30%. Le contrat sera attribué à l’offre</w:t>
      </w:r>
      <w:r>
        <w:rPr>
          <w:lang w:val="fr-FR"/>
        </w:rPr>
        <w:t xml:space="preserve"> </w:t>
      </w:r>
      <w:r w:rsidRPr="000B2225">
        <w:rPr>
          <w:lang w:val="fr-FR"/>
        </w:rPr>
        <w:t xml:space="preserve">techniquement qualifiée ayant obtenu le meilleur score technico-financier. </w:t>
      </w:r>
    </w:p>
    <w:p w14:paraId="2D12D5C6" w14:textId="73859683" w:rsidR="005B17ED" w:rsidRDefault="000B2225" w:rsidP="000B2225">
      <w:pPr>
        <w:jc w:val="both"/>
        <w:rPr>
          <w:lang w:val="fr-FR"/>
        </w:rPr>
      </w:pPr>
      <w:r w:rsidRPr="000B2225">
        <w:rPr>
          <w:lang w:val="fr-FR"/>
        </w:rPr>
        <w:t>Les offres seront évaluées en deux étapes selon les critères suivants :</w:t>
      </w:r>
    </w:p>
    <w:p w14:paraId="3AC2927D" w14:textId="5397BF7F" w:rsidR="00EE3FE2" w:rsidRDefault="00EB0327" w:rsidP="00EB0327">
      <w:pPr>
        <w:pStyle w:val="Titre2"/>
      </w:pPr>
      <w:r>
        <w:lastRenderedPageBreak/>
        <w:t>Évaluation</w:t>
      </w:r>
      <w:r w:rsidR="00DB06E6">
        <w:t xml:space="preserve"> technique :</w:t>
      </w:r>
    </w:p>
    <w:tbl>
      <w:tblPr>
        <w:tblStyle w:val="Grilledutableau"/>
        <w:tblW w:w="0" w:type="auto"/>
        <w:tblLook w:val="04A0" w:firstRow="1" w:lastRow="0" w:firstColumn="1" w:lastColumn="0" w:noHBand="0" w:noVBand="1"/>
      </w:tblPr>
      <w:tblGrid>
        <w:gridCol w:w="421"/>
        <w:gridCol w:w="5015"/>
        <w:gridCol w:w="1813"/>
        <w:gridCol w:w="1813"/>
      </w:tblGrid>
      <w:tr w:rsidR="00FC5091" w:rsidRPr="00FD76A9" w14:paraId="0941AAAF" w14:textId="77777777" w:rsidTr="000A3A9B">
        <w:tc>
          <w:tcPr>
            <w:tcW w:w="5436" w:type="dxa"/>
            <w:gridSpan w:val="2"/>
            <w:shd w:val="clear" w:color="auto" w:fill="8EAADB" w:themeFill="accent1" w:themeFillTint="99"/>
            <w:vAlign w:val="center"/>
          </w:tcPr>
          <w:p w14:paraId="0F344C95" w14:textId="3C877E5F" w:rsidR="00FC5091" w:rsidRPr="00FD76A9" w:rsidRDefault="00FC5091" w:rsidP="000A3A9B">
            <w:pPr>
              <w:jc w:val="center"/>
              <w:rPr>
                <w:b/>
                <w:bCs/>
              </w:rPr>
            </w:pPr>
            <w:r w:rsidRPr="00FD76A9">
              <w:rPr>
                <w:b/>
                <w:bCs/>
              </w:rPr>
              <w:t>Critères d’évaluation</w:t>
            </w:r>
          </w:p>
        </w:tc>
        <w:tc>
          <w:tcPr>
            <w:tcW w:w="1813" w:type="dxa"/>
            <w:shd w:val="clear" w:color="auto" w:fill="8EAADB" w:themeFill="accent1" w:themeFillTint="99"/>
            <w:vAlign w:val="center"/>
          </w:tcPr>
          <w:p w14:paraId="646ABAD5" w14:textId="4E7B91EF" w:rsidR="00FC5091" w:rsidRPr="00FD76A9" w:rsidRDefault="00FC5091" w:rsidP="000A3A9B">
            <w:pPr>
              <w:jc w:val="center"/>
              <w:rPr>
                <w:b/>
                <w:bCs/>
              </w:rPr>
            </w:pPr>
            <w:r w:rsidRPr="00FD76A9">
              <w:rPr>
                <w:b/>
                <w:bCs/>
              </w:rPr>
              <w:t>Coefficient de pondération</w:t>
            </w:r>
          </w:p>
        </w:tc>
        <w:tc>
          <w:tcPr>
            <w:tcW w:w="1813" w:type="dxa"/>
            <w:shd w:val="clear" w:color="auto" w:fill="8EAADB" w:themeFill="accent1" w:themeFillTint="99"/>
            <w:vAlign w:val="center"/>
          </w:tcPr>
          <w:p w14:paraId="6D8E5AE3" w14:textId="23E7FABD" w:rsidR="00FC5091" w:rsidRPr="00FD76A9" w:rsidRDefault="00FC5091" w:rsidP="000A3A9B">
            <w:pPr>
              <w:jc w:val="center"/>
              <w:rPr>
                <w:b/>
                <w:bCs/>
              </w:rPr>
            </w:pPr>
            <w:r w:rsidRPr="00FD76A9">
              <w:rPr>
                <w:b/>
                <w:bCs/>
              </w:rPr>
              <w:t>Points maximum</w:t>
            </w:r>
          </w:p>
        </w:tc>
      </w:tr>
      <w:tr w:rsidR="005F7779" w14:paraId="521328CA" w14:textId="77777777" w:rsidTr="000A3A9B">
        <w:tc>
          <w:tcPr>
            <w:tcW w:w="421" w:type="dxa"/>
            <w:vAlign w:val="center"/>
          </w:tcPr>
          <w:p w14:paraId="782C4A1D" w14:textId="36F325FD" w:rsidR="005F7779" w:rsidRDefault="005F7779" w:rsidP="000A3A9B">
            <w:pPr>
              <w:jc w:val="center"/>
            </w:pPr>
            <w:r>
              <w:t>1</w:t>
            </w:r>
          </w:p>
        </w:tc>
        <w:tc>
          <w:tcPr>
            <w:tcW w:w="5015" w:type="dxa"/>
          </w:tcPr>
          <w:p w14:paraId="21E8E79E" w14:textId="77777777" w:rsidR="005F7779" w:rsidRPr="005746F2" w:rsidRDefault="005F7779" w:rsidP="005F7779">
            <w:pPr>
              <w:jc w:val="both"/>
              <w:rPr>
                <w:lang w:val="fr-TN"/>
              </w:rPr>
            </w:pPr>
            <w:r w:rsidRPr="005746F2">
              <w:rPr>
                <w:lang w:val="fr-TN"/>
              </w:rPr>
              <w:t>Diplôme universitaire dans une spécialité pertinente, un master ou plus serait un atout :</w:t>
            </w:r>
          </w:p>
          <w:p w14:paraId="7F0A5B88" w14:textId="27CB1CA5" w:rsidR="005F7779" w:rsidRPr="005746F2" w:rsidRDefault="005F7779" w:rsidP="005F7779">
            <w:pPr>
              <w:numPr>
                <w:ilvl w:val="0"/>
                <w:numId w:val="8"/>
              </w:numPr>
              <w:jc w:val="both"/>
            </w:pPr>
            <w:r w:rsidRPr="005746F2">
              <w:t xml:space="preserve">Licence/maîtrise : </w:t>
            </w:r>
            <w:r w:rsidR="00366412">
              <w:t>10</w:t>
            </w:r>
            <w:r w:rsidRPr="005746F2">
              <w:t xml:space="preserve"> points </w:t>
            </w:r>
          </w:p>
          <w:p w14:paraId="482A682E" w14:textId="27F3AB2F" w:rsidR="005F7779" w:rsidRPr="003A5974" w:rsidRDefault="005F7779" w:rsidP="003A5974">
            <w:pPr>
              <w:numPr>
                <w:ilvl w:val="0"/>
                <w:numId w:val="8"/>
              </w:numPr>
              <w:jc w:val="both"/>
            </w:pPr>
            <w:r w:rsidRPr="005746F2">
              <w:t>Master</w:t>
            </w:r>
            <w:r w:rsidR="003D172F">
              <w:t xml:space="preserve"> ou plus</w:t>
            </w:r>
            <w:r w:rsidRPr="005746F2">
              <w:t xml:space="preserve"> : </w:t>
            </w:r>
            <w:r w:rsidR="00366412">
              <w:t>15</w:t>
            </w:r>
            <w:r w:rsidRPr="005746F2">
              <w:t xml:space="preserve"> points</w:t>
            </w:r>
          </w:p>
        </w:tc>
        <w:tc>
          <w:tcPr>
            <w:tcW w:w="1813" w:type="dxa"/>
            <w:vAlign w:val="center"/>
          </w:tcPr>
          <w:p w14:paraId="1DEB941D" w14:textId="0B47673B" w:rsidR="005F7779" w:rsidRDefault="003A5974" w:rsidP="000A3A9B">
            <w:pPr>
              <w:jc w:val="center"/>
            </w:pPr>
            <w:r>
              <w:t xml:space="preserve">15 </w:t>
            </w:r>
            <w:r w:rsidR="005F7779" w:rsidRPr="00011EDA">
              <w:t>%</w:t>
            </w:r>
          </w:p>
        </w:tc>
        <w:tc>
          <w:tcPr>
            <w:tcW w:w="1813" w:type="dxa"/>
            <w:vAlign w:val="center"/>
          </w:tcPr>
          <w:p w14:paraId="719DE97C" w14:textId="09B88A4B" w:rsidR="005F7779" w:rsidRDefault="00E17992" w:rsidP="000A3A9B">
            <w:pPr>
              <w:jc w:val="center"/>
            </w:pPr>
            <w:r>
              <w:t>15</w:t>
            </w:r>
          </w:p>
        </w:tc>
      </w:tr>
      <w:tr w:rsidR="005F7779" w14:paraId="1E731161" w14:textId="77777777" w:rsidTr="000A3A9B">
        <w:tc>
          <w:tcPr>
            <w:tcW w:w="421" w:type="dxa"/>
            <w:vAlign w:val="center"/>
          </w:tcPr>
          <w:p w14:paraId="0AA69812" w14:textId="2905270A" w:rsidR="005F7779" w:rsidRDefault="005F7779" w:rsidP="000A3A9B">
            <w:pPr>
              <w:jc w:val="center"/>
            </w:pPr>
            <w:r>
              <w:t>2</w:t>
            </w:r>
          </w:p>
        </w:tc>
        <w:tc>
          <w:tcPr>
            <w:tcW w:w="5015" w:type="dxa"/>
          </w:tcPr>
          <w:p w14:paraId="1AC30A80" w14:textId="77777777" w:rsidR="005F7779" w:rsidRPr="007B286F" w:rsidRDefault="005F7779" w:rsidP="005F7779">
            <w:pPr>
              <w:jc w:val="both"/>
            </w:pPr>
            <w:r w:rsidRPr="007B286F">
              <w:t>Expérience professionnelle pertinente :</w:t>
            </w:r>
          </w:p>
          <w:p w14:paraId="47768925" w14:textId="516C3284" w:rsidR="005F7779" w:rsidRPr="007B286F" w:rsidRDefault="005F7779" w:rsidP="005F7779">
            <w:pPr>
              <w:numPr>
                <w:ilvl w:val="0"/>
                <w:numId w:val="9"/>
              </w:numPr>
              <w:jc w:val="both"/>
            </w:pPr>
            <w:r w:rsidRPr="007B286F">
              <w:t xml:space="preserve">Entre 3 ans et 5 ans : </w:t>
            </w:r>
            <w:r w:rsidR="00764031">
              <w:t>5</w:t>
            </w:r>
            <w:r w:rsidRPr="007B286F">
              <w:t xml:space="preserve"> points</w:t>
            </w:r>
          </w:p>
          <w:p w14:paraId="29783692" w14:textId="1798CD9E" w:rsidR="005F7779" w:rsidRPr="007B286F" w:rsidRDefault="005F7779" w:rsidP="005F7779">
            <w:pPr>
              <w:numPr>
                <w:ilvl w:val="0"/>
                <w:numId w:val="9"/>
              </w:numPr>
              <w:jc w:val="both"/>
            </w:pPr>
            <w:r w:rsidRPr="007B286F">
              <w:t xml:space="preserve">Entre 5 ans et 9 ans : </w:t>
            </w:r>
            <w:r w:rsidR="00764031">
              <w:t>10</w:t>
            </w:r>
            <w:r w:rsidRPr="007B286F">
              <w:t xml:space="preserve"> points</w:t>
            </w:r>
          </w:p>
          <w:p w14:paraId="7D2201DC" w14:textId="517C9751" w:rsidR="005F7779" w:rsidRDefault="005F7779" w:rsidP="005F7779">
            <w:pPr>
              <w:ind w:firstLine="720"/>
              <w:jc w:val="both"/>
            </w:pPr>
            <w:r w:rsidRPr="007B286F">
              <w:rPr>
                <w:lang w:val="fr-TN"/>
              </w:rPr>
              <w:t xml:space="preserve">10 ans et plus : </w:t>
            </w:r>
            <w:r w:rsidR="00764031">
              <w:rPr>
                <w:lang w:val="fr-TN"/>
              </w:rPr>
              <w:t>15</w:t>
            </w:r>
            <w:r w:rsidRPr="007B286F">
              <w:rPr>
                <w:lang w:val="fr-TN"/>
              </w:rPr>
              <w:t xml:space="preserve"> points</w:t>
            </w:r>
          </w:p>
        </w:tc>
        <w:tc>
          <w:tcPr>
            <w:tcW w:w="1813" w:type="dxa"/>
            <w:vAlign w:val="center"/>
          </w:tcPr>
          <w:p w14:paraId="1CAE611D" w14:textId="37A4A908" w:rsidR="005F7779" w:rsidRDefault="00764031" w:rsidP="000A3A9B">
            <w:pPr>
              <w:jc w:val="center"/>
            </w:pPr>
            <w:r>
              <w:t>15</w:t>
            </w:r>
            <w:r w:rsidR="005F7779" w:rsidRPr="00011EDA">
              <w:t xml:space="preserve"> %</w:t>
            </w:r>
          </w:p>
        </w:tc>
        <w:tc>
          <w:tcPr>
            <w:tcW w:w="1813" w:type="dxa"/>
            <w:vAlign w:val="center"/>
          </w:tcPr>
          <w:p w14:paraId="68D069AD" w14:textId="68C9323F" w:rsidR="005F7779" w:rsidRDefault="00E17992" w:rsidP="000A3A9B">
            <w:pPr>
              <w:jc w:val="center"/>
            </w:pPr>
            <w:r>
              <w:t>15</w:t>
            </w:r>
          </w:p>
        </w:tc>
      </w:tr>
      <w:tr w:rsidR="005F7779" w14:paraId="4B82EE61" w14:textId="77777777" w:rsidTr="000A3A9B">
        <w:tc>
          <w:tcPr>
            <w:tcW w:w="421" w:type="dxa"/>
            <w:vAlign w:val="center"/>
          </w:tcPr>
          <w:p w14:paraId="3E90B5F4" w14:textId="5D2B1811" w:rsidR="005F7779" w:rsidRDefault="00A53102" w:rsidP="000A3A9B">
            <w:pPr>
              <w:jc w:val="center"/>
            </w:pPr>
            <w:r>
              <w:t>3</w:t>
            </w:r>
          </w:p>
        </w:tc>
        <w:tc>
          <w:tcPr>
            <w:tcW w:w="5015" w:type="dxa"/>
          </w:tcPr>
          <w:p w14:paraId="2A7E13EB" w14:textId="316C19AD" w:rsidR="005F7779" w:rsidRPr="007B02B0" w:rsidRDefault="005F7779" w:rsidP="005F7779">
            <w:pPr>
              <w:tabs>
                <w:tab w:val="left" w:pos="1068"/>
              </w:tabs>
              <w:jc w:val="both"/>
            </w:pPr>
            <w:r w:rsidRPr="007B02B0">
              <w:t>Expériences professionnelles dans des missions de suivi et évaluation de projet</w:t>
            </w:r>
            <w:r w:rsidR="007B6AFE">
              <w:t>s</w:t>
            </w:r>
            <w:r w:rsidRPr="007B02B0">
              <w:t xml:space="preserve"> :  </w:t>
            </w:r>
          </w:p>
          <w:p w14:paraId="41CED9CA" w14:textId="30029099" w:rsidR="005F7779" w:rsidRPr="007B02B0" w:rsidRDefault="005F7779" w:rsidP="005F7779">
            <w:pPr>
              <w:numPr>
                <w:ilvl w:val="0"/>
                <w:numId w:val="7"/>
              </w:numPr>
              <w:tabs>
                <w:tab w:val="left" w:pos="1068"/>
              </w:tabs>
              <w:jc w:val="both"/>
            </w:pPr>
            <w:r w:rsidRPr="007B02B0">
              <w:t xml:space="preserve">3 expériences : </w:t>
            </w:r>
            <w:r w:rsidR="00197722">
              <w:t>15</w:t>
            </w:r>
            <w:r w:rsidRPr="007B02B0">
              <w:t xml:space="preserve"> points</w:t>
            </w:r>
          </w:p>
          <w:p w14:paraId="3785F5CC" w14:textId="38B01414" w:rsidR="005F7779" w:rsidRPr="007B02B0" w:rsidRDefault="005F7779" w:rsidP="005F7779">
            <w:pPr>
              <w:numPr>
                <w:ilvl w:val="0"/>
                <w:numId w:val="7"/>
              </w:numPr>
              <w:tabs>
                <w:tab w:val="left" w:pos="1068"/>
              </w:tabs>
              <w:jc w:val="both"/>
            </w:pPr>
            <w:r w:rsidRPr="007B02B0">
              <w:t xml:space="preserve">Entre 4 et 9 expériences : </w:t>
            </w:r>
            <w:r w:rsidR="005319FC">
              <w:t>20</w:t>
            </w:r>
            <w:r w:rsidRPr="007B02B0">
              <w:t xml:space="preserve"> points</w:t>
            </w:r>
          </w:p>
          <w:p w14:paraId="5421A76E" w14:textId="2D7F9058" w:rsidR="005F7779" w:rsidRPr="007B02B0" w:rsidRDefault="005F7779" w:rsidP="005F7779">
            <w:pPr>
              <w:pStyle w:val="Paragraphedeliste"/>
              <w:numPr>
                <w:ilvl w:val="0"/>
                <w:numId w:val="7"/>
              </w:numPr>
              <w:tabs>
                <w:tab w:val="left" w:pos="1068"/>
              </w:tabs>
              <w:spacing w:after="0" w:line="240" w:lineRule="auto"/>
              <w:jc w:val="both"/>
            </w:pPr>
            <w:r w:rsidRPr="007B02B0">
              <w:rPr>
                <w:lang w:val="fr-TN"/>
              </w:rPr>
              <w:t xml:space="preserve">10 expériences et plus : </w:t>
            </w:r>
            <w:r w:rsidR="005319FC">
              <w:rPr>
                <w:lang w:val="fr-TN"/>
              </w:rPr>
              <w:t>25</w:t>
            </w:r>
            <w:r w:rsidRPr="007B02B0">
              <w:rPr>
                <w:lang w:val="fr-TN"/>
              </w:rPr>
              <w:t xml:space="preserve"> points</w:t>
            </w:r>
          </w:p>
        </w:tc>
        <w:tc>
          <w:tcPr>
            <w:tcW w:w="1813" w:type="dxa"/>
            <w:vAlign w:val="center"/>
          </w:tcPr>
          <w:p w14:paraId="2A210539" w14:textId="3ED74104" w:rsidR="005F7779" w:rsidRDefault="007B6AFE" w:rsidP="000A3A9B">
            <w:pPr>
              <w:jc w:val="center"/>
            </w:pPr>
            <w:r>
              <w:t>25</w:t>
            </w:r>
            <w:r w:rsidR="005F7779" w:rsidRPr="00011EDA">
              <w:t xml:space="preserve"> %</w:t>
            </w:r>
          </w:p>
        </w:tc>
        <w:tc>
          <w:tcPr>
            <w:tcW w:w="1813" w:type="dxa"/>
            <w:vAlign w:val="center"/>
          </w:tcPr>
          <w:p w14:paraId="4FD22283" w14:textId="4341C980" w:rsidR="005F7779" w:rsidRDefault="00E17992" w:rsidP="000A3A9B">
            <w:pPr>
              <w:jc w:val="center"/>
            </w:pPr>
            <w:r>
              <w:t>25</w:t>
            </w:r>
          </w:p>
        </w:tc>
      </w:tr>
      <w:tr w:rsidR="005F7779" w14:paraId="30C61412" w14:textId="77777777" w:rsidTr="000A3A9B">
        <w:tc>
          <w:tcPr>
            <w:tcW w:w="421" w:type="dxa"/>
            <w:vAlign w:val="center"/>
          </w:tcPr>
          <w:p w14:paraId="42D895E8" w14:textId="59473E62" w:rsidR="005F7779" w:rsidRDefault="00A53102" w:rsidP="000A3A9B">
            <w:pPr>
              <w:jc w:val="center"/>
            </w:pPr>
            <w:r>
              <w:t>4</w:t>
            </w:r>
          </w:p>
        </w:tc>
        <w:tc>
          <w:tcPr>
            <w:tcW w:w="5015" w:type="dxa"/>
          </w:tcPr>
          <w:p w14:paraId="6A17C5C6" w14:textId="77777777" w:rsidR="005F7779" w:rsidRPr="00956867" w:rsidRDefault="005F7779" w:rsidP="005F7779">
            <w:pPr>
              <w:jc w:val="both"/>
            </w:pPr>
            <w:r w:rsidRPr="00956867">
              <w:t xml:space="preserve">Expériences avec des organisations de la société civile et/ou des agences onusiennes :  </w:t>
            </w:r>
          </w:p>
          <w:p w14:paraId="2D0B2681" w14:textId="77777777" w:rsidR="005F7779" w:rsidRPr="00956867" w:rsidRDefault="005F7779" w:rsidP="005F7779">
            <w:pPr>
              <w:numPr>
                <w:ilvl w:val="0"/>
                <w:numId w:val="7"/>
              </w:numPr>
              <w:jc w:val="both"/>
            </w:pPr>
            <w:r w:rsidRPr="00956867">
              <w:t>3 expériences : 10 points</w:t>
            </w:r>
          </w:p>
          <w:p w14:paraId="1FD0FA15" w14:textId="77777777" w:rsidR="005F7779" w:rsidRPr="00956867" w:rsidRDefault="005F7779" w:rsidP="005F7779">
            <w:pPr>
              <w:numPr>
                <w:ilvl w:val="0"/>
                <w:numId w:val="7"/>
              </w:numPr>
              <w:jc w:val="both"/>
            </w:pPr>
            <w:r w:rsidRPr="00956867">
              <w:t>Entre 4 et 9 expériences : 15 points</w:t>
            </w:r>
          </w:p>
          <w:p w14:paraId="16F47B90" w14:textId="5899E67F" w:rsidR="005F7779" w:rsidRPr="00956867" w:rsidRDefault="005F7779" w:rsidP="005F7779">
            <w:pPr>
              <w:pStyle w:val="Paragraphedeliste"/>
              <w:numPr>
                <w:ilvl w:val="0"/>
                <w:numId w:val="7"/>
              </w:numPr>
              <w:spacing w:after="0" w:line="240" w:lineRule="auto"/>
              <w:jc w:val="both"/>
            </w:pPr>
            <w:r w:rsidRPr="00956867">
              <w:rPr>
                <w:lang w:val="fr-TN"/>
              </w:rPr>
              <w:t>10 expériences et plus : 20 points</w:t>
            </w:r>
          </w:p>
        </w:tc>
        <w:tc>
          <w:tcPr>
            <w:tcW w:w="1813" w:type="dxa"/>
            <w:vAlign w:val="center"/>
          </w:tcPr>
          <w:p w14:paraId="3C34F3A4" w14:textId="37E7560D" w:rsidR="005F7779" w:rsidRDefault="00834B8B" w:rsidP="000A3A9B">
            <w:pPr>
              <w:jc w:val="center"/>
            </w:pPr>
            <w:r>
              <w:t>20</w:t>
            </w:r>
            <w:r w:rsidR="005F7779" w:rsidRPr="00011EDA">
              <w:t xml:space="preserve"> %</w:t>
            </w:r>
          </w:p>
        </w:tc>
        <w:tc>
          <w:tcPr>
            <w:tcW w:w="1813" w:type="dxa"/>
            <w:vAlign w:val="center"/>
          </w:tcPr>
          <w:p w14:paraId="5673BA7C" w14:textId="608E39D5" w:rsidR="005F7779" w:rsidRDefault="005F7779" w:rsidP="000A3A9B">
            <w:pPr>
              <w:jc w:val="center"/>
            </w:pPr>
            <w:r w:rsidRPr="00011EDA">
              <w:t>20</w:t>
            </w:r>
          </w:p>
        </w:tc>
      </w:tr>
      <w:tr w:rsidR="005746F2" w14:paraId="08697E55" w14:textId="77777777" w:rsidTr="000A3A9B">
        <w:tc>
          <w:tcPr>
            <w:tcW w:w="421" w:type="dxa"/>
          </w:tcPr>
          <w:p w14:paraId="04DDAEC6" w14:textId="1D311942" w:rsidR="005746F2" w:rsidRDefault="00A53102" w:rsidP="000B2225">
            <w:pPr>
              <w:jc w:val="both"/>
            </w:pPr>
            <w:r>
              <w:t>5</w:t>
            </w:r>
          </w:p>
        </w:tc>
        <w:tc>
          <w:tcPr>
            <w:tcW w:w="5015" w:type="dxa"/>
          </w:tcPr>
          <w:p w14:paraId="3E3EFD93" w14:textId="71DED556" w:rsidR="00F44596" w:rsidRDefault="004318BE" w:rsidP="00F44596">
            <w:r>
              <w:t xml:space="preserve">Note </w:t>
            </w:r>
            <w:r w:rsidR="00F44596">
              <w:t>méthodologique</w:t>
            </w:r>
          </w:p>
          <w:p w14:paraId="04B0DBAB" w14:textId="3146CA93" w:rsidR="00F44596" w:rsidRDefault="00F44596" w:rsidP="004318BE">
            <w:pPr>
              <w:numPr>
                <w:ilvl w:val="0"/>
                <w:numId w:val="7"/>
              </w:numPr>
              <w:jc w:val="both"/>
            </w:pPr>
            <w:r>
              <w:t xml:space="preserve">Compréhension de la mission : </w:t>
            </w:r>
            <w:r w:rsidR="00E424C9">
              <w:t>10</w:t>
            </w:r>
            <w:r>
              <w:t xml:space="preserve"> points</w:t>
            </w:r>
          </w:p>
          <w:p w14:paraId="0FE7F050" w14:textId="27AAC3CC" w:rsidR="00F44596" w:rsidRDefault="00F44596" w:rsidP="004318BE">
            <w:pPr>
              <w:numPr>
                <w:ilvl w:val="0"/>
                <w:numId w:val="7"/>
              </w:numPr>
              <w:jc w:val="both"/>
            </w:pPr>
            <w:r>
              <w:t>Clarté : 5 points</w:t>
            </w:r>
          </w:p>
          <w:p w14:paraId="11DF1FCB" w14:textId="2146A441" w:rsidR="005746F2" w:rsidRPr="004318BE" w:rsidRDefault="00F44596" w:rsidP="004318BE">
            <w:pPr>
              <w:numPr>
                <w:ilvl w:val="0"/>
                <w:numId w:val="7"/>
              </w:numPr>
              <w:jc w:val="both"/>
            </w:pPr>
            <w:r>
              <w:t>Cohérence de l’approche : 10 points</w:t>
            </w:r>
          </w:p>
        </w:tc>
        <w:tc>
          <w:tcPr>
            <w:tcW w:w="1813" w:type="dxa"/>
            <w:vAlign w:val="center"/>
          </w:tcPr>
          <w:p w14:paraId="37D35A35" w14:textId="3145C88A" w:rsidR="005746F2" w:rsidRDefault="00E17992" w:rsidP="000A3A9B">
            <w:pPr>
              <w:jc w:val="center"/>
            </w:pPr>
            <w:r>
              <w:t>25</w:t>
            </w:r>
            <w:r w:rsidR="00A53102">
              <w:t xml:space="preserve"> %</w:t>
            </w:r>
          </w:p>
        </w:tc>
        <w:tc>
          <w:tcPr>
            <w:tcW w:w="1813" w:type="dxa"/>
            <w:vAlign w:val="center"/>
          </w:tcPr>
          <w:p w14:paraId="42386438" w14:textId="7C1677F5" w:rsidR="005746F2" w:rsidRDefault="00E17992" w:rsidP="000A3A9B">
            <w:pPr>
              <w:jc w:val="center"/>
            </w:pPr>
            <w:r>
              <w:t>25</w:t>
            </w:r>
          </w:p>
        </w:tc>
      </w:tr>
      <w:tr w:rsidR="00A53102" w14:paraId="04E14333" w14:textId="77777777" w:rsidTr="00852740">
        <w:tc>
          <w:tcPr>
            <w:tcW w:w="5436" w:type="dxa"/>
            <w:gridSpan w:val="2"/>
          </w:tcPr>
          <w:p w14:paraId="39712D11" w14:textId="51996FE0" w:rsidR="00A53102" w:rsidRPr="00D958C4" w:rsidRDefault="00D958C4" w:rsidP="000B2225">
            <w:pPr>
              <w:jc w:val="both"/>
              <w:rPr>
                <w:b/>
                <w:bCs/>
              </w:rPr>
            </w:pPr>
            <w:r w:rsidRPr="00D958C4">
              <w:rPr>
                <w:b/>
                <w:bCs/>
              </w:rPr>
              <w:t>Total évaluation technique</w:t>
            </w:r>
          </w:p>
        </w:tc>
        <w:tc>
          <w:tcPr>
            <w:tcW w:w="1813" w:type="dxa"/>
            <w:vAlign w:val="center"/>
          </w:tcPr>
          <w:p w14:paraId="45DAB3ED" w14:textId="4CCFD840" w:rsidR="00A53102" w:rsidRDefault="00D958C4" w:rsidP="000A3A9B">
            <w:pPr>
              <w:jc w:val="center"/>
            </w:pPr>
            <w:r>
              <w:t>100 %</w:t>
            </w:r>
          </w:p>
        </w:tc>
        <w:tc>
          <w:tcPr>
            <w:tcW w:w="1813" w:type="dxa"/>
            <w:vAlign w:val="center"/>
          </w:tcPr>
          <w:p w14:paraId="72356143" w14:textId="7F57CD3B" w:rsidR="00A53102" w:rsidRDefault="00D958C4" w:rsidP="000A3A9B">
            <w:pPr>
              <w:jc w:val="center"/>
            </w:pPr>
            <w:r>
              <w:t>100</w:t>
            </w:r>
          </w:p>
        </w:tc>
      </w:tr>
    </w:tbl>
    <w:p w14:paraId="5A5661C7" w14:textId="77777777" w:rsidR="00EE3FE2" w:rsidRDefault="00EE3FE2" w:rsidP="000B2225">
      <w:pPr>
        <w:jc w:val="both"/>
        <w:rPr>
          <w:lang w:val="fr-FR"/>
        </w:rPr>
      </w:pPr>
    </w:p>
    <w:p w14:paraId="6CCB8094" w14:textId="37E53561" w:rsidR="00B573E2" w:rsidRDefault="00EB0327" w:rsidP="00BC0FE0">
      <w:pPr>
        <w:pStyle w:val="Titre2"/>
      </w:pPr>
      <w:r w:rsidRPr="00BC0FE0">
        <w:t>Évaluation</w:t>
      </w:r>
      <w:r w:rsidR="00BC0FE0" w:rsidRPr="00BC0FE0">
        <w:t xml:space="preserve"> financière</w:t>
      </w:r>
    </w:p>
    <w:p w14:paraId="57C1027E" w14:textId="650CA674" w:rsidR="00B573E2" w:rsidRDefault="00B573E2" w:rsidP="000B2225">
      <w:pPr>
        <w:jc w:val="both"/>
        <w:rPr>
          <w:lang w:val="fr-FR"/>
        </w:rPr>
      </w:pPr>
      <w:r w:rsidRPr="00B573E2">
        <w:rPr>
          <w:lang w:val="fr-FR"/>
        </w:rPr>
        <w:t>Chaque offre financière (F) recevra une note financière (</w:t>
      </w:r>
      <w:proofErr w:type="spellStart"/>
      <w:r w:rsidRPr="00B573E2">
        <w:rPr>
          <w:lang w:val="fr-FR"/>
        </w:rPr>
        <w:t>Nf</w:t>
      </w:r>
      <w:proofErr w:type="spellEnd"/>
      <w:r w:rsidRPr="00B573E2">
        <w:rPr>
          <w:lang w:val="fr-FR"/>
        </w:rPr>
        <w:t>) calculée par comparaison avec l’offre financière la moins</w:t>
      </w:r>
      <w:r>
        <w:rPr>
          <w:lang w:val="fr-FR"/>
        </w:rPr>
        <w:t xml:space="preserve"> </w:t>
      </w:r>
      <w:proofErr w:type="spellStart"/>
      <w:r w:rsidRPr="00B573E2">
        <w:rPr>
          <w:lang w:val="fr-FR"/>
        </w:rPr>
        <w:t>disante</w:t>
      </w:r>
      <w:proofErr w:type="spellEnd"/>
      <w:r w:rsidRPr="00B573E2">
        <w:rPr>
          <w:lang w:val="fr-FR"/>
        </w:rPr>
        <w:t xml:space="preserve"> (Fm) de la manière suivante : NF=100xFm/F (F étant le prix de l’offre financière). Pour finir, les propositions seront classées en fonction de leurs notes technique (Nt) et financière (</w:t>
      </w:r>
      <w:proofErr w:type="spellStart"/>
      <w:r w:rsidRPr="00B573E2">
        <w:rPr>
          <w:lang w:val="fr-FR"/>
        </w:rPr>
        <w:t>Nf</w:t>
      </w:r>
      <w:proofErr w:type="spellEnd"/>
      <w:r w:rsidRPr="00B573E2">
        <w:rPr>
          <w:lang w:val="fr-FR"/>
        </w:rPr>
        <w:t>) combinées, avec application des pondérations (70% pour la proposition technique ; 30% pour la proposition financière) ; pour aboutir à une note globale (NG). Le marché sera adjugé à l’offre ayant obtenu la note globale (NG) pondérée la plus élevée tout en tenant compte des principes généraux (coût et efficacité).</w:t>
      </w:r>
    </w:p>
    <w:p w14:paraId="1C0EEA4B" w14:textId="77777777" w:rsidR="004B6974" w:rsidRDefault="004B6974" w:rsidP="000B2225">
      <w:pPr>
        <w:jc w:val="both"/>
        <w:rPr>
          <w:lang w:val="fr-FR"/>
        </w:rPr>
      </w:pPr>
    </w:p>
    <w:p w14:paraId="52B979B1" w14:textId="77777777" w:rsidR="004B6974" w:rsidRDefault="004B6974" w:rsidP="004B6974">
      <w:pPr>
        <w:pStyle w:val="Titre1"/>
      </w:pPr>
      <w:r>
        <w:t>Modalités de candidature :</w:t>
      </w:r>
    </w:p>
    <w:p w14:paraId="307E5511" w14:textId="77777777" w:rsidR="004B6974" w:rsidRPr="00B94D6A" w:rsidRDefault="004B6974" w:rsidP="004B6974">
      <w:pPr>
        <w:pStyle w:val="Paragraphedeliste"/>
        <w:numPr>
          <w:ilvl w:val="0"/>
          <w:numId w:val="20"/>
        </w:numPr>
        <w:rPr>
          <w:b/>
          <w:bCs/>
        </w:rPr>
      </w:pPr>
      <w:r w:rsidRPr="00B94D6A">
        <w:t xml:space="preserve">Mode d’envoi : par </w:t>
      </w:r>
      <w:proofErr w:type="gramStart"/>
      <w:r w:rsidRPr="00B94D6A">
        <w:t>email</w:t>
      </w:r>
      <w:proofErr w:type="gramEnd"/>
    </w:p>
    <w:p w14:paraId="799237E0" w14:textId="77777777" w:rsidR="004B6974" w:rsidRPr="00B94D6A" w:rsidRDefault="004B6974" w:rsidP="004B6974">
      <w:pPr>
        <w:pStyle w:val="Paragraphedeliste"/>
        <w:numPr>
          <w:ilvl w:val="0"/>
          <w:numId w:val="20"/>
        </w:numPr>
        <w:rPr>
          <w:b/>
          <w:bCs/>
        </w:rPr>
      </w:pPr>
      <w:r w:rsidRPr="00B94D6A">
        <w:t xml:space="preserve">Adresse d’envoi : </w:t>
      </w:r>
      <w:hyperlink r:id="rId14" w:history="1">
        <w:r w:rsidRPr="004F01CA">
          <w:rPr>
            <w:rStyle w:val="Lienhypertexte"/>
            <w:b/>
            <w:bCs/>
            <w:color w:val="auto"/>
            <w:u w:val="none"/>
          </w:rPr>
          <w:t>recrutement.ltdh@gmail.com</w:t>
        </w:r>
      </w:hyperlink>
    </w:p>
    <w:p w14:paraId="7976903F" w14:textId="77777777" w:rsidR="004B6974" w:rsidRPr="00B94D6A" w:rsidRDefault="004B6974" w:rsidP="004B6974">
      <w:pPr>
        <w:pStyle w:val="Paragraphedeliste"/>
      </w:pPr>
      <w:r w:rsidRPr="00B94D6A">
        <w:t>En copie cc : ayedidhouha@gmail.com</w:t>
      </w:r>
      <w:r>
        <w:t xml:space="preserve"> ; w</w:t>
      </w:r>
      <w:r w:rsidRPr="00B94D6A">
        <w:t xml:space="preserve">iem.GI.13@gmail.com </w:t>
      </w:r>
    </w:p>
    <w:p w14:paraId="5488B519" w14:textId="77777777" w:rsidR="004B6974" w:rsidRPr="00B94D6A" w:rsidRDefault="004B6974" w:rsidP="004B6974">
      <w:pPr>
        <w:pStyle w:val="Paragraphedeliste"/>
        <w:numPr>
          <w:ilvl w:val="0"/>
          <w:numId w:val="20"/>
        </w:numPr>
        <w:rPr>
          <w:b/>
          <w:bCs/>
        </w:rPr>
      </w:pPr>
      <w:r w:rsidRPr="00B94D6A">
        <w:t xml:space="preserve">Objet : </w:t>
      </w:r>
      <w:r>
        <w:t>C</w:t>
      </w:r>
      <w:r w:rsidRPr="00B94D6A">
        <w:t xml:space="preserve">andidature </w:t>
      </w:r>
      <w:r>
        <w:t xml:space="preserve">Consultance </w:t>
      </w:r>
      <w:r w:rsidRPr="007954C5">
        <w:t>Suivi et Évaluation</w:t>
      </w:r>
    </w:p>
    <w:p w14:paraId="1B9875CC" w14:textId="77777777" w:rsidR="004B6974" w:rsidRPr="00E16EF3" w:rsidRDefault="004B6974" w:rsidP="004B6974">
      <w:pPr>
        <w:pStyle w:val="Paragraphedeliste"/>
        <w:numPr>
          <w:ilvl w:val="0"/>
          <w:numId w:val="10"/>
        </w:numPr>
        <w:jc w:val="both"/>
        <w:rPr>
          <w:lang w:val="fr-FR"/>
        </w:rPr>
      </w:pPr>
      <w:r w:rsidRPr="001061F0">
        <w:rPr>
          <w:b/>
          <w:bCs/>
          <w:color w:val="FF0000"/>
        </w:rPr>
        <w:t>Dernier délai de candidatur</w:t>
      </w:r>
      <w:r>
        <w:rPr>
          <w:b/>
          <w:bCs/>
          <w:color w:val="FF0000"/>
        </w:rPr>
        <w:t>e : 31 octobre 2024</w:t>
      </w:r>
    </w:p>
    <w:p w14:paraId="6CA67DFC" w14:textId="77777777" w:rsidR="00E16EF3" w:rsidRDefault="00E16EF3" w:rsidP="00E16EF3">
      <w:pPr>
        <w:jc w:val="both"/>
        <w:rPr>
          <w:lang w:val="fr-FR"/>
        </w:rPr>
      </w:pPr>
    </w:p>
    <w:p w14:paraId="33FADEA9" w14:textId="6A1C80B9" w:rsidR="00E16EF3" w:rsidRDefault="0091580E" w:rsidP="00290AD6">
      <w:pPr>
        <w:pStyle w:val="Titre1"/>
      </w:pPr>
      <w:r>
        <w:lastRenderedPageBreak/>
        <w:t>Annexe : Modèle d’offre financière</w:t>
      </w:r>
    </w:p>
    <w:p w14:paraId="29C59EC9" w14:textId="77777777" w:rsidR="00290AD6" w:rsidRPr="00290AD6" w:rsidRDefault="00290AD6" w:rsidP="00290AD6">
      <w:pPr>
        <w:rPr>
          <w:lang w:val="fr-FR"/>
        </w:rPr>
      </w:pPr>
    </w:p>
    <w:tbl>
      <w:tblPr>
        <w:tblStyle w:val="Grilledutableau1"/>
        <w:tblW w:w="0" w:type="auto"/>
        <w:tblLook w:val="04A0" w:firstRow="1" w:lastRow="0" w:firstColumn="1" w:lastColumn="0" w:noHBand="0" w:noVBand="1"/>
      </w:tblPr>
      <w:tblGrid>
        <w:gridCol w:w="1084"/>
        <w:gridCol w:w="3945"/>
        <w:gridCol w:w="1199"/>
        <w:gridCol w:w="1389"/>
        <w:gridCol w:w="1445"/>
      </w:tblGrid>
      <w:tr w:rsidR="00290AD6" w:rsidRPr="00290AD6" w14:paraId="5682018E" w14:textId="77777777" w:rsidTr="00F808F4">
        <w:tc>
          <w:tcPr>
            <w:tcW w:w="9062" w:type="dxa"/>
            <w:gridSpan w:val="5"/>
            <w:shd w:val="clear" w:color="auto" w:fill="4C94D8"/>
            <w:vAlign w:val="center"/>
          </w:tcPr>
          <w:p w14:paraId="51020B8D" w14:textId="77777777" w:rsidR="00290AD6" w:rsidRPr="00290AD6" w:rsidRDefault="00290AD6" w:rsidP="00290AD6">
            <w:pPr>
              <w:jc w:val="center"/>
              <w:rPr>
                <w:rFonts w:ascii="Calibri" w:eastAsia="Calibri" w:hAnsi="Calibri" w:cs="Arial"/>
                <w:b/>
                <w:bCs/>
                <w:sz w:val="24"/>
                <w:szCs w:val="24"/>
              </w:rPr>
            </w:pPr>
            <w:r w:rsidRPr="00290AD6">
              <w:rPr>
                <w:rFonts w:ascii="Calibri" w:eastAsia="Calibri" w:hAnsi="Calibri" w:cs="Arial"/>
                <w:b/>
                <w:bCs/>
                <w:sz w:val="24"/>
                <w:szCs w:val="24"/>
              </w:rPr>
              <w:t>Honoraires</w:t>
            </w:r>
          </w:p>
        </w:tc>
      </w:tr>
      <w:tr w:rsidR="00290AD6" w:rsidRPr="00290AD6" w14:paraId="781C8367" w14:textId="77777777" w:rsidTr="00F808F4">
        <w:tc>
          <w:tcPr>
            <w:tcW w:w="1084" w:type="dxa"/>
            <w:shd w:val="clear" w:color="auto" w:fill="D9D9D9"/>
            <w:vAlign w:val="center"/>
          </w:tcPr>
          <w:p w14:paraId="54827C8D" w14:textId="77777777" w:rsidR="00290AD6" w:rsidRPr="00290AD6" w:rsidRDefault="00290AD6" w:rsidP="00290AD6">
            <w:pPr>
              <w:jc w:val="center"/>
              <w:rPr>
                <w:rFonts w:ascii="Calibri" w:eastAsia="Calibri" w:hAnsi="Calibri" w:cs="Arial"/>
                <w:b/>
                <w:bCs/>
              </w:rPr>
            </w:pPr>
            <w:r w:rsidRPr="00290AD6">
              <w:rPr>
                <w:rFonts w:ascii="Calibri" w:eastAsia="Calibri" w:hAnsi="Calibri" w:cs="Arial"/>
                <w:b/>
                <w:bCs/>
              </w:rPr>
              <w:t>Trimestre</w:t>
            </w:r>
          </w:p>
        </w:tc>
        <w:tc>
          <w:tcPr>
            <w:tcW w:w="3945" w:type="dxa"/>
            <w:shd w:val="clear" w:color="auto" w:fill="D9D9D9"/>
            <w:vAlign w:val="center"/>
          </w:tcPr>
          <w:p w14:paraId="2CF11081" w14:textId="77777777" w:rsidR="00290AD6" w:rsidRPr="00290AD6" w:rsidRDefault="00290AD6" w:rsidP="00290AD6">
            <w:pPr>
              <w:jc w:val="center"/>
              <w:rPr>
                <w:rFonts w:ascii="Calibri" w:eastAsia="Calibri" w:hAnsi="Calibri" w:cs="Arial"/>
                <w:b/>
                <w:bCs/>
              </w:rPr>
            </w:pPr>
            <w:r w:rsidRPr="00290AD6">
              <w:rPr>
                <w:rFonts w:ascii="Calibri" w:eastAsia="Calibri" w:hAnsi="Calibri" w:cs="Arial"/>
                <w:b/>
                <w:bCs/>
              </w:rPr>
              <w:t>Livrable</w:t>
            </w:r>
          </w:p>
        </w:tc>
        <w:tc>
          <w:tcPr>
            <w:tcW w:w="1199" w:type="dxa"/>
            <w:shd w:val="clear" w:color="auto" w:fill="D9D9D9"/>
            <w:vAlign w:val="center"/>
          </w:tcPr>
          <w:p w14:paraId="3712F231" w14:textId="77777777" w:rsidR="00290AD6" w:rsidRPr="00290AD6" w:rsidRDefault="00290AD6" w:rsidP="00290AD6">
            <w:pPr>
              <w:jc w:val="center"/>
              <w:rPr>
                <w:rFonts w:ascii="Calibri" w:eastAsia="Calibri" w:hAnsi="Calibri" w:cs="Arial"/>
                <w:b/>
                <w:bCs/>
              </w:rPr>
            </w:pPr>
            <w:r w:rsidRPr="00290AD6">
              <w:rPr>
                <w:rFonts w:ascii="Calibri" w:eastAsia="Calibri" w:hAnsi="Calibri" w:cs="Arial"/>
                <w:b/>
                <w:bCs/>
              </w:rPr>
              <w:t>Nbre de jours de travail</w:t>
            </w:r>
          </w:p>
        </w:tc>
        <w:tc>
          <w:tcPr>
            <w:tcW w:w="1389" w:type="dxa"/>
            <w:shd w:val="clear" w:color="auto" w:fill="D9D9D9"/>
            <w:vAlign w:val="center"/>
          </w:tcPr>
          <w:p w14:paraId="6CE206A8" w14:textId="77777777" w:rsidR="00290AD6" w:rsidRPr="00290AD6" w:rsidRDefault="00290AD6" w:rsidP="00290AD6">
            <w:pPr>
              <w:jc w:val="center"/>
              <w:rPr>
                <w:rFonts w:ascii="Calibri" w:eastAsia="Calibri" w:hAnsi="Calibri" w:cs="Arial"/>
                <w:b/>
                <w:bCs/>
              </w:rPr>
            </w:pPr>
            <w:r w:rsidRPr="00290AD6">
              <w:rPr>
                <w:rFonts w:ascii="Calibri" w:eastAsia="Calibri" w:hAnsi="Calibri" w:cs="Arial"/>
                <w:b/>
                <w:bCs/>
              </w:rPr>
              <w:t>Taux journalier</w:t>
            </w:r>
          </w:p>
        </w:tc>
        <w:tc>
          <w:tcPr>
            <w:tcW w:w="1445" w:type="dxa"/>
            <w:shd w:val="clear" w:color="auto" w:fill="D9D9D9"/>
            <w:vAlign w:val="center"/>
          </w:tcPr>
          <w:p w14:paraId="36265876" w14:textId="77777777" w:rsidR="00290AD6" w:rsidRPr="00290AD6" w:rsidRDefault="00290AD6" w:rsidP="00290AD6">
            <w:pPr>
              <w:jc w:val="center"/>
              <w:rPr>
                <w:rFonts w:ascii="Calibri" w:eastAsia="Calibri" w:hAnsi="Calibri" w:cs="Arial"/>
                <w:b/>
                <w:bCs/>
              </w:rPr>
            </w:pPr>
            <w:r w:rsidRPr="00290AD6">
              <w:rPr>
                <w:rFonts w:ascii="Calibri" w:eastAsia="Calibri" w:hAnsi="Calibri" w:cs="Arial"/>
                <w:b/>
                <w:bCs/>
              </w:rPr>
              <w:t>Total</w:t>
            </w:r>
          </w:p>
        </w:tc>
      </w:tr>
      <w:tr w:rsidR="00290AD6" w:rsidRPr="00290AD6" w14:paraId="08B66E2B" w14:textId="77777777" w:rsidTr="00F808F4">
        <w:tc>
          <w:tcPr>
            <w:tcW w:w="1084" w:type="dxa"/>
            <w:vAlign w:val="center"/>
          </w:tcPr>
          <w:p w14:paraId="78E9ECC4" w14:textId="77777777" w:rsidR="00290AD6" w:rsidRPr="00290AD6" w:rsidRDefault="00290AD6" w:rsidP="00290AD6">
            <w:pPr>
              <w:jc w:val="center"/>
              <w:rPr>
                <w:rFonts w:ascii="Calibri" w:eastAsia="Calibri" w:hAnsi="Calibri" w:cs="Arial"/>
              </w:rPr>
            </w:pPr>
            <w:r w:rsidRPr="00290AD6">
              <w:rPr>
                <w:rFonts w:ascii="Calibri" w:eastAsia="Calibri" w:hAnsi="Calibri" w:cs="Arial"/>
              </w:rPr>
              <w:t>T1</w:t>
            </w:r>
          </w:p>
        </w:tc>
        <w:tc>
          <w:tcPr>
            <w:tcW w:w="3945" w:type="dxa"/>
            <w:vAlign w:val="center"/>
          </w:tcPr>
          <w:p w14:paraId="412D2033" w14:textId="77777777" w:rsidR="00290AD6" w:rsidRPr="00290AD6" w:rsidRDefault="00290AD6" w:rsidP="00290AD6">
            <w:pPr>
              <w:rPr>
                <w:rFonts w:ascii="Calibri" w:eastAsia="Calibri" w:hAnsi="Calibri" w:cs="Arial"/>
              </w:rPr>
            </w:pPr>
            <w:r w:rsidRPr="00290AD6">
              <w:rPr>
                <w:rFonts w:ascii="Calibri" w:eastAsia="Calibri" w:hAnsi="Calibri" w:cs="Arial"/>
              </w:rPr>
              <w:t>Un cadre de suivi et d’évaluation conçu et opérationnel, intégrant des indicateurs quantitatifs et qualitatifs et les outils de collecte, vérification et analyse des données</w:t>
            </w:r>
          </w:p>
        </w:tc>
        <w:tc>
          <w:tcPr>
            <w:tcW w:w="1199" w:type="dxa"/>
            <w:vAlign w:val="center"/>
          </w:tcPr>
          <w:p w14:paraId="7B392E3F" w14:textId="77777777" w:rsidR="00290AD6" w:rsidRPr="00290AD6" w:rsidRDefault="00290AD6" w:rsidP="00290AD6">
            <w:pPr>
              <w:jc w:val="center"/>
              <w:rPr>
                <w:rFonts w:ascii="Calibri" w:eastAsia="Calibri" w:hAnsi="Calibri" w:cs="Arial"/>
              </w:rPr>
            </w:pPr>
            <w:r w:rsidRPr="00290AD6">
              <w:rPr>
                <w:rFonts w:ascii="Calibri" w:eastAsia="Calibri" w:hAnsi="Calibri" w:cs="Arial"/>
              </w:rPr>
              <w:t>10</w:t>
            </w:r>
          </w:p>
        </w:tc>
        <w:tc>
          <w:tcPr>
            <w:tcW w:w="1389" w:type="dxa"/>
            <w:vAlign w:val="center"/>
          </w:tcPr>
          <w:p w14:paraId="5BB03267" w14:textId="77777777" w:rsidR="00290AD6" w:rsidRPr="00290AD6" w:rsidRDefault="00290AD6" w:rsidP="00290AD6">
            <w:pPr>
              <w:jc w:val="center"/>
              <w:rPr>
                <w:rFonts w:ascii="Calibri" w:eastAsia="Calibri" w:hAnsi="Calibri" w:cs="Arial"/>
              </w:rPr>
            </w:pPr>
            <w:r w:rsidRPr="00290AD6">
              <w:rPr>
                <w:rFonts w:ascii="Calibri" w:eastAsia="Calibri" w:hAnsi="Calibri" w:cs="Arial"/>
              </w:rPr>
              <w:t>?</w:t>
            </w:r>
          </w:p>
        </w:tc>
        <w:tc>
          <w:tcPr>
            <w:tcW w:w="1445" w:type="dxa"/>
            <w:vAlign w:val="center"/>
          </w:tcPr>
          <w:p w14:paraId="118A7BA7" w14:textId="77777777" w:rsidR="00290AD6" w:rsidRPr="00290AD6" w:rsidRDefault="00290AD6" w:rsidP="00290AD6">
            <w:pPr>
              <w:jc w:val="center"/>
              <w:rPr>
                <w:rFonts w:ascii="Calibri" w:eastAsia="Calibri" w:hAnsi="Calibri" w:cs="Arial"/>
              </w:rPr>
            </w:pPr>
            <w:r w:rsidRPr="00290AD6">
              <w:rPr>
                <w:rFonts w:ascii="Calibri" w:eastAsia="Calibri" w:hAnsi="Calibri" w:cs="Arial"/>
              </w:rPr>
              <w:t>?</w:t>
            </w:r>
          </w:p>
        </w:tc>
      </w:tr>
      <w:tr w:rsidR="00290AD6" w:rsidRPr="00290AD6" w14:paraId="0DB8A736" w14:textId="77777777" w:rsidTr="00F808F4">
        <w:tc>
          <w:tcPr>
            <w:tcW w:w="1084" w:type="dxa"/>
            <w:vAlign w:val="center"/>
          </w:tcPr>
          <w:p w14:paraId="59AD1972" w14:textId="77777777" w:rsidR="00290AD6" w:rsidRPr="00290AD6" w:rsidRDefault="00290AD6" w:rsidP="00290AD6">
            <w:pPr>
              <w:jc w:val="center"/>
              <w:rPr>
                <w:rFonts w:ascii="Calibri" w:eastAsia="Calibri" w:hAnsi="Calibri" w:cs="Arial"/>
              </w:rPr>
            </w:pPr>
            <w:r w:rsidRPr="00290AD6">
              <w:rPr>
                <w:rFonts w:ascii="Calibri" w:eastAsia="Calibri" w:hAnsi="Calibri" w:cs="Arial"/>
              </w:rPr>
              <w:t>T2</w:t>
            </w:r>
          </w:p>
        </w:tc>
        <w:tc>
          <w:tcPr>
            <w:tcW w:w="3945" w:type="dxa"/>
            <w:vAlign w:val="center"/>
          </w:tcPr>
          <w:p w14:paraId="60B62299" w14:textId="77777777" w:rsidR="00290AD6" w:rsidRPr="00290AD6" w:rsidRDefault="00290AD6" w:rsidP="00290AD6">
            <w:pPr>
              <w:rPr>
                <w:rFonts w:ascii="Calibri" w:eastAsia="Calibri" w:hAnsi="Calibri" w:cs="Arial"/>
              </w:rPr>
            </w:pPr>
            <w:r w:rsidRPr="00290AD6">
              <w:rPr>
                <w:rFonts w:ascii="Calibri" w:eastAsia="Calibri" w:hAnsi="Calibri" w:cs="Arial"/>
              </w:rPr>
              <w:t>Rapports de suivi périodiques (mensuels ou trimestriels) détaillant l'avancement des activités, les résultats atteints, et les éventuels ajustements nécessaires</w:t>
            </w:r>
          </w:p>
        </w:tc>
        <w:tc>
          <w:tcPr>
            <w:tcW w:w="1199" w:type="dxa"/>
            <w:vAlign w:val="center"/>
          </w:tcPr>
          <w:p w14:paraId="465A2EE8" w14:textId="77777777" w:rsidR="00290AD6" w:rsidRPr="00290AD6" w:rsidRDefault="00290AD6" w:rsidP="00290AD6">
            <w:pPr>
              <w:jc w:val="center"/>
              <w:rPr>
                <w:rFonts w:ascii="Calibri" w:eastAsia="Calibri" w:hAnsi="Calibri" w:cs="Arial"/>
              </w:rPr>
            </w:pPr>
            <w:r w:rsidRPr="00290AD6">
              <w:rPr>
                <w:rFonts w:ascii="Calibri" w:eastAsia="Calibri" w:hAnsi="Calibri" w:cs="Arial"/>
              </w:rPr>
              <w:t>7,5</w:t>
            </w:r>
          </w:p>
        </w:tc>
        <w:tc>
          <w:tcPr>
            <w:tcW w:w="1389" w:type="dxa"/>
            <w:vAlign w:val="center"/>
          </w:tcPr>
          <w:p w14:paraId="0CC666A2" w14:textId="77777777" w:rsidR="00290AD6" w:rsidRPr="00290AD6" w:rsidRDefault="00290AD6" w:rsidP="00290AD6">
            <w:pPr>
              <w:jc w:val="center"/>
              <w:rPr>
                <w:rFonts w:ascii="Calibri" w:eastAsia="Calibri" w:hAnsi="Calibri" w:cs="Arial"/>
              </w:rPr>
            </w:pPr>
            <w:r w:rsidRPr="00290AD6">
              <w:rPr>
                <w:rFonts w:ascii="Calibri" w:eastAsia="Calibri" w:hAnsi="Calibri" w:cs="Arial"/>
              </w:rPr>
              <w:t>?</w:t>
            </w:r>
          </w:p>
        </w:tc>
        <w:tc>
          <w:tcPr>
            <w:tcW w:w="1445" w:type="dxa"/>
            <w:vAlign w:val="center"/>
          </w:tcPr>
          <w:p w14:paraId="325BFAFE" w14:textId="77777777" w:rsidR="00290AD6" w:rsidRPr="00290AD6" w:rsidRDefault="00290AD6" w:rsidP="00290AD6">
            <w:pPr>
              <w:jc w:val="center"/>
              <w:rPr>
                <w:rFonts w:ascii="Calibri" w:eastAsia="Calibri" w:hAnsi="Calibri" w:cs="Arial"/>
              </w:rPr>
            </w:pPr>
            <w:r w:rsidRPr="00290AD6">
              <w:rPr>
                <w:rFonts w:ascii="Calibri" w:eastAsia="Calibri" w:hAnsi="Calibri" w:cs="Arial"/>
              </w:rPr>
              <w:t>?</w:t>
            </w:r>
          </w:p>
        </w:tc>
      </w:tr>
      <w:tr w:rsidR="00290AD6" w:rsidRPr="00290AD6" w14:paraId="55C12C63" w14:textId="77777777" w:rsidTr="00F808F4">
        <w:tc>
          <w:tcPr>
            <w:tcW w:w="1084" w:type="dxa"/>
            <w:vAlign w:val="center"/>
          </w:tcPr>
          <w:p w14:paraId="7FF37A49" w14:textId="77777777" w:rsidR="00290AD6" w:rsidRPr="00290AD6" w:rsidRDefault="00290AD6" w:rsidP="00290AD6">
            <w:pPr>
              <w:jc w:val="center"/>
              <w:rPr>
                <w:rFonts w:ascii="Calibri" w:eastAsia="Calibri" w:hAnsi="Calibri" w:cs="Arial"/>
              </w:rPr>
            </w:pPr>
            <w:r w:rsidRPr="00290AD6">
              <w:rPr>
                <w:rFonts w:ascii="Calibri" w:eastAsia="Calibri" w:hAnsi="Calibri" w:cs="Arial"/>
              </w:rPr>
              <w:t>T3</w:t>
            </w:r>
          </w:p>
        </w:tc>
        <w:tc>
          <w:tcPr>
            <w:tcW w:w="3945" w:type="dxa"/>
            <w:vAlign w:val="center"/>
          </w:tcPr>
          <w:p w14:paraId="3AA74126" w14:textId="77777777" w:rsidR="00290AD6" w:rsidRPr="00290AD6" w:rsidRDefault="00290AD6" w:rsidP="00290AD6">
            <w:pPr>
              <w:rPr>
                <w:rFonts w:ascii="Calibri" w:eastAsia="Calibri" w:hAnsi="Calibri" w:cs="Arial"/>
              </w:rPr>
            </w:pPr>
            <w:r w:rsidRPr="00290AD6">
              <w:rPr>
                <w:rFonts w:ascii="Calibri" w:eastAsia="Calibri" w:hAnsi="Calibri" w:cs="Arial"/>
              </w:rPr>
              <w:t>Un rapport de mi-parcours incluant une évaluation intermédiaire des résultats, défis et perspectives pour la suite du projet</w:t>
            </w:r>
          </w:p>
        </w:tc>
        <w:tc>
          <w:tcPr>
            <w:tcW w:w="1199" w:type="dxa"/>
            <w:vAlign w:val="center"/>
          </w:tcPr>
          <w:p w14:paraId="3D7B27BF" w14:textId="77777777" w:rsidR="00290AD6" w:rsidRPr="00290AD6" w:rsidRDefault="00290AD6" w:rsidP="00290AD6">
            <w:pPr>
              <w:jc w:val="center"/>
              <w:rPr>
                <w:rFonts w:ascii="Calibri" w:eastAsia="Calibri" w:hAnsi="Calibri" w:cs="Arial"/>
              </w:rPr>
            </w:pPr>
            <w:r w:rsidRPr="00290AD6">
              <w:rPr>
                <w:rFonts w:ascii="Calibri" w:eastAsia="Calibri" w:hAnsi="Calibri" w:cs="Arial"/>
              </w:rPr>
              <w:t>10</w:t>
            </w:r>
          </w:p>
        </w:tc>
        <w:tc>
          <w:tcPr>
            <w:tcW w:w="1389" w:type="dxa"/>
            <w:vAlign w:val="center"/>
          </w:tcPr>
          <w:p w14:paraId="38B0952A" w14:textId="77777777" w:rsidR="00290AD6" w:rsidRPr="00290AD6" w:rsidRDefault="00290AD6" w:rsidP="00290AD6">
            <w:pPr>
              <w:jc w:val="center"/>
              <w:rPr>
                <w:rFonts w:ascii="Calibri" w:eastAsia="Calibri" w:hAnsi="Calibri" w:cs="Arial"/>
              </w:rPr>
            </w:pPr>
            <w:r w:rsidRPr="00290AD6">
              <w:rPr>
                <w:rFonts w:ascii="Calibri" w:eastAsia="Calibri" w:hAnsi="Calibri" w:cs="Arial"/>
              </w:rPr>
              <w:t>?</w:t>
            </w:r>
          </w:p>
        </w:tc>
        <w:tc>
          <w:tcPr>
            <w:tcW w:w="1445" w:type="dxa"/>
            <w:vAlign w:val="center"/>
          </w:tcPr>
          <w:p w14:paraId="695750BC" w14:textId="77777777" w:rsidR="00290AD6" w:rsidRPr="00290AD6" w:rsidRDefault="00290AD6" w:rsidP="00290AD6">
            <w:pPr>
              <w:jc w:val="center"/>
              <w:rPr>
                <w:rFonts w:ascii="Calibri" w:eastAsia="Calibri" w:hAnsi="Calibri" w:cs="Arial"/>
              </w:rPr>
            </w:pPr>
            <w:r w:rsidRPr="00290AD6">
              <w:rPr>
                <w:rFonts w:ascii="Calibri" w:eastAsia="Calibri" w:hAnsi="Calibri" w:cs="Arial"/>
              </w:rPr>
              <w:t>?</w:t>
            </w:r>
          </w:p>
        </w:tc>
      </w:tr>
      <w:tr w:rsidR="00290AD6" w:rsidRPr="00290AD6" w14:paraId="23852FF2" w14:textId="77777777" w:rsidTr="00F808F4">
        <w:tc>
          <w:tcPr>
            <w:tcW w:w="1084" w:type="dxa"/>
            <w:vAlign w:val="center"/>
          </w:tcPr>
          <w:p w14:paraId="6ED0C7F9" w14:textId="77777777" w:rsidR="00290AD6" w:rsidRPr="00290AD6" w:rsidRDefault="00290AD6" w:rsidP="00290AD6">
            <w:pPr>
              <w:jc w:val="center"/>
              <w:rPr>
                <w:rFonts w:ascii="Calibri" w:eastAsia="Calibri" w:hAnsi="Calibri" w:cs="Arial"/>
              </w:rPr>
            </w:pPr>
            <w:r w:rsidRPr="00290AD6">
              <w:rPr>
                <w:rFonts w:ascii="Calibri" w:eastAsia="Calibri" w:hAnsi="Calibri" w:cs="Arial"/>
              </w:rPr>
              <w:t>T4</w:t>
            </w:r>
          </w:p>
        </w:tc>
        <w:tc>
          <w:tcPr>
            <w:tcW w:w="3945" w:type="dxa"/>
            <w:vAlign w:val="center"/>
          </w:tcPr>
          <w:p w14:paraId="5A949EE1" w14:textId="77777777" w:rsidR="00290AD6" w:rsidRPr="00290AD6" w:rsidRDefault="00290AD6" w:rsidP="00290AD6">
            <w:pPr>
              <w:rPr>
                <w:rFonts w:ascii="Calibri" w:eastAsia="Calibri" w:hAnsi="Calibri" w:cs="Arial"/>
              </w:rPr>
            </w:pPr>
            <w:r w:rsidRPr="00290AD6">
              <w:rPr>
                <w:rFonts w:ascii="Calibri" w:eastAsia="Calibri" w:hAnsi="Calibri" w:cs="Arial"/>
              </w:rPr>
              <w:t>Rapports de suivi périodiques (mensuels ou trimestriels) détaillant l'avancement des activités, les résultats atteints, et les éventuels ajustements nécessaires</w:t>
            </w:r>
          </w:p>
        </w:tc>
        <w:tc>
          <w:tcPr>
            <w:tcW w:w="1199" w:type="dxa"/>
            <w:vAlign w:val="center"/>
          </w:tcPr>
          <w:p w14:paraId="12A00EA9" w14:textId="77777777" w:rsidR="00290AD6" w:rsidRPr="00290AD6" w:rsidRDefault="00290AD6" w:rsidP="00290AD6">
            <w:pPr>
              <w:jc w:val="center"/>
              <w:rPr>
                <w:rFonts w:ascii="Calibri" w:eastAsia="Calibri" w:hAnsi="Calibri" w:cs="Arial"/>
              </w:rPr>
            </w:pPr>
            <w:r w:rsidRPr="00290AD6">
              <w:rPr>
                <w:rFonts w:ascii="Calibri" w:eastAsia="Calibri" w:hAnsi="Calibri" w:cs="Arial"/>
              </w:rPr>
              <w:t>7,5</w:t>
            </w:r>
          </w:p>
        </w:tc>
        <w:tc>
          <w:tcPr>
            <w:tcW w:w="1389" w:type="dxa"/>
            <w:vAlign w:val="center"/>
          </w:tcPr>
          <w:p w14:paraId="215F129B" w14:textId="77777777" w:rsidR="00290AD6" w:rsidRPr="00290AD6" w:rsidRDefault="00290AD6" w:rsidP="00290AD6">
            <w:pPr>
              <w:jc w:val="center"/>
              <w:rPr>
                <w:rFonts w:ascii="Calibri" w:eastAsia="Calibri" w:hAnsi="Calibri" w:cs="Arial"/>
              </w:rPr>
            </w:pPr>
            <w:r w:rsidRPr="00290AD6">
              <w:rPr>
                <w:rFonts w:ascii="Calibri" w:eastAsia="Calibri" w:hAnsi="Calibri" w:cs="Arial"/>
              </w:rPr>
              <w:t>?</w:t>
            </w:r>
          </w:p>
        </w:tc>
        <w:tc>
          <w:tcPr>
            <w:tcW w:w="1445" w:type="dxa"/>
            <w:vAlign w:val="center"/>
          </w:tcPr>
          <w:p w14:paraId="57599A66" w14:textId="77777777" w:rsidR="00290AD6" w:rsidRPr="00290AD6" w:rsidRDefault="00290AD6" w:rsidP="00290AD6">
            <w:pPr>
              <w:jc w:val="center"/>
              <w:rPr>
                <w:rFonts w:ascii="Calibri" w:eastAsia="Calibri" w:hAnsi="Calibri" w:cs="Arial"/>
              </w:rPr>
            </w:pPr>
            <w:r w:rsidRPr="00290AD6">
              <w:rPr>
                <w:rFonts w:ascii="Calibri" w:eastAsia="Calibri" w:hAnsi="Calibri" w:cs="Arial"/>
              </w:rPr>
              <w:t>?</w:t>
            </w:r>
          </w:p>
        </w:tc>
      </w:tr>
      <w:tr w:rsidR="00290AD6" w:rsidRPr="00290AD6" w14:paraId="2C081A5F" w14:textId="77777777" w:rsidTr="00F808F4">
        <w:tc>
          <w:tcPr>
            <w:tcW w:w="1084" w:type="dxa"/>
            <w:vAlign w:val="center"/>
          </w:tcPr>
          <w:p w14:paraId="478D182D" w14:textId="77777777" w:rsidR="00290AD6" w:rsidRPr="00290AD6" w:rsidRDefault="00290AD6" w:rsidP="00290AD6">
            <w:pPr>
              <w:jc w:val="center"/>
              <w:rPr>
                <w:rFonts w:ascii="Calibri" w:eastAsia="Calibri" w:hAnsi="Calibri" w:cs="Arial"/>
              </w:rPr>
            </w:pPr>
            <w:r w:rsidRPr="00290AD6">
              <w:rPr>
                <w:rFonts w:ascii="Calibri" w:eastAsia="Calibri" w:hAnsi="Calibri" w:cs="Arial"/>
              </w:rPr>
              <w:t>T5</w:t>
            </w:r>
          </w:p>
        </w:tc>
        <w:tc>
          <w:tcPr>
            <w:tcW w:w="3945" w:type="dxa"/>
            <w:vAlign w:val="center"/>
          </w:tcPr>
          <w:p w14:paraId="0AE55835" w14:textId="77777777" w:rsidR="00290AD6" w:rsidRPr="00290AD6" w:rsidRDefault="00290AD6" w:rsidP="00290AD6">
            <w:pPr>
              <w:rPr>
                <w:rFonts w:ascii="Calibri" w:eastAsia="Calibri" w:hAnsi="Calibri" w:cs="Arial"/>
              </w:rPr>
            </w:pPr>
            <w:r w:rsidRPr="00290AD6">
              <w:rPr>
                <w:rFonts w:ascii="Calibri" w:eastAsia="Calibri" w:hAnsi="Calibri" w:cs="Arial"/>
              </w:rPr>
              <w:t>Un rapport final de synthèse présentant une évaluation complète du projet, des recommandations et des suggestions pour la pérennisation des actions</w:t>
            </w:r>
          </w:p>
        </w:tc>
        <w:tc>
          <w:tcPr>
            <w:tcW w:w="1199" w:type="dxa"/>
            <w:vAlign w:val="center"/>
          </w:tcPr>
          <w:p w14:paraId="1B75A546" w14:textId="77777777" w:rsidR="00290AD6" w:rsidRPr="00290AD6" w:rsidRDefault="00290AD6" w:rsidP="00290AD6">
            <w:pPr>
              <w:jc w:val="center"/>
              <w:rPr>
                <w:rFonts w:ascii="Calibri" w:eastAsia="Calibri" w:hAnsi="Calibri" w:cs="Arial"/>
              </w:rPr>
            </w:pPr>
            <w:r w:rsidRPr="00290AD6">
              <w:rPr>
                <w:rFonts w:ascii="Calibri" w:eastAsia="Calibri" w:hAnsi="Calibri" w:cs="Arial"/>
              </w:rPr>
              <w:t>10</w:t>
            </w:r>
          </w:p>
        </w:tc>
        <w:tc>
          <w:tcPr>
            <w:tcW w:w="1389" w:type="dxa"/>
            <w:vAlign w:val="center"/>
          </w:tcPr>
          <w:p w14:paraId="0B5234DE" w14:textId="77777777" w:rsidR="00290AD6" w:rsidRPr="00290AD6" w:rsidRDefault="00290AD6" w:rsidP="00290AD6">
            <w:pPr>
              <w:jc w:val="center"/>
              <w:rPr>
                <w:rFonts w:ascii="Calibri" w:eastAsia="Calibri" w:hAnsi="Calibri" w:cs="Arial"/>
              </w:rPr>
            </w:pPr>
            <w:r w:rsidRPr="00290AD6">
              <w:rPr>
                <w:rFonts w:ascii="Calibri" w:eastAsia="Calibri" w:hAnsi="Calibri" w:cs="Arial"/>
              </w:rPr>
              <w:t>?</w:t>
            </w:r>
          </w:p>
        </w:tc>
        <w:tc>
          <w:tcPr>
            <w:tcW w:w="1445" w:type="dxa"/>
            <w:vAlign w:val="center"/>
          </w:tcPr>
          <w:p w14:paraId="6BC2D23B" w14:textId="77777777" w:rsidR="00290AD6" w:rsidRPr="00290AD6" w:rsidRDefault="00290AD6" w:rsidP="00290AD6">
            <w:pPr>
              <w:jc w:val="center"/>
              <w:rPr>
                <w:rFonts w:ascii="Calibri" w:eastAsia="Calibri" w:hAnsi="Calibri" w:cs="Arial"/>
              </w:rPr>
            </w:pPr>
            <w:r w:rsidRPr="00290AD6">
              <w:rPr>
                <w:rFonts w:ascii="Calibri" w:eastAsia="Calibri" w:hAnsi="Calibri" w:cs="Arial"/>
              </w:rPr>
              <w:t>?</w:t>
            </w:r>
          </w:p>
        </w:tc>
      </w:tr>
      <w:tr w:rsidR="00290AD6" w:rsidRPr="00290AD6" w14:paraId="77E321B8" w14:textId="77777777" w:rsidTr="00F808F4">
        <w:tc>
          <w:tcPr>
            <w:tcW w:w="5029" w:type="dxa"/>
            <w:gridSpan w:val="2"/>
            <w:vAlign w:val="center"/>
          </w:tcPr>
          <w:p w14:paraId="4DE86895" w14:textId="77777777" w:rsidR="00290AD6" w:rsidRPr="00290AD6" w:rsidRDefault="00290AD6" w:rsidP="00290AD6">
            <w:pPr>
              <w:rPr>
                <w:rFonts w:ascii="Calibri" w:eastAsia="Calibri" w:hAnsi="Calibri" w:cs="Arial"/>
              </w:rPr>
            </w:pPr>
            <w:r w:rsidRPr="00290AD6">
              <w:rPr>
                <w:rFonts w:ascii="Calibri" w:eastAsia="Calibri" w:hAnsi="Calibri" w:cs="Arial"/>
                <w:b/>
                <w:bCs/>
              </w:rPr>
              <w:t>Total honoraires</w:t>
            </w:r>
          </w:p>
        </w:tc>
        <w:tc>
          <w:tcPr>
            <w:tcW w:w="1199" w:type="dxa"/>
            <w:vAlign w:val="center"/>
          </w:tcPr>
          <w:p w14:paraId="6800ED33" w14:textId="77777777" w:rsidR="00290AD6" w:rsidRPr="00290AD6" w:rsidRDefault="00290AD6" w:rsidP="00290AD6">
            <w:pPr>
              <w:jc w:val="center"/>
              <w:rPr>
                <w:rFonts w:ascii="Calibri" w:eastAsia="Calibri" w:hAnsi="Calibri" w:cs="Arial"/>
              </w:rPr>
            </w:pPr>
            <w:r w:rsidRPr="00290AD6">
              <w:rPr>
                <w:rFonts w:ascii="Calibri" w:eastAsia="Calibri" w:hAnsi="Calibri" w:cs="Arial"/>
              </w:rPr>
              <w:t>45</w:t>
            </w:r>
          </w:p>
        </w:tc>
        <w:tc>
          <w:tcPr>
            <w:tcW w:w="1389" w:type="dxa"/>
            <w:vAlign w:val="center"/>
          </w:tcPr>
          <w:p w14:paraId="0698ABE7" w14:textId="77777777" w:rsidR="00290AD6" w:rsidRPr="00290AD6" w:rsidRDefault="00290AD6" w:rsidP="00290AD6">
            <w:pPr>
              <w:jc w:val="center"/>
              <w:rPr>
                <w:rFonts w:ascii="Calibri" w:eastAsia="Calibri" w:hAnsi="Calibri" w:cs="Arial"/>
              </w:rPr>
            </w:pPr>
          </w:p>
        </w:tc>
        <w:tc>
          <w:tcPr>
            <w:tcW w:w="1445" w:type="dxa"/>
            <w:vAlign w:val="center"/>
          </w:tcPr>
          <w:p w14:paraId="2A075F63" w14:textId="77777777" w:rsidR="00290AD6" w:rsidRPr="00290AD6" w:rsidRDefault="00290AD6" w:rsidP="00290AD6">
            <w:pPr>
              <w:jc w:val="center"/>
              <w:rPr>
                <w:rFonts w:ascii="Calibri" w:eastAsia="Calibri" w:hAnsi="Calibri" w:cs="Arial"/>
              </w:rPr>
            </w:pPr>
            <w:r w:rsidRPr="00290AD6">
              <w:rPr>
                <w:rFonts w:ascii="Calibri" w:eastAsia="Calibri" w:hAnsi="Calibri" w:cs="Arial"/>
              </w:rPr>
              <w:t>?</w:t>
            </w:r>
          </w:p>
        </w:tc>
      </w:tr>
      <w:tr w:rsidR="00290AD6" w:rsidRPr="00290AD6" w14:paraId="6AB537B1" w14:textId="77777777" w:rsidTr="00F808F4">
        <w:tc>
          <w:tcPr>
            <w:tcW w:w="9062" w:type="dxa"/>
            <w:gridSpan w:val="5"/>
            <w:shd w:val="clear" w:color="auto" w:fill="4C94D8"/>
            <w:vAlign w:val="center"/>
          </w:tcPr>
          <w:p w14:paraId="5F9177FE" w14:textId="77777777" w:rsidR="00290AD6" w:rsidRPr="00290AD6" w:rsidRDefault="00290AD6" w:rsidP="00290AD6">
            <w:pPr>
              <w:jc w:val="center"/>
              <w:rPr>
                <w:rFonts w:ascii="Calibri" w:eastAsia="Calibri" w:hAnsi="Calibri" w:cs="Arial"/>
                <w:sz w:val="24"/>
                <w:szCs w:val="24"/>
              </w:rPr>
            </w:pPr>
            <w:r w:rsidRPr="00290AD6">
              <w:rPr>
                <w:rFonts w:ascii="Calibri" w:eastAsia="Calibri" w:hAnsi="Calibri" w:cs="Arial"/>
                <w:b/>
                <w:bCs/>
                <w:sz w:val="24"/>
                <w:szCs w:val="24"/>
              </w:rPr>
              <w:t>Frais</w:t>
            </w:r>
          </w:p>
        </w:tc>
      </w:tr>
      <w:tr w:rsidR="00290AD6" w:rsidRPr="00290AD6" w14:paraId="65D65E88" w14:textId="77777777" w:rsidTr="00F808F4">
        <w:tc>
          <w:tcPr>
            <w:tcW w:w="1084" w:type="dxa"/>
            <w:shd w:val="clear" w:color="auto" w:fill="D9D9D9"/>
            <w:vAlign w:val="center"/>
          </w:tcPr>
          <w:p w14:paraId="45267B22" w14:textId="77777777" w:rsidR="00290AD6" w:rsidRPr="00290AD6" w:rsidRDefault="00290AD6" w:rsidP="00290AD6">
            <w:pPr>
              <w:jc w:val="center"/>
              <w:rPr>
                <w:rFonts w:ascii="Calibri" w:eastAsia="Calibri" w:hAnsi="Calibri" w:cs="Arial"/>
                <w:b/>
                <w:bCs/>
              </w:rPr>
            </w:pPr>
            <w:r w:rsidRPr="00290AD6">
              <w:rPr>
                <w:rFonts w:ascii="Calibri" w:eastAsia="Calibri" w:hAnsi="Calibri" w:cs="Arial"/>
                <w:b/>
                <w:bCs/>
              </w:rPr>
              <w:t>N°</w:t>
            </w:r>
          </w:p>
        </w:tc>
        <w:tc>
          <w:tcPr>
            <w:tcW w:w="3945" w:type="dxa"/>
            <w:shd w:val="clear" w:color="auto" w:fill="D9D9D9"/>
            <w:vAlign w:val="center"/>
          </w:tcPr>
          <w:p w14:paraId="704EAE86" w14:textId="77777777" w:rsidR="00290AD6" w:rsidRPr="00290AD6" w:rsidRDefault="00290AD6" w:rsidP="00290AD6">
            <w:pPr>
              <w:rPr>
                <w:rFonts w:ascii="Calibri" w:eastAsia="Calibri" w:hAnsi="Calibri" w:cs="Arial"/>
                <w:b/>
                <w:bCs/>
              </w:rPr>
            </w:pPr>
            <w:r w:rsidRPr="00290AD6">
              <w:rPr>
                <w:rFonts w:ascii="Calibri" w:eastAsia="Calibri" w:hAnsi="Calibri" w:cs="Arial"/>
                <w:b/>
                <w:bCs/>
              </w:rPr>
              <w:t>Désignation</w:t>
            </w:r>
          </w:p>
        </w:tc>
        <w:tc>
          <w:tcPr>
            <w:tcW w:w="1199" w:type="dxa"/>
            <w:shd w:val="clear" w:color="auto" w:fill="D9D9D9"/>
            <w:vAlign w:val="center"/>
          </w:tcPr>
          <w:p w14:paraId="158A4F75" w14:textId="77777777" w:rsidR="00290AD6" w:rsidRPr="00290AD6" w:rsidRDefault="00290AD6" w:rsidP="00290AD6">
            <w:pPr>
              <w:jc w:val="center"/>
              <w:rPr>
                <w:rFonts w:ascii="Calibri" w:eastAsia="Calibri" w:hAnsi="Calibri" w:cs="Arial"/>
                <w:b/>
                <w:bCs/>
              </w:rPr>
            </w:pPr>
            <w:r w:rsidRPr="00290AD6">
              <w:rPr>
                <w:rFonts w:ascii="Calibri" w:eastAsia="Calibri" w:hAnsi="Calibri" w:cs="Arial"/>
                <w:b/>
                <w:bCs/>
              </w:rPr>
              <w:t>Quantité</w:t>
            </w:r>
          </w:p>
        </w:tc>
        <w:tc>
          <w:tcPr>
            <w:tcW w:w="1389" w:type="dxa"/>
            <w:shd w:val="clear" w:color="auto" w:fill="D9D9D9"/>
            <w:vAlign w:val="center"/>
          </w:tcPr>
          <w:p w14:paraId="7616E9E2" w14:textId="77777777" w:rsidR="00290AD6" w:rsidRPr="00290AD6" w:rsidRDefault="00290AD6" w:rsidP="00290AD6">
            <w:pPr>
              <w:jc w:val="center"/>
              <w:rPr>
                <w:rFonts w:ascii="Calibri" w:eastAsia="Calibri" w:hAnsi="Calibri" w:cs="Arial"/>
                <w:b/>
                <w:bCs/>
              </w:rPr>
            </w:pPr>
            <w:r w:rsidRPr="00290AD6">
              <w:rPr>
                <w:rFonts w:ascii="Calibri" w:eastAsia="Calibri" w:hAnsi="Calibri" w:cs="Arial"/>
                <w:b/>
                <w:bCs/>
              </w:rPr>
              <w:t>Prix unit.</w:t>
            </w:r>
          </w:p>
        </w:tc>
        <w:tc>
          <w:tcPr>
            <w:tcW w:w="1445" w:type="dxa"/>
            <w:shd w:val="clear" w:color="auto" w:fill="D9D9D9"/>
            <w:vAlign w:val="center"/>
          </w:tcPr>
          <w:p w14:paraId="68176DA6" w14:textId="77777777" w:rsidR="00290AD6" w:rsidRPr="00290AD6" w:rsidRDefault="00290AD6" w:rsidP="00290AD6">
            <w:pPr>
              <w:jc w:val="center"/>
              <w:rPr>
                <w:rFonts w:ascii="Calibri" w:eastAsia="Calibri" w:hAnsi="Calibri" w:cs="Arial"/>
                <w:b/>
                <w:bCs/>
              </w:rPr>
            </w:pPr>
            <w:r w:rsidRPr="00290AD6">
              <w:rPr>
                <w:rFonts w:ascii="Calibri" w:eastAsia="Calibri" w:hAnsi="Calibri" w:cs="Arial"/>
                <w:b/>
                <w:bCs/>
              </w:rPr>
              <w:t>Total</w:t>
            </w:r>
          </w:p>
        </w:tc>
      </w:tr>
      <w:tr w:rsidR="00290AD6" w:rsidRPr="00290AD6" w14:paraId="07269E8B" w14:textId="77777777" w:rsidTr="00F808F4">
        <w:tc>
          <w:tcPr>
            <w:tcW w:w="1084" w:type="dxa"/>
            <w:vAlign w:val="center"/>
          </w:tcPr>
          <w:p w14:paraId="6BF57074" w14:textId="77777777" w:rsidR="00290AD6" w:rsidRPr="00290AD6" w:rsidRDefault="00290AD6" w:rsidP="00290AD6">
            <w:pPr>
              <w:jc w:val="center"/>
              <w:rPr>
                <w:rFonts w:ascii="Calibri" w:eastAsia="Calibri" w:hAnsi="Calibri" w:cs="Arial"/>
              </w:rPr>
            </w:pPr>
            <w:r w:rsidRPr="00290AD6">
              <w:rPr>
                <w:rFonts w:ascii="Calibri" w:eastAsia="Calibri" w:hAnsi="Calibri" w:cs="Arial"/>
              </w:rPr>
              <w:t>1</w:t>
            </w:r>
          </w:p>
        </w:tc>
        <w:tc>
          <w:tcPr>
            <w:tcW w:w="3945" w:type="dxa"/>
            <w:vAlign w:val="center"/>
          </w:tcPr>
          <w:p w14:paraId="41E8054E" w14:textId="343E009A" w:rsidR="00290AD6" w:rsidRPr="00290AD6" w:rsidRDefault="00F808F4" w:rsidP="00290AD6">
            <w:pPr>
              <w:rPr>
                <w:rFonts w:ascii="Calibri" w:eastAsia="Calibri" w:hAnsi="Calibri" w:cs="Arial"/>
              </w:rPr>
            </w:pPr>
            <w:r>
              <w:rPr>
                <w:rFonts w:ascii="Calibri" w:eastAsia="Calibri" w:hAnsi="Calibri" w:cs="Arial"/>
              </w:rPr>
              <w:t>?</w:t>
            </w:r>
          </w:p>
        </w:tc>
        <w:tc>
          <w:tcPr>
            <w:tcW w:w="1199" w:type="dxa"/>
            <w:vAlign w:val="center"/>
          </w:tcPr>
          <w:p w14:paraId="7D206237" w14:textId="49A9E3D2" w:rsidR="00290AD6" w:rsidRPr="00290AD6" w:rsidRDefault="00F808F4" w:rsidP="00290AD6">
            <w:pPr>
              <w:jc w:val="center"/>
              <w:rPr>
                <w:rFonts w:ascii="Calibri" w:eastAsia="Calibri" w:hAnsi="Calibri" w:cs="Arial"/>
              </w:rPr>
            </w:pPr>
            <w:r>
              <w:rPr>
                <w:rFonts w:ascii="Calibri" w:eastAsia="Calibri" w:hAnsi="Calibri" w:cs="Arial"/>
              </w:rPr>
              <w:t>?</w:t>
            </w:r>
          </w:p>
        </w:tc>
        <w:tc>
          <w:tcPr>
            <w:tcW w:w="1389" w:type="dxa"/>
            <w:vAlign w:val="center"/>
          </w:tcPr>
          <w:p w14:paraId="5E64D2DD" w14:textId="1595BAE5" w:rsidR="00290AD6" w:rsidRPr="00290AD6" w:rsidRDefault="00F808F4" w:rsidP="00290AD6">
            <w:pPr>
              <w:jc w:val="center"/>
              <w:rPr>
                <w:rFonts w:ascii="Calibri" w:eastAsia="Calibri" w:hAnsi="Calibri" w:cs="Arial"/>
              </w:rPr>
            </w:pPr>
            <w:r>
              <w:rPr>
                <w:rFonts w:ascii="Calibri" w:eastAsia="Calibri" w:hAnsi="Calibri" w:cs="Arial"/>
              </w:rPr>
              <w:t>?</w:t>
            </w:r>
          </w:p>
        </w:tc>
        <w:tc>
          <w:tcPr>
            <w:tcW w:w="1445" w:type="dxa"/>
            <w:vAlign w:val="center"/>
          </w:tcPr>
          <w:p w14:paraId="5CFA3DED" w14:textId="2C2FA13C" w:rsidR="00290AD6" w:rsidRPr="00290AD6" w:rsidRDefault="00F808F4" w:rsidP="00290AD6">
            <w:pPr>
              <w:jc w:val="center"/>
              <w:rPr>
                <w:rFonts w:ascii="Calibri" w:eastAsia="Calibri" w:hAnsi="Calibri" w:cs="Arial"/>
              </w:rPr>
            </w:pPr>
            <w:r>
              <w:rPr>
                <w:rFonts w:ascii="Calibri" w:eastAsia="Calibri" w:hAnsi="Calibri" w:cs="Arial"/>
              </w:rPr>
              <w:t>?</w:t>
            </w:r>
          </w:p>
        </w:tc>
      </w:tr>
      <w:tr w:rsidR="00F808F4" w:rsidRPr="00290AD6" w14:paraId="67B81060" w14:textId="77777777" w:rsidTr="00F808F4">
        <w:tc>
          <w:tcPr>
            <w:tcW w:w="1084" w:type="dxa"/>
            <w:vAlign w:val="center"/>
          </w:tcPr>
          <w:p w14:paraId="6F9CEE1E" w14:textId="77777777" w:rsidR="00F808F4" w:rsidRPr="00290AD6" w:rsidRDefault="00F808F4" w:rsidP="00F808F4">
            <w:pPr>
              <w:jc w:val="center"/>
              <w:rPr>
                <w:rFonts w:ascii="Calibri" w:eastAsia="Calibri" w:hAnsi="Calibri" w:cs="Arial"/>
              </w:rPr>
            </w:pPr>
            <w:r w:rsidRPr="00290AD6">
              <w:rPr>
                <w:rFonts w:ascii="Calibri" w:eastAsia="Calibri" w:hAnsi="Calibri" w:cs="Arial"/>
              </w:rPr>
              <w:t>2</w:t>
            </w:r>
          </w:p>
        </w:tc>
        <w:tc>
          <w:tcPr>
            <w:tcW w:w="3945" w:type="dxa"/>
            <w:vAlign w:val="center"/>
          </w:tcPr>
          <w:p w14:paraId="7267FADE" w14:textId="70427F5F" w:rsidR="00F808F4" w:rsidRPr="00290AD6" w:rsidRDefault="00F808F4" w:rsidP="00F808F4">
            <w:pPr>
              <w:rPr>
                <w:rFonts w:ascii="Calibri" w:eastAsia="Calibri" w:hAnsi="Calibri" w:cs="Arial"/>
              </w:rPr>
            </w:pPr>
            <w:r>
              <w:rPr>
                <w:rFonts w:ascii="Calibri" w:eastAsia="Calibri" w:hAnsi="Calibri" w:cs="Arial"/>
              </w:rPr>
              <w:t>?</w:t>
            </w:r>
          </w:p>
        </w:tc>
        <w:tc>
          <w:tcPr>
            <w:tcW w:w="1199" w:type="dxa"/>
            <w:vAlign w:val="center"/>
          </w:tcPr>
          <w:p w14:paraId="1A100E29" w14:textId="421D4710" w:rsidR="00F808F4" w:rsidRPr="00290AD6" w:rsidRDefault="00F808F4" w:rsidP="00F808F4">
            <w:pPr>
              <w:jc w:val="center"/>
              <w:rPr>
                <w:rFonts w:ascii="Calibri" w:eastAsia="Calibri" w:hAnsi="Calibri" w:cs="Arial"/>
              </w:rPr>
            </w:pPr>
            <w:r>
              <w:rPr>
                <w:rFonts w:ascii="Calibri" w:eastAsia="Calibri" w:hAnsi="Calibri" w:cs="Arial"/>
              </w:rPr>
              <w:t>?</w:t>
            </w:r>
          </w:p>
        </w:tc>
        <w:tc>
          <w:tcPr>
            <w:tcW w:w="1389" w:type="dxa"/>
            <w:vAlign w:val="center"/>
          </w:tcPr>
          <w:p w14:paraId="74FC09F1" w14:textId="783C0BD9" w:rsidR="00F808F4" w:rsidRPr="00290AD6" w:rsidRDefault="00F808F4" w:rsidP="00F808F4">
            <w:pPr>
              <w:jc w:val="center"/>
              <w:rPr>
                <w:rFonts w:ascii="Calibri" w:eastAsia="Calibri" w:hAnsi="Calibri" w:cs="Arial"/>
              </w:rPr>
            </w:pPr>
            <w:r>
              <w:rPr>
                <w:rFonts w:ascii="Calibri" w:eastAsia="Calibri" w:hAnsi="Calibri" w:cs="Arial"/>
              </w:rPr>
              <w:t>?</w:t>
            </w:r>
          </w:p>
        </w:tc>
        <w:tc>
          <w:tcPr>
            <w:tcW w:w="1445" w:type="dxa"/>
            <w:vAlign w:val="center"/>
          </w:tcPr>
          <w:p w14:paraId="04165498" w14:textId="329F7846" w:rsidR="00F808F4" w:rsidRPr="00290AD6" w:rsidRDefault="00F808F4" w:rsidP="00F808F4">
            <w:pPr>
              <w:jc w:val="center"/>
              <w:rPr>
                <w:rFonts w:ascii="Calibri" w:eastAsia="Calibri" w:hAnsi="Calibri" w:cs="Arial"/>
              </w:rPr>
            </w:pPr>
            <w:r>
              <w:rPr>
                <w:rFonts w:ascii="Calibri" w:eastAsia="Calibri" w:hAnsi="Calibri" w:cs="Arial"/>
              </w:rPr>
              <w:t>?</w:t>
            </w:r>
          </w:p>
        </w:tc>
      </w:tr>
      <w:tr w:rsidR="00F808F4" w:rsidRPr="00290AD6" w14:paraId="6D598BF3" w14:textId="77777777" w:rsidTr="00F808F4">
        <w:tc>
          <w:tcPr>
            <w:tcW w:w="1084" w:type="dxa"/>
            <w:vAlign w:val="center"/>
          </w:tcPr>
          <w:p w14:paraId="1B5925D1" w14:textId="77777777" w:rsidR="00F808F4" w:rsidRPr="00290AD6" w:rsidRDefault="00F808F4" w:rsidP="00F808F4">
            <w:pPr>
              <w:jc w:val="center"/>
              <w:rPr>
                <w:rFonts w:ascii="Calibri" w:eastAsia="Calibri" w:hAnsi="Calibri" w:cs="Arial"/>
              </w:rPr>
            </w:pPr>
            <w:r w:rsidRPr="00290AD6">
              <w:rPr>
                <w:rFonts w:ascii="Calibri" w:eastAsia="Calibri" w:hAnsi="Calibri" w:cs="Arial"/>
              </w:rPr>
              <w:t>3</w:t>
            </w:r>
          </w:p>
        </w:tc>
        <w:tc>
          <w:tcPr>
            <w:tcW w:w="3945" w:type="dxa"/>
            <w:vAlign w:val="center"/>
          </w:tcPr>
          <w:p w14:paraId="460C8ED4" w14:textId="5D81522D" w:rsidR="00F808F4" w:rsidRPr="00290AD6" w:rsidRDefault="00F808F4" w:rsidP="00F808F4">
            <w:pPr>
              <w:rPr>
                <w:rFonts w:ascii="Calibri" w:eastAsia="Calibri" w:hAnsi="Calibri" w:cs="Arial"/>
              </w:rPr>
            </w:pPr>
            <w:r>
              <w:rPr>
                <w:rFonts w:ascii="Calibri" w:eastAsia="Calibri" w:hAnsi="Calibri" w:cs="Arial"/>
              </w:rPr>
              <w:t>?</w:t>
            </w:r>
          </w:p>
        </w:tc>
        <w:tc>
          <w:tcPr>
            <w:tcW w:w="1199" w:type="dxa"/>
            <w:vAlign w:val="center"/>
          </w:tcPr>
          <w:p w14:paraId="6AD034ED" w14:textId="453A7598" w:rsidR="00F808F4" w:rsidRPr="00290AD6" w:rsidRDefault="00F808F4" w:rsidP="00F808F4">
            <w:pPr>
              <w:jc w:val="center"/>
              <w:rPr>
                <w:rFonts w:ascii="Calibri" w:eastAsia="Calibri" w:hAnsi="Calibri" w:cs="Arial"/>
              </w:rPr>
            </w:pPr>
            <w:r>
              <w:rPr>
                <w:rFonts w:ascii="Calibri" w:eastAsia="Calibri" w:hAnsi="Calibri" w:cs="Arial"/>
              </w:rPr>
              <w:t>?</w:t>
            </w:r>
          </w:p>
        </w:tc>
        <w:tc>
          <w:tcPr>
            <w:tcW w:w="1389" w:type="dxa"/>
            <w:vAlign w:val="center"/>
          </w:tcPr>
          <w:p w14:paraId="508B671A" w14:textId="6EBE1B9D" w:rsidR="00F808F4" w:rsidRPr="00290AD6" w:rsidRDefault="00F808F4" w:rsidP="00F808F4">
            <w:pPr>
              <w:jc w:val="center"/>
              <w:rPr>
                <w:rFonts w:ascii="Calibri" w:eastAsia="Calibri" w:hAnsi="Calibri" w:cs="Arial"/>
              </w:rPr>
            </w:pPr>
            <w:r>
              <w:rPr>
                <w:rFonts w:ascii="Calibri" w:eastAsia="Calibri" w:hAnsi="Calibri" w:cs="Arial"/>
              </w:rPr>
              <w:t>?</w:t>
            </w:r>
          </w:p>
        </w:tc>
        <w:tc>
          <w:tcPr>
            <w:tcW w:w="1445" w:type="dxa"/>
            <w:vAlign w:val="center"/>
          </w:tcPr>
          <w:p w14:paraId="0EFF25CB" w14:textId="0E36363F" w:rsidR="00F808F4" w:rsidRPr="00290AD6" w:rsidRDefault="00F808F4" w:rsidP="00F808F4">
            <w:pPr>
              <w:jc w:val="center"/>
              <w:rPr>
                <w:rFonts w:ascii="Calibri" w:eastAsia="Calibri" w:hAnsi="Calibri" w:cs="Arial"/>
              </w:rPr>
            </w:pPr>
            <w:r>
              <w:rPr>
                <w:rFonts w:ascii="Calibri" w:eastAsia="Calibri" w:hAnsi="Calibri" w:cs="Arial"/>
              </w:rPr>
              <w:t>?</w:t>
            </w:r>
          </w:p>
        </w:tc>
      </w:tr>
      <w:tr w:rsidR="00290AD6" w:rsidRPr="00290AD6" w14:paraId="175F7C61" w14:textId="77777777" w:rsidTr="00F808F4">
        <w:tc>
          <w:tcPr>
            <w:tcW w:w="1084" w:type="dxa"/>
            <w:vAlign w:val="center"/>
          </w:tcPr>
          <w:p w14:paraId="1F5AD3C1" w14:textId="77777777" w:rsidR="00290AD6" w:rsidRPr="00290AD6" w:rsidRDefault="00290AD6" w:rsidP="00290AD6">
            <w:pPr>
              <w:jc w:val="center"/>
              <w:rPr>
                <w:rFonts w:ascii="Calibri" w:eastAsia="Calibri" w:hAnsi="Calibri" w:cs="Arial"/>
              </w:rPr>
            </w:pPr>
            <w:r w:rsidRPr="00290AD6">
              <w:rPr>
                <w:rFonts w:ascii="Calibri" w:eastAsia="Calibri" w:hAnsi="Calibri" w:cs="Arial"/>
              </w:rPr>
              <w:t>…</w:t>
            </w:r>
          </w:p>
        </w:tc>
        <w:tc>
          <w:tcPr>
            <w:tcW w:w="3945" w:type="dxa"/>
            <w:vAlign w:val="center"/>
          </w:tcPr>
          <w:p w14:paraId="7A7A4AEE" w14:textId="77777777" w:rsidR="00290AD6" w:rsidRPr="00290AD6" w:rsidRDefault="00290AD6" w:rsidP="00290AD6">
            <w:pPr>
              <w:rPr>
                <w:rFonts w:ascii="Calibri" w:eastAsia="Calibri" w:hAnsi="Calibri" w:cs="Arial"/>
              </w:rPr>
            </w:pPr>
            <w:r w:rsidRPr="00290AD6">
              <w:rPr>
                <w:rFonts w:ascii="Calibri" w:eastAsia="Calibri" w:hAnsi="Calibri" w:cs="Arial"/>
              </w:rPr>
              <w:t>…</w:t>
            </w:r>
          </w:p>
        </w:tc>
        <w:tc>
          <w:tcPr>
            <w:tcW w:w="1199" w:type="dxa"/>
            <w:vAlign w:val="center"/>
          </w:tcPr>
          <w:p w14:paraId="40999907" w14:textId="4EA7A674" w:rsidR="00290AD6" w:rsidRPr="00290AD6" w:rsidRDefault="003701C7" w:rsidP="00290AD6">
            <w:pPr>
              <w:jc w:val="center"/>
              <w:rPr>
                <w:rFonts w:ascii="Calibri" w:eastAsia="Calibri" w:hAnsi="Calibri" w:cs="Arial"/>
              </w:rPr>
            </w:pPr>
            <w:r>
              <w:rPr>
                <w:rFonts w:ascii="Calibri" w:eastAsia="Calibri" w:hAnsi="Calibri" w:cs="Arial"/>
              </w:rPr>
              <w:t>?</w:t>
            </w:r>
          </w:p>
        </w:tc>
        <w:tc>
          <w:tcPr>
            <w:tcW w:w="1389" w:type="dxa"/>
            <w:vAlign w:val="center"/>
          </w:tcPr>
          <w:p w14:paraId="5F907217" w14:textId="10A997C6" w:rsidR="00290AD6" w:rsidRPr="00290AD6" w:rsidRDefault="003701C7" w:rsidP="00290AD6">
            <w:pPr>
              <w:jc w:val="center"/>
              <w:rPr>
                <w:rFonts w:ascii="Calibri" w:eastAsia="Calibri" w:hAnsi="Calibri" w:cs="Arial"/>
              </w:rPr>
            </w:pPr>
            <w:r>
              <w:rPr>
                <w:rFonts w:ascii="Calibri" w:eastAsia="Calibri" w:hAnsi="Calibri" w:cs="Arial"/>
              </w:rPr>
              <w:t>?</w:t>
            </w:r>
          </w:p>
        </w:tc>
        <w:tc>
          <w:tcPr>
            <w:tcW w:w="1445" w:type="dxa"/>
            <w:vAlign w:val="center"/>
          </w:tcPr>
          <w:p w14:paraId="4375C04F" w14:textId="55303310" w:rsidR="00290AD6" w:rsidRPr="00290AD6" w:rsidRDefault="003701C7" w:rsidP="00290AD6">
            <w:pPr>
              <w:jc w:val="center"/>
              <w:rPr>
                <w:rFonts w:ascii="Calibri" w:eastAsia="Calibri" w:hAnsi="Calibri" w:cs="Arial"/>
              </w:rPr>
            </w:pPr>
            <w:r>
              <w:rPr>
                <w:rFonts w:ascii="Calibri" w:eastAsia="Calibri" w:hAnsi="Calibri" w:cs="Arial"/>
              </w:rPr>
              <w:t>?</w:t>
            </w:r>
          </w:p>
        </w:tc>
      </w:tr>
      <w:tr w:rsidR="00290AD6" w:rsidRPr="00290AD6" w14:paraId="1DCDBE56" w14:textId="77777777" w:rsidTr="00F808F4">
        <w:tc>
          <w:tcPr>
            <w:tcW w:w="7617" w:type="dxa"/>
            <w:gridSpan w:val="4"/>
            <w:vAlign w:val="center"/>
          </w:tcPr>
          <w:p w14:paraId="45335B5F" w14:textId="77777777" w:rsidR="00290AD6" w:rsidRPr="00290AD6" w:rsidRDefault="00290AD6" w:rsidP="00290AD6">
            <w:pPr>
              <w:rPr>
                <w:rFonts w:ascii="Calibri" w:eastAsia="Calibri" w:hAnsi="Calibri" w:cs="Arial"/>
                <w:b/>
                <w:bCs/>
              </w:rPr>
            </w:pPr>
            <w:r w:rsidRPr="00290AD6">
              <w:rPr>
                <w:rFonts w:ascii="Calibri" w:eastAsia="Calibri" w:hAnsi="Calibri" w:cs="Arial"/>
                <w:b/>
                <w:bCs/>
              </w:rPr>
              <w:t>Total frais</w:t>
            </w:r>
          </w:p>
        </w:tc>
        <w:tc>
          <w:tcPr>
            <w:tcW w:w="1445" w:type="dxa"/>
            <w:vAlign w:val="center"/>
          </w:tcPr>
          <w:p w14:paraId="5E4525F3" w14:textId="127F886F" w:rsidR="00290AD6" w:rsidRPr="00290AD6" w:rsidRDefault="00F808F4" w:rsidP="00290AD6">
            <w:pPr>
              <w:jc w:val="center"/>
              <w:rPr>
                <w:rFonts w:ascii="Calibri" w:eastAsia="Calibri" w:hAnsi="Calibri" w:cs="Arial"/>
              </w:rPr>
            </w:pPr>
            <w:r>
              <w:rPr>
                <w:rFonts w:ascii="Calibri" w:eastAsia="Calibri" w:hAnsi="Calibri" w:cs="Arial"/>
              </w:rPr>
              <w:t>?</w:t>
            </w:r>
          </w:p>
        </w:tc>
      </w:tr>
      <w:tr w:rsidR="00290AD6" w:rsidRPr="00290AD6" w14:paraId="6615BE20" w14:textId="77777777" w:rsidTr="00F808F4">
        <w:tc>
          <w:tcPr>
            <w:tcW w:w="7617" w:type="dxa"/>
            <w:gridSpan w:val="4"/>
            <w:shd w:val="clear" w:color="auto" w:fill="A5C9EB"/>
            <w:vAlign w:val="center"/>
          </w:tcPr>
          <w:p w14:paraId="790BA1A9" w14:textId="77777777" w:rsidR="00290AD6" w:rsidRPr="00290AD6" w:rsidRDefault="00290AD6" w:rsidP="00290AD6">
            <w:pPr>
              <w:rPr>
                <w:rFonts w:ascii="Calibri" w:eastAsia="Calibri" w:hAnsi="Calibri" w:cs="Arial"/>
                <w:b/>
                <w:bCs/>
                <w:sz w:val="24"/>
                <w:szCs w:val="24"/>
              </w:rPr>
            </w:pPr>
            <w:r w:rsidRPr="00290AD6">
              <w:rPr>
                <w:rFonts w:ascii="Calibri" w:eastAsia="Calibri" w:hAnsi="Calibri" w:cs="Arial"/>
                <w:b/>
                <w:bCs/>
                <w:sz w:val="24"/>
                <w:szCs w:val="24"/>
              </w:rPr>
              <w:t>Total Général</w:t>
            </w:r>
          </w:p>
        </w:tc>
        <w:tc>
          <w:tcPr>
            <w:tcW w:w="1445" w:type="dxa"/>
            <w:shd w:val="clear" w:color="auto" w:fill="A5C9EB"/>
            <w:vAlign w:val="center"/>
          </w:tcPr>
          <w:p w14:paraId="4E45C7FB" w14:textId="77777777" w:rsidR="00290AD6" w:rsidRPr="00290AD6" w:rsidRDefault="00290AD6" w:rsidP="00290AD6">
            <w:pPr>
              <w:jc w:val="center"/>
              <w:rPr>
                <w:rFonts w:ascii="Calibri" w:eastAsia="Calibri" w:hAnsi="Calibri" w:cs="Arial"/>
                <w:sz w:val="24"/>
                <w:szCs w:val="24"/>
              </w:rPr>
            </w:pPr>
          </w:p>
        </w:tc>
      </w:tr>
    </w:tbl>
    <w:p w14:paraId="5A9DF819" w14:textId="77777777" w:rsidR="0091580E" w:rsidRPr="00E16EF3" w:rsidRDefault="0091580E" w:rsidP="00E16EF3">
      <w:pPr>
        <w:jc w:val="both"/>
        <w:rPr>
          <w:lang w:val="fr-FR"/>
        </w:rPr>
      </w:pPr>
    </w:p>
    <w:p w14:paraId="2533E3DE" w14:textId="77777777" w:rsidR="004B6974" w:rsidRPr="00652976" w:rsidRDefault="004B6974" w:rsidP="000B2225">
      <w:pPr>
        <w:jc w:val="both"/>
        <w:rPr>
          <w:lang w:val="fr-FR"/>
        </w:rPr>
      </w:pPr>
    </w:p>
    <w:sectPr w:rsidR="004B6974" w:rsidRPr="00652976" w:rsidSect="00C1211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B4BA8" w14:textId="77777777" w:rsidR="00114ABD" w:rsidRDefault="00114ABD" w:rsidP="00607019">
      <w:pPr>
        <w:spacing w:after="0" w:line="240" w:lineRule="auto"/>
      </w:pPr>
      <w:r>
        <w:separator/>
      </w:r>
    </w:p>
  </w:endnote>
  <w:endnote w:type="continuationSeparator" w:id="0">
    <w:p w14:paraId="065B70CF" w14:textId="77777777" w:rsidR="00114ABD" w:rsidRDefault="00114ABD" w:rsidP="00607019">
      <w:pPr>
        <w:spacing w:after="0" w:line="240" w:lineRule="auto"/>
      </w:pPr>
      <w:r>
        <w:continuationSeparator/>
      </w:r>
    </w:p>
  </w:endnote>
  <w:endnote w:type="continuationNotice" w:id="1">
    <w:p w14:paraId="05554EB8" w14:textId="77777777" w:rsidR="00114ABD" w:rsidRDefault="00114A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7A83B" w14:textId="77777777" w:rsidR="00DA54D9" w:rsidRDefault="00DA54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C8514" w14:textId="77777777" w:rsidR="00DA54D9" w:rsidRPr="00E86730" w:rsidRDefault="00DA54D9" w:rsidP="00E86730">
    <w:pPr>
      <w:pStyle w:val="PiedAR"/>
    </w:pPr>
    <w:r w:rsidRPr="00066F10">
      <w:rPr>
        <w:noProof/>
        <w:sz w:val="24"/>
        <w:szCs w:val="24"/>
      </w:rPr>
      <w:drawing>
        <wp:anchor distT="0" distB="0" distL="0" distR="0" simplePos="0" relativeHeight="251658241" behindDoc="1" locked="0" layoutInCell="1" allowOverlap="1" wp14:anchorId="6EF75B09" wp14:editId="226C4D5A">
          <wp:simplePos x="0" y="0"/>
          <wp:positionH relativeFrom="column">
            <wp:posOffset>-906780</wp:posOffset>
          </wp:positionH>
          <wp:positionV relativeFrom="paragraph">
            <wp:posOffset>-12065</wp:posOffset>
          </wp:positionV>
          <wp:extent cx="7566660" cy="1397000"/>
          <wp:effectExtent l="0" t="0" r="0" b="0"/>
          <wp:wrapNone/>
          <wp:docPr id="1913593972" name="Image 1913593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54"/>
                  <pic:cNvPicPr>
                    <a:picLocks noChangeAspect="1" noChangeArrowheads="1"/>
                  </pic:cNvPicPr>
                </pic:nvPicPr>
                <pic:blipFill>
                  <a:blip r:embed="rId1"/>
                  <a:stretch>
                    <a:fillRect/>
                  </a:stretch>
                </pic:blipFill>
                <pic:spPr bwMode="auto">
                  <a:xfrm>
                    <a:off x="0" y="0"/>
                    <a:ext cx="7566660" cy="1397000"/>
                  </a:xfrm>
                  <a:prstGeom prst="rect">
                    <a:avLst/>
                  </a:prstGeom>
                </pic:spPr>
              </pic:pic>
            </a:graphicData>
          </a:graphic>
        </wp:anchor>
      </w:drawing>
    </w:r>
    <w:r w:rsidRPr="00066F10">
      <w:rPr>
        <w:rtl/>
      </w:rPr>
      <w:t xml:space="preserve"> </w:t>
    </w:r>
    <w:r w:rsidRPr="00E86730">
      <w:rPr>
        <w:rtl/>
      </w:rPr>
      <w:t xml:space="preserve">عمارة الناسيونال مدرج </w:t>
    </w:r>
    <w:r w:rsidRPr="00E86730">
      <w:t>1</w:t>
    </w:r>
    <w:r w:rsidRPr="00E86730">
      <w:rPr>
        <w:rtl/>
      </w:rPr>
      <w:t xml:space="preserve"> الطابق </w:t>
    </w:r>
    <w:r w:rsidRPr="00E86730">
      <w:t>6</w:t>
    </w:r>
    <w:r w:rsidRPr="00E86730">
      <w:rPr>
        <w:rFonts w:hint="cs"/>
        <w:rtl/>
      </w:rPr>
      <w:t>،</w:t>
    </w:r>
    <w:r w:rsidRPr="00E86730">
      <w:rPr>
        <w:rtl/>
      </w:rPr>
      <w:t xml:space="preserve"> الزاوية بين شارع فرنسا عدد </w:t>
    </w:r>
    <w:r w:rsidRPr="00E86730">
      <w:t>2</w:t>
    </w:r>
    <w:r w:rsidRPr="00E86730">
      <w:rPr>
        <w:rtl/>
      </w:rPr>
      <w:t xml:space="preserve"> وشارع جمال عبد الناصر عدد </w:t>
    </w:r>
    <w:r w:rsidRPr="00E86730">
      <w:t>1</w:t>
    </w:r>
    <w:r w:rsidRPr="00E86730">
      <w:rPr>
        <w:rtl/>
      </w:rPr>
      <w:t xml:space="preserve">، مكتب </w:t>
    </w:r>
    <w:r w:rsidRPr="00E86730">
      <w:t>161</w:t>
    </w:r>
    <w:r w:rsidRPr="00E86730">
      <w:rPr>
        <w:rtl/>
      </w:rPr>
      <w:t xml:space="preserve"> و</w:t>
    </w:r>
    <w:r w:rsidRPr="00E86730">
      <w:t>162</w:t>
    </w:r>
    <w:r w:rsidRPr="00E86730">
      <w:rPr>
        <w:rtl/>
      </w:rPr>
      <w:t xml:space="preserve"> تونس </w:t>
    </w:r>
    <w:r w:rsidRPr="00E86730">
      <w:t>1000</w:t>
    </w:r>
  </w:p>
  <w:p w14:paraId="372A38CB" w14:textId="77777777" w:rsidR="00DA54D9" w:rsidRDefault="00DA54D9" w:rsidP="00E86730">
    <w:pPr>
      <w:pStyle w:val="PiedFR"/>
    </w:pPr>
    <w:r w:rsidRPr="00E86730">
      <w:t>Immeuble Le National, angle entre av. de France n°2 et av. Jamel Abdennaceur n°1, 6ème étage, bureaux 161 et 162, Tunis 1000</w:t>
    </w:r>
  </w:p>
  <w:p w14:paraId="69D18621" w14:textId="77777777" w:rsidR="00DA54D9" w:rsidRPr="00607019" w:rsidRDefault="00DA54D9" w:rsidP="00E86730">
    <w:pPr>
      <w:pStyle w:val="Piedcontact"/>
    </w:pPr>
    <w:r w:rsidRPr="00607019">
      <w:rPr>
        <w:rFonts w:ascii="Segoe UI Symbol" w:hAnsi="Segoe UI Symbol"/>
      </w:rPr>
      <w:t></w:t>
    </w:r>
    <w:r w:rsidRPr="00607019">
      <w:t xml:space="preserve"> </w:t>
    </w:r>
    <w:hyperlink r:id="rId2">
      <w:r w:rsidRPr="00607019">
        <w:rPr>
          <w:rStyle w:val="Lienhypertexte"/>
          <w:color w:val="FFFFFF" w:themeColor="background1"/>
          <w:u w:val="none"/>
        </w:rPr>
        <w:t>www.ltdh.tn</w:t>
      </w:r>
    </w:hyperlink>
    <w:r w:rsidRPr="00607019">
      <w:t xml:space="preserve"> </w:t>
    </w:r>
    <w:r w:rsidRPr="00E86730">
      <w:t xml:space="preserve">        </w:t>
    </w:r>
    <w:r w:rsidRPr="00607019">
      <w:t xml:space="preserve"> </w:t>
    </w:r>
    <w:r w:rsidRPr="00607019">
      <w:rPr>
        <w:rFonts w:ascii="Wingdings" w:eastAsia="Wingdings" w:hAnsi="Wingdings" w:cs="Wingdings"/>
      </w:rPr>
      <w:sym w:font="Wingdings" w:char="F028"/>
    </w:r>
    <w:r w:rsidRPr="00607019">
      <w:t xml:space="preserve"> 71 258 000 </w:t>
    </w:r>
    <w:r w:rsidRPr="00E86730">
      <w:t xml:space="preserve">        </w:t>
    </w:r>
    <w:r w:rsidRPr="00607019">
      <w:t xml:space="preserve"> </w:t>
    </w:r>
    <w:r w:rsidRPr="00607019">
      <w:rPr>
        <w:rFonts w:ascii="Wingdings 2" w:eastAsia="Wingdings 2" w:hAnsi="Wingdings 2" w:cs="Wingdings 2"/>
      </w:rPr>
      <w:sym w:font="Wingdings 2" w:char="F037"/>
    </w:r>
    <w:r w:rsidRPr="00607019">
      <w:t xml:space="preserve"> 71 258 000 </w:t>
    </w:r>
    <w:r w:rsidRPr="00E86730">
      <w:t xml:space="preserve">        </w:t>
    </w:r>
    <w:r w:rsidRPr="00607019">
      <w:t xml:space="preserve"> </w:t>
    </w:r>
    <w:r w:rsidRPr="00607019">
      <w:rPr>
        <w:rFonts w:ascii="Segoe UI Symbol" w:hAnsi="Segoe UI Symbol"/>
      </w:rPr>
      <w:t></w:t>
    </w:r>
    <w:r w:rsidRPr="00607019">
      <w:t xml:space="preserve"> contact@ltdh.tn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5FDAA" w14:textId="77777777" w:rsidR="00DA54D9" w:rsidRDefault="00DA54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24C3D" w14:textId="77777777" w:rsidR="00114ABD" w:rsidRDefault="00114ABD" w:rsidP="00607019">
      <w:pPr>
        <w:spacing w:after="0" w:line="240" w:lineRule="auto"/>
      </w:pPr>
      <w:r>
        <w:separator/>
      </w:r>
    </w:p>
  </w:footnote>
  <w:footnote w:type="continuationSeparator" w:id="0">
    <w:p w14:paraId="29D5C5EE" w14:textId="77777777" w:rsidR="00114ABD" w:rsidRDefault="00114ABD" w:rsidP="00607019">
      <w:pPr>
        <w:spacing w:after="0" w:line="240" w:lineRule="auto"/>
      </w:pPr>
      <w:r>
        <w:continuationSeparator/>
      </w:r>
    </w:p>
  </w:footnote>
  <w:footnote w:type="continuationNotice" w:id="1">
    <w:p w14:paraId="5493686A" w14:textId="77777777" w:rsidR="00114ABD" w:rsidRDefault="00114A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2C5FE" w14:textId="77777777" w:rsidR="00DA54D9" w:rsidRDefault="00DA54D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A8FD3" w14:textId="77777777" w:rsidR="00DA54D9" w:rsidRDefault="00DA54D9">
    <w:pPr>
      <w:pStyle w:val="En-tte"/>
    </w:pPr>
    <w:r>
      <w:rPr>
        <w:b/>
        <w:bCs/>
        <w:noProof/>
      </w:rPr>
      <w:drawing>
        <wp:anchor distT="0" distB="0" distL="114300" distR="114300" simplePos="0" relativeHeight="251658240" behindDoc="1" locked="0" layoutInCell="0" allowOverlap="1" wp14:anchorId="5546C73F" wp14:editId="175690A2">
          <wp:simplePos x="0" y="0"/>
          <wp:positionH relativeFrom="page">
            <wp:align>center</wp:align>
          </wp:positionH>
          <wp:positionV relativeFrom="page">
            <wp:align>top</wp:align>
          </wp:positionV>
          <wp:extent cx="7570800" cy="900000"/>
          <wp:effectExtent l="0" t="0" r="0" b="0"/>
          <wp:wrapTopAndBottom/>
          <wp:docPr id="1508499754" name="Image 1508499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53"/>
                  <pic:cNvPicPr>
                    <a:picLocks noChangeAspect="1" noChangeArrowheads="1"/>
                  </pic:cNvPicPr>
                </pic:nvPicPr>
                <pic:blipFill>
                  <a:blip r:embed="rId1"/>
                  <a:stretch>
                    <a:fillRect/>
                  </a:stretch>
                </pic:blipFill>
                <pic:spPr bwMode="auto">
                  <a:xfrm>
                    <a:off x="0" y="0"/>
                    <a:ext cx="75708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38DDE" w14:textId="77777777" w:rsidR="00DA54D9" w:rsidRDefault="00DA54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F18"/>
    <w:multiLevelType w:val="multilevel"/>
    <w:tmpl w:val="C0CC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871D3"/>
    <w:multiLevelType w:val="multilevel"/>
    <w:tmpl w:val="F13C38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ajorHAnsi" w:eastAsiaTheme="majorEastAsia" w:hAnsiTheme="majorHAnsi" w:cstheme="majorBid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03A82"/>
    <w:multiLevelType w:val="hybridMultilevel"/>
    <w:tmpl w:val="99C49BB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50C1B28"/>
    <w:multiLevelType w:val="multilevel"/>
    <w:tmpl w:val="F8D83F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C60152"/>
    <w:multiLevelType w:val="hybridMultilevel"/>
    <w:tmpl w:val="859C2436"/>
    <w:lvl w:ilvl="0" w:tplc="2EC24A4A">
      <w:start w:val="5"/>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9AD2D93"/>
    <w:multiLevelType w:val="hybridMultilevel"/>
    <w:tmpl w:val="5994DC72"/>
    <w:lvl w:ilvl="0" w:tplc="A5B46BDC">
      <w:start w:val="4"/>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AD751D9"/>
    <w:multiLevelType w:val="hybridMultilevel"/>
    <w:tmpl w:val="38DA7B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2C06F8"/>
    <w:multiLevelType w:val="hybridMultilevel"/>
    <w:tmpl w:val="FB6AD0BA"/>
    <w:lvl w:ilvl="0" w:tplc="A4ACF314">
      <w:start w:val="3"/>
      <w:numFmt w:val="bullet"/>
      <w:lvlText w:val="-"/>
      <w:lvlJc w:val="left"/>
      <w:pPr>
        <w:ind w:left="720" w:hanging="360"/>
      </w:pPr>
      <w:rPr>
        <w:rFonts w:ascii="Arial Narrow" w:eastAsia="Times New Roman" w:hAnsi="Arial Narrow" w:cs="Times New Roman" w:hint="default"/>
        <w:i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D155D12"/>
    <w:multiLevelType w:val="multilevel"/>
    <w:tmpl w:val="686E9BC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FD7222C"/>
    <w:multiLevelType w:val="multilevel"/>
    <w:tmpl w:val="7036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2B5DD6"/>
    <w:multiLevelType w:val="multilevel"/>
    <w:tmpl w:val="63CC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35629"/>
    <w:multiLevelType w:val="multilevel"/>
    <w:tmpl w:val="3A8C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8815E7"/>
    <w:multiLevelType w:val="multilevel"/>
    <w:tmpl w:val="E0C20D6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84F3DD1"/>
    <w:multiLevelType w:val="hybridMultilevel"/>
    <w:tmpl w:val="F26CDA72"/>
    <w:lvl w:ilvl="0" w:tplc="F650040E">
      <w:start w:val="122"/>
      <w:numFmt w:val="bullet"/>
      <w:lvlText w:val="-"/>
      <w:lvlJc w:val="left"/>
      <w:pPr>
        <w:ind w:left="720" w:hanging="360"/>
      </w:pPr>
      <w:rPr>
        <w:rFonts w:ascii="Calibri" w:eastAsiaTheme="minorEastAsia" w:hAnsi="Calibri" w:cs="Calibri"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8B21C90"/>
    <w:multiLevelType w:val="hybridMultilevel"/>
    <w:tmpl w:val="743C80F2"/>
    <w:lvl w:ilvl="0" w:tplc="9DECCDEC">
      <w:start w:val="169"/>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CC90B7C"/>
    <w:multiLevelType w:val="multilevel"/>
    <w:tmpl w:val="978E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9027C2"/>
    <w:multiLevelType w:val="hybridMultilevel"/>
    <w:tmpl w:val="518CD8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3AC0238"/>
    <w:multiLevelType w:val="multilevel"/>
    <w:tmpl w:val="A882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B03D5B"/>
    <w:multiLevelType w:val="hybridMultilevel"/>
    <w:tmpl w:val="1E9EEEE2"/>
    <w:lvl w:ilvl="0" w:tplc="200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7AA0788"/>
    <w:multiLevelType w:val="multilevel"/>
    <w:tmpl w:val="2BBC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3959465">
    <w:abstractNumId w:val="18"/>
  </w:num>
  <w:num w:numId="2" w16cid:durableId="1369573559">
    <w:abstractNumId w:val="2"/>
  </w:num>
  <w:num w:numId="3" w16cid:durableId="910316223">
    <w:abstractNumId w:val="3"/>
  </w:num>
  <w:num w:numId="4" w16cid:durableId="1349483846">
    <w:abstractNumId w:val="14"/>
  </w:num>
  <w:num w:numId="5" w16cid:durableId="449402178">
    <w:abstractNumId w:val="13"/>
  </w:num>
  <w:num w:numId="6" w16cid:durableId="294026639">
    <w:abstractNumId w:val="16"/>
  </w:num>
  <w:num w:numId="7" w16cid:durableId="529608041">
    <w:abstractNumId w:val="4"/>
  </w:num>
  <w:num w:numId="8" w16cid:durableId="1133862711">
    <w:abstractNumId w:val="8"/>
  </w:num>
  <w:num w:numId="9" w16cid:durableId="1790125238">
    <w:abstractNumId w:val="12"/>
  </w:num>
  <w:num w:numId="10" w16cid:durableId="68157958">
    <w:abstractNumId w:val="7"/>
  </w:num>
  <w:num w:numId="11" w16cid:durableId="1126120531">
    <w:abstractNumId w:val="11"/>
  </w:num>
  <w:num w:numId="12" w16cid:durableId="1669821819">
    <w:abstractNumId w:val="10"/>
  </w:num>
  <w:num w:numId="13" w16cid:durableId="640502228">
    <w:abstractNumId w:val="17"/>
  </w:num>
  <w:num w:numId="14" w16cid:durableId="1367022498">
    <w:abstractNumId w:val="9"/>
  </w:num>
  <w:num w:numId="15" w16cid:durableId="131027890">
    <w:abstractNumId w:val="0"/>
  </w:num>
  <w:num w:numId="16" w16cid:durableId="648746573">
    <w:abstractNumId w:val="15"/>
  </w:num>
  <w:num w:numId="17" w16cid:durableId="229122675">
    <w:abstractNumId w:val="19"/>
  </w:num>
  <w:num w:numId="18" w16cid:durableId="1740638357">
    <w:abstractNumId w:val="1"/>
  </w:num>
  <w:num w:numId="19" w16cid:durableId="814833919">
    <w:abstractNumId w:val="6"/>
  </w:num>
  <w:num w:numId="20" w16cid:durableId="1416707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C63"/>
    <w:rsid w:val="000056FC"/>
    <w:rsid w:val="000071AA"/>
    <w:rsid w:val="00014695"/>
    <w:rsid w:val="00031B2D"/>
    <w:rsid w:val="00033FE5"/>
    <w:rsid w:val="00054F2F"/>
    <w:rsid w:val="000551B1"/>
    <w:rsid w:val="0006368E"/>
    <w:rsid w:val="00066121"/>
    <w:rsid w:val="00066F10"/>
    <w:rsid w:val="00077857"/>
    <w:rsid w:val="0009155F"/>
    <w:rsid w:val="00091722"/>
    <w:rsid w:val="0009311D"/>
    <w:rsid w:val="000A1FB8"/>
    <w:rsid w:val="000A2F9E"/>
    <w:rsid w:val="000A3A9B"/>
    <w:rsid w:val="000B2225"/>
    <w:rsid w:val="000B61E5"/>
    <w:rsid w:val="000C3E23"/>
    <w:rsid w:val="000C5E95"/>
    <w:rsid w:val="000C7A1E"/>
    <w:rsid w:val="000E11F2"/>
    <w:rsid w:val="00101DEE"/>
    <w:rsid w:val="001061F0"/>
    <w:rsid w:val="00110963"/>
    <w:rsid w:val="00112AE5"/>
    <w:rsid w:val="00114ABD"/>
    <w:rsid w:val="00114D8E"/>
    <w:rsid w:val="00131A39"/>
    <w:rsid w:val="00132F91"/>
    <w:rsid w:val="001349CC"/>
    <w:rsid w:val="00150F8B"/>
    <w:rsid w:val="00160BDE"/>
    <w:rsid w:val="00160D50"/>
    <w:rsid w:val="001675F8"/>
    <w:rsid w:val="00187622"/>
    <w:rsid w:val="00197722"/>
    <w:rsid w:val="001A077D"/>
    <w:rsid w:val="001A1F64"/>
    <w:rsid w:val="001A573A"/>
    <w:rsid w:val="001F696D"/>
    <w:rsid w:val="00207650"/>
    <w:rsid w:val="00207CBC"/>
    <w:rsid w:val="0022255C"/>
    <w:rsid w:val="0022631C"/>
    <w:rsid w:val="00234258"/>
    <w:rsid w:val="002355CA"/>
    <w:rsid w:val="00247A83"/>
    <w:rsid w:val="002649A6"/>
    <w:rsid w:val="002851F3"/>
    <w:rsid w:val="0029070A"/>
    <w:rsid w:val="00290AD6"/>
    <w:rsid w:val="00291DC3"/>
    <w:rsid w:val="00292936"/>
    <w:rsid w:val="002B3176"/>
    <w:rsid w:val="002C470D"/>
    <w:rsid w:val="002D33F9"/>
    <w:rsid w:val="002D4CC1"/>
    <w:rsid w:val="002D5B07"/>
    <w:rsid w:val="002E0745"/>
    <w:rsid w:val="003154D0"/>
    <w:rsid w:val="00320B76"/>
    <w:rsid w:val="00326544"/>
    <w:rsid w:val="00336291"/>
    <w:rsid w:val="0034173B"/>
    <w:rsid w:val="00352FF9"/>
    <w:rsid w:val="00353897"/>
    <w:rsid w:val="00366412"/>
    <w:rsid w:val="003701C7"/>
    <w:rsid w:val="00381190"/>
    <w:rsid w:val="00386DED"/>
    <w:rsid w:val="003A405A"/>
    <w:rsid w:val="003A5974"/>
    <w:rsid w:val="003D172F"/>
    <w:rsid w:val="003D4CCF"/>
    <w:rsid w:val="003E57C3"/>
    <w:rsid w:val="003E6FC4"/>
    <w:rsid w:val="003F3BD4"/>
    <w:rsid w:val="0040135B"/>
    <w:rsid w:val="00402C46"/>
    <w:rsid w:val="004031EB"/>
    <w:rsid w:val="00414D2C"/>
    <w:rsid w:val="00427DC7"/>
    <w:rsid w:val="004318BE"/>
    <w:rsid w:val="00443086"/>
    <w:rsid w:val="00445178"/>
    <w:rsid w:val="0044784E"/>
    <w:rsid w:val="00450B7D"/>
    <w:rsid w:val="0046217C"/>
    <w:rsid w:val="00465100"/>
    <w:rsid w:val="00467470"/>
    <w:rsid w:val="004701FF"/>
    <w:rsid w:val="00490C0B"/>
    <w:rsid w:val="00491CA8"/>
    <w:rsid w:val="00495DF2"/>
    <w:rsid w:val="004A103C"/>
    <w:rsid w:val="004A3656"/>
    <w:rsid w:val="004B0ADD"/>
    <w:rsid w:val="004B0B10"/>
    <w:rsid w:val="004B0D42"/>
    <w:rsid w:val="004B6974"/>
    <w:rsid w:val="004B6C38"/>
    <w:rsid w:val="004C39E1"/>
    <w:rsid w:val="004D432C"/>
    <w:rsid w:val="004D4CE5"/>
    <w:rsid w:val="00512F7F"/>
    <w:rsid w:val="005159CA"/>
    <w:rsid w:val="00523741"/>
    <w:rsid w:val="005319FC"/>
    <w:rsid w:val="005326D5"/>
    <w:rsid w:val="00561417"/>
    <w:rsid w:val="00564287"/>
    <w:rsid w:val="005746F2"/>
    <w:rsid w:val="005B17ED"/>
    <w:rsid w:val="005B41C3"/>
    <w:rsid w:val="005C6BCE"/>
    <w:rsid w:val="005C6E88"/>
    <w:rsid w:val="005E24BD"/>
    <w:rsid w:val="005F28DE"/>
    <w:rsid w:val="005F5EF8"/>
    <w:rsid w:val="005F7779"/>
    <w:rsid w:val="00600B5E"/>
    <w:rsid w:val="00601C66"/>
    <w:rsid w:val="00607019"/>
    <w:rsid w:val="00627D15"/>
    <w:rsid w:val="006355D7"/>
    <w:rsid w:val="00637F39"/>
    <w:rsid w:val="00652976"/>
    <w:rsid w:val="00652997"/>
    <w:rsid w:val="006622E2"/>
    <w:rsid w:val="006759FD"/>
    <w:rsid w:val="006931F9"/>
    <w:rsid w:val="006933B7"/>
    <w:rsid w:val="006B0CB9"/>
    <w:rsid w:val="006D2887"/>
    <w:rsid w:val="006D7594"/>
    <w:rsid w:val="006E6088"/>
    <w:rsid w:val="00701E8F"/>
    <w:rsid w:val="00706F4D"/>
    <w:rsid w:val="007262F8"/>
    <w:rsid w:val="00745FBE"/>
    <w:rsid w:val="0074786C"/>
    <w:rsid w:val="00764031"/>
    <w:rsid w:val="00781CA9"/>
    <w:rsid w:val="007853D8"/>
    <w:rsid w:val="007954C5"/>
    <w:rsid w:val="007A2A3A"/>
    <w:rsid w:val="007B02B0"/>
    <w:rsid w:val="007B0FD8"/>
    <w:rsid w:val="007B286F"/>
    <w:rsid w:val="007B6AFE"/>
    <w:rsid w:val="007C239C"/>
    <w:rsid w:val="007C57FC"/>
    <w:rsid w:val="007D51A2"/>
    <w:rsid w:val="007E4187"/>
    <w:rsid w:val="007E7D41"/>
    <w:rsid w:val="00821BC1"/>
    <w:rsid w:val="008275A3"/>
    <w:rsid w:val="008343BC"/>
    <w:rsid w:val="00834B8B"/>
    <w:rsid w:val="0084140D"/>
    <w:rsid w:val="00843A05"/>
    <w:rsid w:val="00853507"/>
    <w:rsid w:val="00854CC1"/>
    <w:rsid w:val="0086284A"/>
    <w:rsid w:val="0086384D"/>
    <w:rsid w:val="00866488"/>
    <w:rsid w:val="0086684B"/>
    <w:rsid w:val="00870953"/>
    <w:rsid w:val="0088791A"/>
    <w:rsid w:val="008918B3"/>
    <w:rsid w:val="008933C9"/>
    <w:rsid w:val="0089398B"/>
    <w:rsid w:val="008A3BC6"/>
    <w:rsid w:val="008D3AFF"/>
    <w:rsid w:val="00914FFB"/>
    <w:rsid w:val="0091580E"/>
    <w:rsid w:val="009355A8"/>
    <w:rsid w:val="00942CC4"/>
    <w:rsid w:val="00947381"/>
    <w:rsid w:val="009516B2"/>
    <w:rsid w:val="00951BC9"/>
    <w:rsid w:val="00951E5C"/>
    <w:rsid w:val="0095461E"/>
    <w:rsid w:val="00956867"/>
    <w:rsid w:val="00961167"/>
    <w:rsid w:val="00963E7E"/>
    <w:rsid w:val="0096437D"/>
    <w:rsid w:val="0097449C"/>
    <w:rsid w:val="00984C64"/>
    <w:rsid w:val="009925E4"/>
    <w:rsid w:val="009A5C77"/>
    <w:rsid w:val="009B6F04"/>
    <w:rsid w:val="009C043D"/>
    <w:rsid w:val="009C26F9"/>
    <w:rsid w:val="009D4EF6"/>
    <w:rsid w:val="009F2FA2"/>
    <w:rsid w:val="009F31D7"/>
    <w:rsid w:val="00A05FB4"/>
    <w:rsid w:val="00A24877"/>
    <w:rsid w:val="00A36712"/>
    <w:rsid w:val="00A37B7C"/>
    <w:rsid w:val="00A45554"/>
    <w:rsid w:val="00A45E2B"/>
    <w:rsid w:val="00A52F9B"/>
    <w:rsid w:val="00A53102"/>
    <w:rsid w:val="00A620AF"/>
    <w:rsid w:val="00A70373"/>
    <w:rsid w:val="00A777C1"/>
    <w:rsid w:val="00A80E8D"/>
    <w:rsid w:val="00A95BE4"/>
    <w:rsid w:val="00A978FC"/>
    <w:rsid w:val="00AA3B50"/>
    <w:rsid w:val="00AC29C5"/>
    <w:rsid w:val="00AC4725"/>
    <w:rsid w:val="00AC5756"/>
    <w:rsid w:val="00AD7613"/>
    <w:rsid w:val="00AE05F8"/>
    <w:rsid w:val="00AE6B6A"/>
    <w:rsid w:val="00B051DF"/>
    <w:rsid w:val="00B0680B"/>
    <w:rsid w:val="00B2043B"/>
    <w:rsid w:val="00B30D76"/>
    <w:rsid w:val="00B34C8F"/>
    <w:rsid w:val="00B41F71"/>
    <w:rsid w:val="00B53C63"/>
    <w:rsid w:val="00B573E2"/>
    <w:rsid w:val="00B73D47"/>
    <w:rsid w:val="00B80628"/>
    <w:rsid w:val="00B84B74"/>
    <w:rsid w:val="00B857E6"/>
    <w:rsid w:val="00B92B2C"/>
    <w:rsid w:val="00BB175C"/>
    <w:rsid w:val="00BC0FE0"/>
    <w:rsid w:val="00BD0FA1"/>
    <w:rsid w:val="00BD5AFE"/>
    <w:rsid w:val="00BD67A9"/>
    <w:rsid w:val="00C01440"/>
    <w:rsid w:val="00C03E0B"/>
    <w:rsid w:val="00C06200"/>
    <w:rsid w:val="00C116B4"/>
    <w:rsid w:val="00C1211D"/>
    <w:rsid w:val="00C13367"/>
    <w:rsid w:val="00C2495D"/>
    <w:rsid w:val="00C30FA5"/>
    <w:rsid w:val="00C34FE7"/>
    <w:rsid w:val="00C35C22"/>
    <w:rsid w:val="00C46913"/>
    <w:rsid w:val="00C530BB"/>
    <w:rsid w:val="00C57299"/>
    <w:rsid w:val="00C71D88"/>
    <w:rsid w:val="00C91BFF"/>
    <w:rsid w:val="00C934D3"/>
    <w:rsid w:val="00C95D5B"/>
    <w:rsid w:val="00CA4C85"/>
    <w:rsid w:val="00CA6E89"/>
    <w:rsid w:val="00CE177F"/>
    <w:rsid w:val="00CE4889"/>
    <w:rsid w:val="00D00611"/>
    <w:rsid w:val="00D13CC1"/>
    <w:rsid w:val="00D14600"/>
    <w:rsid w:val="00D16E0F"/>
    <w:rsid w:val="00D25A7C"/>
    <w:rsid w:val="00D35E8A"/>
    <w:rsid w:val="00D478C3"/>
    <w:rsid w:val="00D64DBB"/>
    <w:rsid w:val="00D73E6B"/>
    <w:rsid w:val="00D958C4"/>
    <w:rsid w:val="00DA54D9"/>
    <w:rsid w:val="00DB06E6"/>
    <w:rsid w:val="00DB6E21"/>
    <w:rsid w:val="00DC27F8"/>
    <w:rsid w:val="00DC2A1C"/>
    <w:rsid w:val="00DC492B"/>
    <w:rsid w:val="00DD1EAE"/>
    <w:rsid w:val="00DD37CF"/>
    <w:rsid w:val="00DF2B7B"/>
    <w:rsid w:val="00DF474C"/>
    <w:rsid w:val="00E04B2B"/>
    <w:rsid w:val="00E11DA4"/>
    <w:rsid w:val="00E16EF3"/>
    <w:rsid w:val="00E17992"/>
    <w:rsid w:val="00E4159C"/>
    <w:rsid w:val="00E424C9"/>
    <w:rsid w:val="00E4276C"/>
    <w:rsid w:val="00E430CC"/>
    <w:rsid w:val="00E53E48"/>
    <w:rsid w:val="00E75166"/>
    <w:rsid w:val="00E86730"/>
    <w:rsid w:val="00EB0327"/>
    <w:rsid w:val="00EB0A32"/>
    <w:rsid w:val="00EB484C"/>
    <w:rsid w:val="00EB74DA"/>
    <w:rsid w:val="00EC3436"/>
    <w:rsid w:val="00EC6B8C"/>
    <w:rsid w:val="00ED0AFB"/>
    <w:rsid w:val="00ED1BF5"/>
    <w:rsid w:val="00ED6853"/>
    <w:rsid w:val="00EE3D31"/>
    <w:rsid w:val="00EE3FE2"/>
    <w:rsid w:val="00F06D60"/>
    <w:rsid w:val="00F241E3"/>
    <w:rsid w:val="00F44596"/>
    <w:rsid w:val="00F474F5"/>
    <w:rsid w:val="00F504D0"/>
    <w:rsid w:val="00F51E48"/>
    <w:rsid w:val="00F540E0"/>
    <w:rsid w:val="00F54F32"/>
    <w:rsid w:val="00F55F00"/>
    <w:rsid w:val="00F808F4"/>
    <w:rsid w:val="00F828F9"/>
    <w:rsid w:val="00FA0EB7"/>
    <w:rsid w:val="00FA56C7"/>
    <w:rsid w:val="00FB4DE9"/>
    <w:rsid w:val="00FC1D01"/>
    <w:rsid w:val="00FC5091"/>
    <w:rsid w:val="00FC69E2"/>
    <w:rsid w:val="00FC6BEA"/>
    <w:rsid w:val="00FD53E1"/>
    <w:rsid w:val="00FD76A9"/>
  </w:rsids>
  <m:mathPr>
    <m:mathFont m:val="Cambria Math"/>
    <m:brkBin m:val="before"/>
    <m:brkBinSub m:val="--"/>
    <m:smallFrac m:val="0"/>
    <m:dispDef/>
    <m:lMargin m:val="0"/>
    <m:rMargin m:val="0"/>
    <m:defJc m:val="centerGroup"/>
    <m:wrapIndent m:val="1440"/>
    <m:intLim m:val="subSup"/>
    <m:naryLim m:val="undOvr"/>
  </m:mathPr>
  <w:themeFontLang w:val="fr-T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7170F"/>
  <w15:chartTrackingRefBased/>
  <w15:docId w15:val="{CBD5E0C7-E3F5-42F8-8C2D-8FBBB0A5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T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B74"/>
  </w:style>
  <w:style w:type="paragraph" w:styleId="Titre1">
    <w:name w:val="heading 1"/>
    <w:basedOn w:val="Normal"/>
    <w:next w:val="Normal"/>
    <w:link w:val="Titre1Car"/>
    <w:uiPriority w:val="9"/>
    <w:qFormat/>
    <w:rsid w:val="00C1211D"/>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b/>
      <w:bCs/>
      <w:color w:val="2F5496" w:themeColor="accent1" w:themeShade="BF"/>
      <w:kern w:val="0"/>
      <w:sz w:val="36"/>
      <w:szCs w:val="36"/>
      <w:lang w:val="fr-FR"/>
      <w14:ligatures w14:val="none"/>
    </w:rPr>
  </w:style>
  <w:style w:type="paragraph" w:styleId="Titre2">
    <w:name w:val="heading 2"/>
    <w:basedOn w:val="Normal"/>
    <w:next w:val="Normal"/>
    <w:link w:val="Titre2Car"/>
    <w:uiPriority w:val="9"/>
    <w:unhideWhenUsed/>
    <w:qFormat/>
    <w:rsid w:val="00C1211D"/>
    <w:pPr>
      <w:keepNext/>
      <w:keepLines/>
      <w:spacing w:before="160" w:after="0" w:line="240" w:lineRule="auto"/>
      <w:outlineLvl w:val="1"/>
    </w:pPr>
    <w:rPr>
      <w:rFonts w:asciiTheme="majorHAnsi" w:eastAsiaTheme="majorEastAsia" w:hAnsiTheme="majorHAnsi" w:cstheme="majorBidi"/>
      <w:b/>
      <w:bCs/>
      <w:color w:val="2F5496" w:themeColor="accent1" w:themeShade="BF"/>
      <w:kern w:val="0"/>
      <w:sz w:val="28"/>
      <w:szCs w:val="28"/>
      <w:lang w:val="fr-FR"/>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07019"/>
    <w:pPr>
      <w:tabs>
        <w:tab w:val="center" w:pos="4536"/>
        <w:tab w:val="right" w:pos="9072"/>
      </w:tabs>
      <w:spacing w:after="0" w:line="240" w:lineRule="auto"/>
    </w:pPr>
  </w:style>
  <w:style w:type="character" w:customStyle="1" w:styleId="En-tteCar">
    <w:name w:val="En-tête Car"/>
    <w:basedOn w:val="Policepardfaut"/>
    <w:link w:val="En-tte"/>
    <w:uiPriority w:val="99"/>
    <w:rsid w:val="00607019"/>
  </w:style>
  <w:style w:type="paragraph" w:styleId="Pieddepage">
    <w:name w:val="footer"/>
    <w:basedOn w:val="Normal"/>
    <w:link w:val="PieddepageCar"/>
    <w:uiPriority w:val="99"/>
    <w:unhideWhenUsed/>
    <w:rsid w:val="006070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7019"/>
  </w:style>
  <w:style w:type="character" w:styleId="Lienhypertexte">
    <w:name w:val="Hyperlink"/>
    <w:basedOn w:val="Policepardfaut"/>
    <w:uiPriority w:val="99"/>
    <w:unhideWhenUsed/>
    <w:rsid w:val="00607019"/>
    <w:rPr>
      <w:color w:val="0563C1" w:themeColor="hyperlink"/>
      <w:u w:val="single"/>
    </w:rPr>
  </w:style>
  <w:style w:type="paragraph" w:customStyle="1" w:styleId="PiedAR">
    <w:name w:val="Pied AR"/>
    <w:basedOn w:val="Normal"/>
    <w:link w:val="PiedARCar"/>
    <w:qFormat/>
    <w:rsid w:val="00E86730"/>
    <w:pPr>
      <w:bidi/>
      <w:spacing w:before="120" w:after="60"/>
      <w:ind w:left="-567" w:right="-567"/>
      <w:jc w:val="center"/>
    </w:pPr>
    <w:rPr>
      <w:rFonts w:cstheme="minorHAnsi"/>
      <w:b/>
      <w:bCs/>
      <w:color w:val="FFFFFF" w:themeColor="background1"/>
      <w:lang w:eastAsia="fr-FR"/>
    </w:rPr>
  </w:style>
  <w:style w:type="paragraph" w:customStyle="1" w:styleId="PiedFR">
    <w:name w:val="Pied FR"/>
    <w:basedOn w:val="Normal"/>
    <w:link w:val="PiedFRCar"/>
    <w:qFormat/>
    <w:rsid w:val="00E86730"/>
    <w:pPr>
      <w:spacing w:before="60" w:after="60"/>
      <w:ind w:left="-1134" w:right="-1134"/>
      <w:jc w:val="center"/>
    </w:pPr>
    <w:rPr>
      <w:b/>
      <w:bCs/>
      <w:color w:val="FFFFFF" w:themeColor="background1"/>
      <w:sz w:val="20"/>
      <w:szCs w:val="20"/>
      <w:lang w:val="fr-FR"/>
    </w:rPr>
  </w:style>
  <w:style w:type="character" w:customStyle="1" w:styleId="PiedARCar">
    <w:name w:val="Pied AR Car"/>
    <w:basedOn w:val="Policepardfaut"/>
    <w:link w:val="PiedAR"/>
    <w:rsid w:val="00E86730"/>
    <w:rPr>
      <w:rFonts w:cstheme="minorHAnsi"/>
      <w:b/>
      <w:bCs/>
      <w:color w:val="FFFFFF" w:themeColor="background1"/>
      <w:lang w:eastAsia="fr-FR"/>
    </w:rPr>
  </w:style>
  <w:style w:type="paragraph" w:customStyle="1" w:styleId="Piedcontact">
    <w:name w:val="Pied contact"/>
    <w:basedOn w:val="Normal"/>
    <w:link w:val="PiedcontactCar"/>
    <w:qFormat/>
    <w:rsid w:val="00E86730"/>
    <w:pPr>
      <w:spacing w:before="60" w:after="120"/>
      <w:jc w:val="center"/>
    </w:pPr>
    <w:rPr>
      <w:b/>
      <w:bCs/>
      <w:color w:val="FFFFFF" w:themeColor="background1"/>
      <w:lang w:bidi="ar-TN"/>
    </w:rPr>
  </w:style>
  <w:style w:type="character" w:customStyle="1" w:styleId="PiedFRCar">
    <w:name w:val="Pied FR Car"/>
    <w:basedOn w:val="Policepardfaut"/>
    <w:link w:val="PiedFR"/>
    <w:rsid w:val="00E86730"/>
    <w:rPr>
      <w:b/>
      <w:bCs/>
      <w:color w:val="FFFFFF" w:themeColor="background1"/>
      <w:sz w:val="20"/>
      <w:szCs w:val="20"/>
      <w:lang w:val="fr-FR"/>
    </w:rPr>
  </w:style>
  <w:style w:type="character" w:customStyle="1" w:styleId="PiedcontactCar">
    <w:name w:val="Pied contact Car"/>
    <w:basedOn w:val="Policepardfaut"/>
    <w:link w:val="Piedcontact"/>
    <w:rsid w:val="00E86730"/>
    <w:rPr>
      <w:b/>
      <w:bCs/>
      <w:color w:val="FFFFFF" w:themeColor="background1"/>
      <w:lang w:bidi="ar-TN"/>
    </w:rPr>
  </w:style>
  <w:style w:type="table" w:styleId="Grilledutableau">
    <w:name w:val="Table Grid"/>
    <w:basedOn w:val="TableauNormal"/>
    <w:uiPriority w:val="39"/>
    <w:rsid w:val="007C239C"/>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1211D"/>
    <w:rPr>
      <w:rFonts w:asciiTheme="majorHAnsi" w:eastAsiaTheme="majorEastAsia" w:hAnsiTheme="majorHAnsi" w:cstheme="majorBidi"/>
      <w:b/>
      <w:bCs/>
      <w:color w:val="2F5496" w:themeColor="accent1" w:themeShade="BF"/>
      <w:kern w:val="0"/>
      <w:sz w:val="36"/>
      <w:szCs w:val="36"/>
      <w:lang w:val="fr-FR"/>
      <w14:ligatures w14:val="none"/>
    </w:rPr>
  </w:style>
  <w:style w:type="character" w:customStyle="1" w:styleId="Titre2Car">
    <w:name w:val="Titre 2 Car"/>
    <w:basedOn w:val="Policepardfaut"/>
    <w:link w:val="Titre2"/>
    <w:uiPriority w:val="9"/>
    <w:rsid w:val="00C1211D"/>
    <w:rPr>
      <w:rFonts w:asciiTheme="majorHAnsi" w:eastAsiaTheme="majorEastAsia" w:hAnsiTheme="majorHAnsi" w:cstheme="majorBidi"/>
      <w:b/>
      <w:bCs/>
      <w:color w:val="2F5496" w:themeColor="accent1" w:themeShade="BF"/>
      <w:kern w:val="0"/>
      <w:sz w:val="28"/>
      <w:szCs w:val="28"/>
      <w:lang w:val="fr-FR"/>
      <w14:ligatures w14:val="none"/>
    </w:rPr>
  </w:style>
  <w:style w:type="paragraph" w:styleId="Paragraphedeliste">
    <w:name w:val="List Paragraph"/>
    <w:basedOn w:val="Normal"/>
    <w:uiPriority w:val="34"/>
    <w:qFormat/>
    <w:rsid w:val="00C1211D"/>
    <w:pPr>
      <w:spacing w:after="120" w:line="264" w:lineRule="auto"/>
      <w:ind w:left="720"/>
      <w:contextualSpacing/>
    </w:pPr>
    <w:rPr>
      <w:rFonts w:eastAsiaTheme="minorEastAsia"/>
      <w:kern w:val="0"/>
      <w:szCs w:val="21"/>
      <w14:ligatures w14:val="none"/>
    </w:rPr>
  </w:style>
  <w:style w:type="paragraph" w:styleId="Titre">
    <w:name w:val="Title"/>
    <w:basedOn w:val="Normal"/>
    <w:next w:val="Normal"/>
    <w:link w:val="TitreCar"/>
    <w:uiPriority w:val="10"/>
    <w:qFormat/>
    <w:rsid w:val="00C1211D"/>
    <w:pPr>
      <w:spacing w:after="0" w:line="240" w:lineRule="auto"/>
      <w:contextualSpacing/>
    </w:pPr>
    <w:rPr>
      <w:rFonts w:asciiTheme="majorHAnsi" w:eastAsiaTheme="majorEastAsia" w:hAnsiTheme="majorHAnsi" w:cstheme="majorBidi"/>
      <w:color w:val="2F5496" w:themeColor="accent1" w:themeShade="BF"/>
      <w:spacing w:val="-7"/>
      <w:kern w:val="0"/>
      <w:sz w:val="80"/>
      <w:szCs w:val="80"/>
      <w14:ligatures w14:val="none"/>
    </w:rPr>
  </w:style>
  <w:style w:type="character" w:customStyle="1" w:styleId="TitreCar">
    <w:name w:val="Titre Car"/>
    <w:basedOn w:val="Policepardfaut"/>
    <w:link w:val="Titre"/>
    <w:uiPriority w:val="10"/>
    <w:rsid w:val="00C1211D"/>
    <w:rPr>
      <w:rFonts w:asciiTheme="majorHAnsi" w:eastAsiaTheme="majorEastAsia" w:hAnsiTheme="majorHAnsi" w:cstheme="majorBidi"/>
      <w:color w:val="2F5496" w:themeColor="accent1" w:themeShade="BF"/>
      <w:spacing w:val="-7"/>
      <w:kern w:val="0"/>
      <w:sz w:val="80"/>
      <w:szCs w:val="80"/>
      <w:lang w:val="fr-TN"/>
      <w14:ligatures w14:val="none"/>
    </w:rPr>
  </w:style>
  <w:style w:type="paragraph" w:styleId="Sous-titre">
    <w:name w:val="Subtitle"/>
    <w:basedOn w:val="Normal"/>
    <w:next w:val="Normal"/>
    <w:link w:val="Sous-titreCar"/>
    <w:uiPriority w:val="11"/>
    <w:qFormat/>
    <w:rsid w:val="00C1211D"/>
    <w:pPr>
      <w:numPr>
        <w:ilvl w:val="1"/>
      </w:numPr>
      <w:spacing w:after="240" w:line="240" w:lineRule="auto"/>
    </w:pPr>
    <w:rPr>
      <w:rFonts w:asciiTheme="majorHAnsi" w:eastAsiaTheme="majorEastAsia" w:hAnsiTheme="majorHAnsi" w:cstheme="majorBidi"/>
      <w:color w:val="404040" w:themeColor="text1" w:themeTint="BF"/>
      <w:kern w:val="0"/>
      <w:sz w:val="30"/>
      <w:szCs w:val="30"/>
      <w14:ligatures w14:val="none"/>
    </w:rPr>
  </w:style>
  <w:style w:type="character" w:customStyle="1" w:styleId="Sous-titreCar">
    <w:name w:val="Sous-titre Car"/>
    <w:basedOn w:val="Policepardfaut"/>
    <w:link w:val="Sous-titre"/>
    <w:uiPriority w:val="11"/>
    <w:rsid w:val="00C1211D"/>
    <w:rPr>
      <w:rFonts w:asciiTheme="majorHAnsi" w:eastAsiaTheme="majorEastAsia" w:hAnsiTheme="majorHAnsi" w:cstheme="majorBidi"/>
      <w:color w:val="404040" w:themeColor="text1" w:themeTint="BF"/>
      <w:kern w:val="0"/>
      <w:sz w:val="30"/>
      <w:szCs w:val="30"/>
      <w:lang w:val="fr-TN"/>
      <w14:ligatures w14:val="none"/>
    </w:rPr>
  </w:style>
  <w:style w:type="character" w:styleId="Mentionnonrsolue">
    <w:name w:val="Unresolved Mention"/>
    <w:basedOn w:val="Policepardfaut"/>
    <w:uiPriority w:val="99"/>
    <w:semiHidden/>
    <w:unhideWhenUsed/>
    <w:rsid w:val="00C06200"/>
    <w:rPr>
      <w:color w:val="605E5C"/>
      <w:shd w:val="clear" w:color="auto" w:fill="E1DFDD"/>
    </w:rPr>
  </w:style>
  <w:style w:type="table" w:customStyle="1" w:styleId="Grilledutableau1">
    <w:name w:val="Grille du tableau1"/>
    <w:basedOn w:val="TableauNormal"/>
    <w:next w:val="Grilledutableau"/>
    <w:uiPriority w:val="39"/>
    <w:rsid w:val="00290AD6"/>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26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recrutement.ltdh@gmai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ltdh.tn/"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m\OneDrive\Documents\Mod&#232;les%20Office%20personnalis&#233;s\entete-LTDH.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EC93B-88C8-4E5A-8AEB-8C65B86D3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entete-LTDH.dotx</Template>
  <TotalTime>131</TotalTime>
  <Pages>11</Pages>
  <Words>3836</Words>
  <Characters>21866</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Mzem</dc:creator>
  <cp:keywords/>
  <dc:description/>
  <cp:lastModifiedBy>Mohamed Mzem</cp:lastModifiedBy>
  <cp:revision>123</cp:revision>
  <cp:lastPrinted>2023-08-28T15:01:00Z</cp:lastPrinted>
  <dcterms:created xsi:type="dcterms:W3CDTF">2024-10-16T12:44:00Z</dcterms:created>
  <dcterms:modified xsi:type="dcterms:W3CDTF">2024-10-16T14:59:00Z</dcterms:modified>
</cp:coreProperties>
</file>