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5B866" w14:textId="77777777" w:rsidR="00597B77" w:rsidRPr="00597B77" w:rsidRDefault="00597B77" w:rsidP="00597B77"/>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597B77" w:rsidRPr="00597B77" w14:paraId="082E1971" w14:textId="77777777" w:rsidTr="00A405C4">
        <w:trPr>
          <w:trHeight w:val="1728"/>
        </w:trPr>
        <w:tc>
          <w:tcPr>
            <w:tcW w:w="1555" w:type="dxa"/>
            <w:vAlign w:val="center"/>
          </w:tcPr>
          <w:p w14:paraId="015FF042" w14:textId="77777777" w:rsidR="00597B77" w:rsidRPr="00597B77" w:rsidRDefault="00597B77" w:rsidP="00597B77">
            <w:pPr>
              <w:tabs>
                <w:tab w:val="center" w:pos="4536"/>
                <w:tab w:val="right" w:pos="9072"/>
              </w:tabs>
              <w:spacing w:before="120" w:after="120"/>
              <w:rPr>
                <w:sz w:val="16"/>
                <w:szCs w:val="16"/>
              </w:rPr>
            </w:pPr>
            <w:r w:rsidRPr="00597B77">
              <w:rPr>
                <w:noProof/>
                <w:sz w:val="16"/>
                <w:szCs w:val="16"/>
                <w:lang w:eastAsia="fr-FR"/>
              </w:rPr>
              <w:drawing>
                <wp:inline distT="0" distB="0" distL="0" distR="0" wp14:anchorId="255D506D" wp14:editId="3B34D917">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5890C73A" w14:textId="77777777" w:rsidR="00597B77" w:rsidRPr="00597B77" w:rsidRDefault="00597B77" w:rsidP="00597B77">
            <w:pPr>
              <w:tabs>
                <w:tab w:val="center" w:pos="4536"/>
                <w:tab w:val="right" w:pos="9072"/>
              </w:tabs>
              <w:ind w:left="-108"/>
              <w:jc w:val="center"/>
              <w:rPr>
                <w:sz w:val="16"/>
                <w:szCs w:val="16"/>
              </w:rPr>
            </w:pPr>
            <w:bookmarkStart w:id="0" w:name="_Hlk112401769"/>
            <w:r w:rsidRPr="00597B77">
              <w:rPr>
                <w:sz w:val="14"/>
                <w:szCs w:val="14"/>
              </w:rPr>
              <w:t>Projet financé par l’Union européenne</w:t>
            </w:r>
            <w:bookmarkEnd w:id="0"/>
          </w:p>
        </w:tc>
        <w:tc>
          <w:tcPr>
            <w:tcW w:w="6964" w:type="dxa"/>
            <w:vAlign w:val="center"/>
          </w:tcPr>
          <w:p w14:paraId="4537DF34" w14:textId="77777777" w:rsidR="00597B77" w:rsidRPr="00597B77" w:rsidRDefault="00597B77" w:rsidP="00597B77">
            <w:pPr>
              <w:tabs>
                <w:tab w:val="center" w:pos="4536"/>
                <w:tab w:val="right" w:pos="9072"/>
              </w:tabs>
              <w:spacing w:before="120" w:after="120"/>
              <w:ind w:left="-104"/>
              <w:jc w:val="center"/>
              <w:rPr>
                <w:b/>
                <w:bCs/>
                <w:noProof/>
                <w:color w:val="61133D"/>
                <w:sz w:val="40"/>
                <w:szCs w:val="40"/>
                <w:lang w:eastAsia="fr-FR"/>
              </w:rPr>
            </w:pPr>
            <w:r w:rsidRPr="00597B77">
              <w:rPr>
                <w:b/>
                <w:bCs/>
                <w:noProof/>
                <w:color w:val="61133D"/>
                <w:sz w:val="40"/>
                <w:szCs w:val="40"/>
                <w:lang w:eastAsia="fr-FR"/>
              </w:rPr>
              <w:t>Projet de coopération technique sur la mobilité professionnelle circulaire</w:t>
            </w:r>
          </w:p>
          <w:p w14:paraId="0B7A98BF" w14:textId="77777777" w:rsidR="00597B77" w:rsidRPr="00597B77" w:rsidRDefault="00597B77" w:rsidP="00597B77">
            <w:pPr>
              <w:tabs>
                <w:tab w:val="center" w:pos="4536"/>
                <w:tab w:val="right" w:pos="9072"/>
              </w:tabs>
              <w:spacing w:before="120" w:after="120"/>
              <w:ind w:left="-104"/>
              <w:jc w:val="center"/>
              <w:rPr>
                <w:b/>
                <w:bCs/>
                <w:color w:val="61133D"/>
                <w:sz w:val="40"/>
                <w:szCs w:val="40"/>
              </w:rPr>
            </w:pPr>
            <w:r w:rsidRPr="00597B77">
              <w:rPr>
                <w:b/>
                <w:bCs/>
                <w:noProof/>
                <w:color w:val="61133D"/>
                <w:sz w:val="40"/>
                <w:szCs w:val="40"/>
                <w:lang w:eastAsia="fr-FR"/>
              </w:rPr>
              <w:t>THAMM II</w:t>
            </w:r>
          </w:p>
        </w:tc>
        <w:tc>
          <w:tcPr>
            <w:tcW w:w="1546" w:type="dxa"/>
          </w:tcPr>
          <w:p w14:paraId="79429C78" w14:textId="77777777" w:rsidR="00597B77" w:rsidRPr="00597B77" w:rsidRDefault="00597B77" w:rsidP="00597B77">
            <w:pPr>
              <w:tabs>
                <w:tab w:val="center" w:pos="4536"/>
                <w:tab w:val="right" w:pos="9072"/>
              </w:tabs>
              <w:jc w:val="center"/>
              <w:rPr>
                <w:noProof/>
                <w:sz w:val="16"/>
                <w:szCs w:val="16"/>
                <w:lang w:eastAsia="fr-FR"/>
              </w:rPr>
            </w:pPr>
          </w:p>
          <w:p w14:paraId="0B799392" w14:textId="77777777" w:rsidR="00597B77" w:rsidRPr="00597B77" w:rsidRDefault="00597B77" w:rsidP="00597B77">
            <w:pPr>
              <w:tabs>
                <w:tab w:val="center" w:pos="4536"/>
                <w:tab w:val="right" w:pos="9072"/>
              </w:tabs>
              <w:spacing w:before="120" w:after="120"/>
              <w:jc w:val="center"/>
              <w:rPr>
                <w:sz w:val="16"/>
                <w:szCs w:val="16"/>
              </w:rPr>
            </w:pPr>
            <w:r w:rsidRPr="00597B77">
              <w:rPr>
                <w:noProof/>
                <w:sz w:val="16"/>
                <w:szCs w:val="16"/>
                <w:lang w:eastAsia="fr-FR"/>
              </w:rPr>
              <w:drawing>
                <wp:inline distT="0" distB="0" distL="0" distR="0" wp14:anchorId="30CC827A" wp14:editId="6FE83B38">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521EF1C6" w14:textId="77777777" w:rsidR="00597B77" w:rsidRPr="00597B77" w:rsidRDefault="00597B77" w:rsidP="00597B77">
            <w:pPr>
              <w:tabs>
                <w:tab w:val="center" w:pos="4536"/>
                <w:tab w:val="right" w:pos="9072"/>
              </w:tabs>
              <w:ind w:left="-108"/>
              <w:jc w:val="center"/>
              <w:rPr>
                <w:sz w:val="14"/>
                <w:szCs w:val="14"/>
              </w:rPr>
            </w:pPr>
            <w:bookmarkStart w:id="1" w:name="_Hlk112401828"/>
            <w:r w:rsidRPr="00597B77">
              <w:rPr>
                <w:sz w:val="14"/>
                <w:szCs w:val="14"/>
              </w:rPr>
              <w:t xml:space="preserve">Opérateur de mise en œuvre </w:t>
            </w:r>
            <w:bookmarkEnd w:id="1"/>
          </w:p>
        </w:tc>
      </w:tr>
    </w:tbl>
    <w:p w14:paraId="6B92B5BA" w14:textId="77777777" w:rsidR="00597B77" w:rsidRPr="00597B77" w:rsidRDefault="00597B77" w:rsidP="00597B77">
      <w:pPr>
        <w:spacing w:after="120" w:line="240" w:lineRule="auto"/>
        <w:ind w:left="-567" w:right="-567"/>
        <w:jc w:val="center"/>
        <w:rPr>
          <w:b/>
          <w:bCs/>
          <w:color w:val="05ADA0"/>
          <w:spacing w:val="20"/>
          <w:sz w:val="28"/>
          <w:szCs w:val="28"/>
        </w:rPr>
      </w:pPr>
    </w:p>
    <w:p w14:paraId="76528AD1" w14:textId="77777777" w:rsidR="00597B77" w:rsidRPr="00597B77" w:rsidRDefault="00597B77" w:rsidP="00597B77">
      <w:pPr>
        <w:spacing w:after="120" w:line="240" w:lineRule="auto"/>
        <w:ind w:left="-567" w:right="-567"/>
        <w:jc w:val="center"/>
        <w:rPr>
          <w:b/>
          <w:bCs/>
          <w:color w:val="05ADA0"/>
          <w:spacing w:val="20"/>
          <w:sz w:val="28"/>
          <w:szCs w:val="28"/>
        </w:rPr>
      </w:pPr>
    </w:p>
    <w:p w14:paraId="57A463A5" w14:textId="77777777" w:rsidR="00597B77" w:rsidRPr="00597B77" w:rsidRDefault="00597B77" w:rsidP="00597B77">
      <w:pPr>
        <w:spacing w:after="120" w:line="240" w:lineRule="auto"/>
        <w:ind w:left="-567" w:right="-567"/>
        <w:jc w:val="center"/>
        <w:rPr>
          <w:b/>
          <w:bCs/>
          <w:color w:val="05ADA0"/>
          <w:spacing w:val="20"/>
          <w:sz w:val="28"/>
          <w:szCs w:val="28"/>
        </w:rPr>
      </w:pPr>
      <w:r w:rsidRPr="00597B77">
        <w:rPr>
          <w:b/>
          <w:bCs/>
          <w:color w:val="05ADA0"/>
          <w:spacing w:val="20"/>
          <w:sz w:val="36"/>
          <w:szCs w:val="36"/>
        </w:rPr>
        <w:t>APPEL À PROJET DE RENFORCEMENT DE L’ATTRACTIVITÉ LOCALE</w:t>
      </w:r>
    </w:p>
    <w:p w14:paraId="588F8430" w14:textId="77777777" w:rsidR="00597B77" w:rsidRPr="00597B77" w:rsidRDefault="00597B77" w:rsidP="00597B77">
      <w:pPr>
        <w:spacing w:after="120" w:line="240" w:lineRule="auto"/>
        <w:jc w:val="both"/>
        <w:rPr>
          <w:b/>
          <w:color w:val="171717" w:themeColor="background2" w:themeShade="1A"/>
        </w:rPr>
      </w:pPr>
    </w:p>
    <w:p w14:paraId="14CEF7B6" w14:textId="77777777" w:rsidR="00597B77" w:rsidRPr="00597B77" w:rsidRDefault="00597B77" w:rsidP="00597B77">
      <w:pPr>
        <w:spacing w:after="120" w:line="240" w:lineRule="auto"/>
        <w:rPr>
          <w:color w:val="171717" w:themeColor="background2" w:themeShade="1A"/>
        </w:rPr>
      </w:pPr>
      <w:r w:rsidRPr="00597B77">
        <w:rPr>
          <w:b/>
          <w:bCs/>
          <w:color w:val="171717" w:themeColor="background2" w:themeShade="1A"/>
        </w:rPr>
        <w:t>Cadre </w:t>
      </w:r>
      <w:r w:rsidRPr="00597B77">
        <w:rPr>
          <w:color w:val="171717" w:themeColor="background2" w:themeShade="1A"/>
        </w:rPr>
        <w:t>: Coopération technique entre la Tunisie et l’Union européenne</w:t>
      </w:r>
    </w:p>
    <w:p w14:paraId="6301C586" w14:textId="77777777" w:rsidR="00597B77" w:rsidRPr="00597B77" w:rsidRDefault="00597B77" w:rsidP="00597B77">
      <w:pPr>
        <w:spacing w:after="120" w:line="240" w:lineRule="auto"/>
        <w:rPr>
          <w:color w:val="171717" w:themeColor="background2" w:themeShade="1A"/>
        </w:rPr>
      </w:pPr>
      <w:r w:rsidRPr="00597B77">
        <w:rPr>
          <w:b/>
          <w:bCs/>
          <w:color w:val="171717" w:themeColor="background2" w:themeShade="1A"/>
        </w:rPr>
        <w:t>Contractant</w:t>
      </w:r>
      <w:r w:rsidRPr="00597B77">
        <w:rPr>
          <w:color w:val="171717" w:themeColor="background2" w:themeShade="1A"/>
        </w:rPr>
        <w:t> : Représentation en Tunisie de l’Office français de l’immigration et de l’intégration (OFII, opérateur de mise en œuvre de THAMM OFII)</w:t>
      </w:r>
    </w:p>
    <w:p w14:paraId="56039FA9" w14:textId="77777777" w:rsidR="00597B77" w:rsidRPr="00597B77" w:rsidRDefault="00597B77" w:rsidP="00597B77">
      <w:pPr>
        <w:spacing w:after="120" w:line="240" w:lineRule="auto"/>
        <w:rPr>
          <w:color w:val="171717" w:themeColor="background2" w:themeShade="1A"/>
        </w:rPr>
      </w:pPr>
      <w:r w:rsidRPr="00597B77">
        <w:rPr>
          <w:b/>
          <w:bCs/>
          <w:color w:val="171717" w:themeColor="background2" w:themeShade="1A"/>
        </w:rPr>
        <w:t>Type de contrat</w:t>
      </w:r>
      <w:r w:rsidRPr="00597B77">
        <w:rPr>
          <w:color w:val="171717" w:themeColor="background2" w:themeShade="1A"/>
        </w:rPr>
        <w:t> : Contrat de subvention</w:t>
      </w:r>
    </w:p>
    <w:p w14:paraId="64110B81" w14:textId="77777777" w:rsidR="00597B77" w:rsidRPr="00597B77" w:rsidRDefault="00597B77" w:rsidP="00597B77">
      <w:pPr>
        <w:spacing w:after="120" w:line="240" w:lineRule="auto"/>
        <w:rPr>
          <w:color w:val="171717" w:themeColor="background2" w:themeShade="1A"/>
        </w:rPr>
      </w:pPr>
      <w:r w:rsidRPr="00597B77">
        <w:rPr>
          <w:b/>
          <w:bCs/>
          <w:color w:val="171717" w:themeColor="background2" w:themeShade="1A"/>
        </w:rPr>
        <w:t>Zone géographique d’intervention</w:t>
      </w:r>
      <w:r w:rsidRPr="00597B77">
        <w:rPr>
          <w:color w:val="171717" w:themeColor="background2" w:themeShade="1A"/>
        </w:rPr>
        <w:t xml:space="preserve"> : Tunisie </w:t>
      </w:r>
    </w:p>
    <w:p w14:paraId="7CF35064" w14:textId="59EE6978" w:rsidR="00597B77" w:rsidRPr="00597B77" w:rsidRDefault="00597B77" w:rsidP="00597B77">
      <w:pPr>
        <w:spacing w:after="120" w:line="240" w:lineRule="auto"/>
        <w:rPr>
          <w:color w:val="171717" w:themeColor="background2" w:themeShade="1A"/>
        </w:rPr>
      </w:pPr>
      <w:r w:rsidRPr="00597B77">
        <w:rPr>
          <w:b/>
          <w:bCs/>
          <w:color w:val="171717" w:themeColor="background2" w:themeShade="1A"/>
        </w:rPr>
        <w:t>Date limite de soumission des candidatures</w:t>
      </w:r>
      <w:r w:rsidRPr="00597B77">
        <w:rPr>
          <w:color w:val="171717" w:themeColor="background2" w:themeShade="1A"/>
        </w:rPr>
        <w:t> : </w:t>
      </w:r>
      <w:r w:rsidR="003B76A4">
        <w:rPr>
          <w:color w:val="171717" w:themeColor="background2" w:themeShade="1A"/>
        </w:rPr>
        <w:t>25</w:t>
      </w:r>
      <w:r w:rsidR="00660E75">
        <w:rPr>
          <w:color w:val="171717" w:themeColor="background2" w:themeShade="1A"/>
        </w:rPr>
        <w:t>/</w:t>
      </w:r>
      <w:r w:rsidR="00B82037">
        <w:rPr>
          <w:color w:val="171717" w:themeColor="background2" w:themeShade="1A"/>
        </w:rPr>
        <w:t>09</w:t>
      </w:r>
      <w:r w:rsidR="00660E75">
        <w:rPr>
          <w:color w:val="171717" w:themeColor="background2" w:themeShade="1A"/>
        </w:rPr>
        <w:t>/</w:t>
      </w:r>
      <w:r w:rsidR="00B127A5">
        <w:rPr>
          <w:color w:val="171717" w:themeColor="background2" w:themeShade="1A"/>
        </w:rPr>
        <w:t>2024</w:t>
      </w:r>
      <w:r w:rsidRPr="00597B77">
        <w:rPr>
          <w:color w:val="171717" w:themeColor="background2" w:themeShade="1A"/>
        </w:rPr>
        <w:t xml:space="preserve"> à minuit </w:t>
      </w:r>
    </w:p>
    <w:p w14:paraId="1D600830" w14:textId="7527EA79" w:rsidR="00597B77" w:rsidRPr="00597B77" w:rsidRDefault="00597B77" w:rsidP="00597B77">
      <w:pPr>
        <w:spacing w:after="120" w:line="240" w:lineRule="auto"/>
        <w:rPr>
          <w:color w:val="171717" w:themeColor="background2" w:themeShade="1A"/>
        </w:rPr>
      </w:pPr>
      <w:r w:rsidRPr="00597B77">
        <w:rPr>
          <w:b/>
          <w:bCs/>
          <w:color w:val="171717" w:themeColor="background2" w:themeShade="1A"/>
        </w:rPr>
        <w:t xml:space="preserve">Pièces exigées : </w:t>
      </w:r>
      <w:r w:rsidRPr="00597B77">
        <w:rPr>
          <w:color w:val="171717" w:themeColor="background2" w:themeShade="1A"/>
        </w:rPr>
        <w:t xml:space="preserve">Statut, </w:t>
      </w:r>
      <w:r w:rsidR="008A4296">
        <w:rPr>
          <w:color w:val="171717" w:themeColor="background2" w:themeShade="1A"/>
        </w:rPr>
        <w:t xml:space="preserve">extrait du RNE, </w:t>
      </w:r>
      <w:r w:rsidRPr="00597B77">
        <w:rPr>
          <w:color w:val="171717" w:themeColor="background2" w:themeShade="1A"/>
        </w:rPr>
        <w:t>offre technique (méthodologie, approche et équipe de travail)</w:t>
      </w:r>
      <w:r w:rsidR="008A4296">
        <w:rPr>
          <w:color w:val="171717" w:themeColor="background2" w:themeShade="1A"/>
        </w:rPr>
        <w:t xml:space="preserve">, budget </w:t>
      </w:r>
      <w:r w:rsidR="000B05E2">
        <w:rPr>
          <w:color w:val="171717" w:themeColor="background2" w:themeShade="1A"/>
        </w:rPr>
        <w:t xml:space="preserve">et </w:t>
      </w:r>
      <w:r w:rsidRPr="00597B77">
        <w:rPr>
          <w:rFonts w:ascii="Calibri" w:hAnsi="Calibri" w:cs="Arial"/>
          <w:bCs/>
          <w:color w:val="000000"/>
          <w:lang w:eastAsia="fr-FR"/>
        </w:rPr>
        <w:t>références.</w:t>
      </w:r>
    </w:p>
    <w:p w14:paraId="0826D6A8" w14:textId="77777777" w:rsidR="00597B77" w:rsidRPr="00597B77" w:rsidRDefault="00597B77" w:rsidP="00597B77">
      <w:pPr>
        <w:spacing w:after="120" w:line="240" w:lineRule="auto"/>
        <w:jc w:val="both"/>
        <w:rPr>
          <w:rFonts w:ascii="HelveticaNeue-Bold" w:hAnsi="HelveticaNeue-Bold" w:cs="HelveticaNeue-Bold"/>
          <w:b/>
          <w:bCs/>
          <w:sz w:val="36"/>
          <w:szCs w:val="36"/>
        </w:rPr>
      </w:pPr>
    </w:p>
    <w:p w14:paraId="5505ADDE" w14:textId="77777777" w:rsidR="00597B77" w:rsidRPr="00597B77" w:rsidRDefault="00597B77" w:rsidP="00597B77">
      <w:pPr>
        <w:spacing w:after="120" w:line="240" w:lineRule="auto"/>
        <w:jc w:val="center"/>
        <w:rPr>
          <w:rFonts w:ascii="HelveticaNeue-Bold" w:hAnsi="HelveticaNeue-Bold" w:cs="HelveticaNeue-Bold"/>
          <w:b/>
          <w:bCs/>
          <w:sz w:val="36"/>
          <w:szCs w:val="36"/>
        </w:rPr>
      </w:pPr>
      <w:r w:rsidRPr="00597B77">
        <w:rPr>
          <w:noProof/>
          <w:color w:val="171717" w:themeColor="background2" w:themeShade="1A"/>
          <w:lang w:eastAsia="fr-FR"/>
        </w:rPr>
        <w:drawing>
          <wp:inline distT="0" distB="0" distL="0" distR="0" wp14:anchorId="5DEF0E98" wp14:editId="370FB63C">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55EBF863" w14:textId="77777777" w:rsidR="00597B77" w:rsidRPr="00597B77" w:rsidRDefault="00597B77" w:rsidP="00597B77">
      <w:pPr>
        <w:spacing w:after="120" w:line="240" w:lineRule="auto"/>
        <w:jc w:val="both"/>
        <w:rPr>
          <w:rFonts w:ascii="HelveticaNeue-Bold" w:hAnsi="HelveticaNeue-Bold" w:cs="HelveticaNeue-Bold"/>
          <w:b/>
          <w:bCs/>
          <w:sz w:val="36"/>
          <w:szCs w:val="36"/>
        </w:rPr>
      </w:pPr>
    </w:p>
    <w:p w14:paraId="58A4C687" w14:textId="77777777" w:rsidR="00597B77" w:rsidRPr="00597B77" w:rsidRDefault="00597B77" w:rsidP="00597B77">
      <w:pPr>
        <w:spacing w:after="120" w:line="240" w:lineRule="auto"/>
        <w:jc w:val="both"/>
        <w:rPr>
          <w:rFonts w:ascii="HelveticaNeue-Bold" w:hAnsi="HelveticaNeue-Bold" w:cs="HelveticaNeue-Bold"/>
          <w:b/>
          <w:bCs/>
          <w:sz w:val="36"/>
          <w:szCs w:val="36"/>
        </w:rPr>
      </w:pPr>
    </w:p>
    <w:p w14:paraId="44611DB5" w14:textId="3FB24796" w:rsidR="003471AF" w:rsidRDefault="003471AF" w:rsidP="00597B77">
      <w:pPr>
        <w:spacing w:after="120" w:line="240" w:lineRule="auto"/>
        <w:jc w:val="both"/>
        <w:rPr>
          <w:rFonts w:ascii="HelveticaNeue-Bold" w:hAnsi="HelveticaNeue-Bold" w:cs="HelveticaNeue-Bold"/>
          <w:b/>
          <w:bCs/>
          <w:sz w:val="36"/>
          <w:szCs w:val="36"/>
        </w:rPr>
      </w:pPr>
      <w:r>
        <w:rPr>
          <w:rFonts w:ascii="HelveticaNeue-Bold" w:hAnsi="HelveticaNeue-Bold" w:cs="HelveticaNeue-Bold"/>
          <w:b/>
          <w:bCs/>
          <w:sz w:val="36"/>
          <w:szCs w:val="36"/>
        </w:rPr>
        <w:br w:type="page"/>
      </w:r>
    </w:p>
    <w:p w14:paraId="1515C2E2" w14:textId="77777777" w:rsidR="00AA2D89" w:rsidRDefault="00AA2D89" w:rsidP="00597B77">
      <w:pPr>
        <w:spacing w:line="240" w:lineRule="auto"/>
        <w:jc w:val="center"/>
        <w:rPr>
          <w:rFonts w:ascii="Calibri" w:eastAsia="Calibri" w:hAnsi="Calibri" w:cs="Arial"/>
          <w:b/>
          <w:color w:val="05ADA0"/>
          <w:sz w:val="28"/>
          <w:szCs w:val="28"/>
        </w:rPr>
        <w:sectPr w:rsidR="00AA2D89" w:rsidSect="00235FFD">
          <w:footerReference w:type="default" r:id="rId11"/>
          <w:pgSz w:w="11906" w:h="16838"/>
          <w:pgMar w:top="1134" w:right="1418" w:bottom="993" w:left="1418" w:header="709" w:footer="709" w:gutter="0"/>
          <w:cols w:space="708"/>
          <w:docGrid w:linePitch="360"/>
        </w:sectPr>
      </w:pPr>
    </w:p>
    <w:p w14:paraId="6C36BF2D" w14:textId="359E4DA7" w:rsidR="00597B77" w:rsidRPr="00597B77" w:rsidRDefault="00597B77" w:rsidP="00597B77">
      <w:pPr>
        <w:spacing w:line="240" w:lineRule="auto"/>
        <w:jc w:val="center"/>
        <w:rPr>
          <w:rFonts w:ascii="Calibri" w:eastAsia="Calibri" w:hAnsi="Calibri" w:cs="Arial"/>
          <w:b/>
          <w:color w:val="05ADA0"/>
          <w:sz w:val="28"/>
          <w:szCs w:val="28"/>
        </w:rPr>
      </w:pPr>
      <w:r w:rsidRPr="00597B77">
        <w:rPr>
          <w:rFonts w:ascii="Calibri" w:eastAsia="Calibri" w:hAnsi="Calibri" w:cs="Arial"/>
          <w:b/>
          <w:color w:val="05ADA0"/>
          <w:sz w:val="28"/>
          <w:szCs w:val="28"/>
        </w:rPr>
        <w:lastRenderedPageBreak/>
        <w:t xml:space="preserve">I - CONTEXTE </w:t>
      </w:r>
    </w:p>
    <w:p w14:paraId="0B51029C" w14:textId="77777777" w:rsidR="00597B77" w:rsidRPr="00597B77" w:rsidRDefault="00597B77" w:rsidP="00597B77">
      <w:pPr>
        <w:spacing w:after="120" w:line="240" w:lineRule="auto"/>
        <w:jc w:val="both"/>
        <w:rPr>
          <w:rFonts w:ascii="Calibri" w:eastAsia="Calibri" w:hAnsi="Calibri" w:cs="Arial"/>
          <w:b/>
          <w:color w:val="0070C0"/>
          <w:sz w:val="24"/>
          <w:szCs w:val="24"/>
        </w:rPr>
      </w:pPr>
    </w:p>
    <w:p w14:paraId="3DDDC575" w14:textId="77777777" w:rsidR="00597B77" w:rsidRPr="00597B77" w:rsidRDefault="00597B77" w:rsidP="00597B77">
      <w:pPr>
        <w:numPr>
          <w:ilvl w:val="0"/>
          <w:numId w:val="14"/>
        </w:numPr>
        <w:spacing w:after="120" w:line="240" w:lineRule="auto"/>
        <w:contextualSpacing/>
        <w:jc w:val="both"/>
        <w:rPr>
          <w:rFonts w:ascii="Calibri" w:eastAsia="Calibri" w:hAnsi="Calibri" w:cs="Arial"/>
          <w:b/>
          <w:bCs/>
          <w:color w:val="05ADA0"/>
          <w:spacing w:val="20"/>
          <w:sz w:val="28"/>
          <w:szCs w:val="28"/>
        </w:rPr>
      </w:pPr>
      <w:r w:rsidRPr="00597B77">
        <w:rPr>
          <w:rFonts w:ascii="Calibri" w:eastAsia="Calibri" w:hAnsi="Calibri" w:cs="Arial"/>
          <w:b/>
          <w:bCs/>
          <w:color w:val="05ADA0"/>
          <w:spacing w:val="20"/>
          <w:sz w:val="28"/>
          <w:szCs w:val="28"/>
        </w:rPr>
        <w:t>Intitulé du projet</w:t>
      </w:r>
    </w:p>
    <w:p w14:paraId="7FECE87A" w14:textId="77777777" w:rsidR="00597B77" w:rsidRDefault="00597B77" w:rsidP="00597B77">
      <w:pPr>
        <w:spacing w:after="120" w:line="240" w:lineRule="auto"/>
        <w:jc w:val="both"/>
        <w:rPr>
          <w:rFonts w:ascii="Calibri" w:eastAsia="Calibri" w:hAnsi="Calibri" w:cs="Arial"/>
          <w:color w:val="1D1B11"/>
        </w:rPr>
      </w:pPr>
      <w:r w:rsidRPr="00597B77">
        <w:rPr>
          <w:rFonts w:ascii="Calibri" w:eastAsia="Calibri" w:hAnsi="Calibri" w:cs="Arial"/>
          <w:color w:val="1D1B11"/>
        </w:rPr>
        <w:t>Le projet de coopération technique dans le domaine de la mobilité professionnelle circulaire a été conçu de manière conjointe par l’Agence nationale pour l’emploi et le travail indépendant (ANETI, Tunisie) et l’Office français de l’immigration et de l’intégration (OFII). Il est financé par le Fonds fiduciaire d’urgence de l’Union européenne en faveur de la stabilité et de la lutte contre les causes profondes de la migration en Afrique.  La mise en œuvre est coordonnée par l’OFII dans le cadre de la phase II du programme régional THAMM (Pour une approche holistique de la gouvernance de la migration et de la mobilité de main d’œuvre en Afrique du Nord).</w:t>
      </w:r>
    </w:p>
    <w:p w14:paraId="687F2BD7" w14:textId="77777777" w:rsidR="00C82065" w:rsidRPr="00597B77" w:rsidRDefault="00C82065" w:rsidP="00597B77">
      <w:pPr>
        <w:spacing w:after="120" w:line="240" w:lineRule="auto"/>
        <w:jc w:val="both"/>
        <w:rPr>
          <w:rFonts w:ascii="Calibri" w:eastAsia="Calibri" w:hAnsi="Calibri" w:cs="Arial"/>
          <w:color w:val="1D1B11"/>
        </w:rPr>
      </w:pPr>
    </w:p>
    <w:p w14:paraId="3E9F7B65" w14:textId="77777777" w:rsidR="00597B77" w:rsidRPr="00597B77" w:rsidRDefault="00597B77" w:rsidP="00597B77">
      <w:pPr>
        <w:numPr>
          <w:ilvl w:val="0"/>
          <w:numId w:val="14"/>
        </w:numPr>
        <w:spacing w:line="240" w:lineRule="auto"/>
        <w:contextualSpacing/>
        <w:rPr>
          <w:rFonts w:ascii="Calibri" w:eastAsia="Calibri" w:hAnsi="Calibri" w:cs="Arial"/>
          <w:b/>
          <w:bCs/>
          <w:color w:val="05ADA0"/>
          <w:spacing w:val="20"/>
          <w:sz w:val="28"/>
          <w:szCs w:val="28"/>
        </w:rPr>
      </w:pPr>
      <w:bookmarkStart w:id="2" w:name="_Toc100131514"/>
      <w:r w:rsidRPr="00597B77">
        <w:rPr>
          <w:rFonts w:ascii="Calibri" w:eastAsia="Calibri" w:hAnsi="Calibri" w:cs="Arial"/>
          <w:b/>
          <w:bCs/>
          <w:color w:val="05ADA0"/>
          <w:spacing w:val="20"/>
          <w:sz w:val="28"/>
          <w:szCs w:val="28"/>
        </w:rPr>
        <w:t>Présentation du projet THAMM OFII</w:t>
      </w:r>
      <w:bookmarkEnd w:id="2"/>
    </w:p>
    <w:p w14:paraId="074D9AE6" w14:textId="77777777" w:rsidR="00597B77" w:rsidRPr="00597B77" w:rsidRDefault="00597B77" w:rsidP="00597B77">
      <w:pPr>
        <w:spacing w:after="120" w:line="240" w:lineRule="auto"/>
        <w:jc w:val="both"/>
        <w:rPr>
          <w:rFonts w:ascii="Calibri" w:eastAsia="Calibri" w:hAnsi="Calibri" w:cs="Arial"/>
        </w:rPr>
      </w:pPr>
      <w:r w:rsidRPr="00597B77">
        <w:rPr>
          <w:rFonts w:ascii="Calibri" w:eastAsia="Calibri" w:hAnsi="Calibri" w:cs="Arial"/>
        </w:rPr>
        <w:t xml:space="preserve">L’intervention de l’OFII se concentre sur la Tunisie. L’objectif général est d’accroitre la mobilité professionnelle circulaire entre la Tunisie et les Etats européens, la France en particulier.  Ceci relève des axes 4 et 5 du programme THAMM. Le projet s’étend sur une période de 4 ans (jusqu’au 31 décembre 2025). </w:t>
      </w:r>
    </w:p>
    <w:p w14:paraId="473C2ECA" w14:textId="77777777" w:rsidR="00597B77" w:rsidRPr="00597B77" w:rsidRDefault="00597B77" w:rsidP="00597B77">
      <w:pPr>
        <w:spacing w:after="120" w:line="240" w:lineRule="auto"/>
        <w:jc w:val="both"/>
        <w:rPr>
          <w:rFonts w:ascii="Calibri" w:eastAsia="Calibri" w:hAnsi="Calibri" w:cs="Arial"/>
        </w:rPr>
      </w:pPr>
      <w:r w:rsidRPr="00597B77">
        <w:rPr>
          <w:rFonts w:ascii="Calibri" w:eastAsia="Calibri" w:hAnsi="Calibri" w:cs="Arial"/>
        </w:rPr>
        <w:t xml:space="preserve">La mobilité circulaire est entendue comme la possibilité pour une personne qui s’est engagée légalement dans un parcours migratoire d’envisager des périodes de sa vie en Europe et d’autres en Tunisie, sans caractère irréversible. </w:t>
      </w:r>
    </w:p>
    <w:p w14:paraId="6ADBCEED" w14:textId="77777777" w:rsidR="00597B77" w:rsidRPr="00597B77" w:rsidRDefault="00597B77" w:rsidP="00597B77">
      <w:pPr>
        <w:spacing w:after="60" w:line="240" w:lineRule="auto"/>
        <w:jc w:val="both"/>
        <w:rPr>
          <w:rFonts w:ascii="Calibri" w:eastAsia="Calibri" w:hAnsi="Calibri" w:cs="Arial"/>
        </w:rPr>
      </w:pPr>
      <w:r w:rsidRPr="00597B77">
        <w:rPr>
          <w:rFonts w:ascii="Calibri" w:eastAsia="Calibri" w:hAnsi="Calibri" w:cs="Arial"/>
        </w:rPr>
        <w:t xml:space="preserve">La mobilité circulaire doit bénéficier à toutes les parties prenantes : </w:t>
      </w:r>
    </w:p>
    <w:p w14:paraId="0D9E483F" w14:textId="77777777" w:rsidR="00597B77" w:rsidRPr="00597B77" w:rsidRDefault="00597B77" w:rsidP="00597B77">
      <w:pPr>
        <w:numPr>
          <w:ilvl w:val="0"/>
          <w:numId w:val="1"/>
        </w:numPr>
        <w:spacing w:after="60" w:line="240" w:lineRule="auto"/>
        <w:jc w:val="both"/>
        <w:rPr>
          <w:rFonts w:ascii="Calibri" w:eastAsia="Calibri" w:hAnsi="Calibri" w:cs="Arial"/>
        </w:rPr>
      </w:pPr>
      <w:r w:rsidRPr="00597B77">
        <w:rPr>
          <w:rFonts w:ascii="Calibri" w:eastAsia="Calibri" w:hAnsi="Calibri" w:cs="Arial"/>
        </w:rPr>
        <w:t>Aux migrants : séjour légal, couverture sociale, droit à la formation, capacité d’épargne, possibilité d’une aide au retour ou à la réinstallation ;</w:t>
      </w:r>
    </w:p>
    <w:p w14:paraId="0C464CF7" w14:textId="77777777" w:rsidR="00597B77" w:rsidRPr="00597B77" w:rsidRDefault="00597B77" w:rsidP="00597B77">
      <w:pPr>
        <w:numPr>
          <w:ilvl w:val="0"/>
          <w:numId w:val="1"/>
        </w:numPr>
        <w:spacing w:after="60" w:line="240" w:lineRule="auto"/>
        <w:jc w:val="both"/>
        <w:rPr>
          <w:rFonts w:ascii="Calibri" w:eastAsia="Calibri" w:hAnsi="Calibri" w:cs="Arial"/>
        </w:rPr>
      </w:pPr>
      <w:r w:rsidRPr="00597B77">
        <w:rPr>
          <w:rFonts w:ascii="Calibri" w:eastAsia="Calibri" w:hAnsi="Calibri" w:cs="Arial"/>
        </w:rPr>
        <w:t>Aux pays de séjour : en palliant les difficultés de recrutement des entreprises dans certains secteurs (métiers en tension, emplois non pourvus) ;</w:t>
      </w:r>
    </w:p>
    <w:p w14:paraId="00035C6D" w14:textId="77777777" w:rsidR="00597B77" w:rsidRPr="00597B77" w:rsidRDefault="00597B77" w:rsidP="00597B77">
      <w:pPr>
        <w:numPr>
          <w:ilvl w:val="0"/>
          <w:numId w:val="1"/>
        </w:numPr>
        <w:spacing w:after="120" w:line="240" w:lineRule="auto"/>
        <w:ind w:left="714" w:hanging="357"/>
        <w:jc w:val="both"/>
        <w:rPr>
          <w:rFonts w:ascii="Calibri" w:eastAsia="Calibri" w:hAnsi="Calibri" w:cs="Arial"/>
        </w:rPr>
      </w:pPr>
      <w:r w:rsidRPr="00597B77">
        <w:rPr>
          <w:rFonts w:ascii="Calibri" w:eastAsia="Calibri" w:hAnsi="Calibri" w:cs="Arial"/>
        </w:rPr>
        <w:t xml:space="preserve">Aux pays d’origine : lutte contre le chômage, transferts d’argent, retour des compétences accrues par l’expérience migratoire, transfert technologique, réseau international, etc. </w:t>
      </w:r>
    </w:p>
    <w:p w14:paraId="1BFD7A05" w14:textId="77777777" w:rsidR="00597B77" w:rsidRPr="00597B77" w:rsidRDefault="00597B77" w:rsidP="00597B77">
      <w:pPr>
        <w:spacing w:after="120" w:line="240" w:lineRule="auto"/>
        <w:ind w:left="714"/>
        <w:jc w:val="both"/>
        <w:rPr>
          <w:rFonts w:ascii="Calibri" w:eastAsia="Calibri" w:hAnsi="Calibri" w:cs="Arial"/>
        </w:rPr>
      </w:pPr>
    </w:p>
    <w:p w14:paraId="663EE30A" w14:textId="77777777" w:rsidR="00597B77" w:rsidRPr="00597B77" w:rsidRDefault="00597B77" w:rsidP="00C82065">
      <w:pPr>
        <w:spacing w:after="120" w:line="240" w:lineRule="auto"/>
        <w:jc w:val="both"/>
        <w:rPr>
          <w:rFonts w:ascii="Calibri" w:eastAsia="Calibri" w:hAnsi="Calibri" w:cs="Arial"/>
        </w:rPr>
      </w:pPr>
      <w:r w:rsidRPr="00597B77">
        <w:rPr>
          <w:rFonts w:ascii="Calibri" w:eastAsia="Calibri" w:hAnsi="Calibri" w:cs="Arial"/>
        </w:rPr>
        <w:t>Le projet THAMM OFII comporte quatre objectifs spécifiques (OS) :</w:t>
      </w:r>
    </w:p>
    <w:p w14:paraId="1598DA67" w14:textId="77777777" w:rsidR="00597B77" w:rsidRPr="00597B77" w:rsidRDefault="00597B77" w:rsidP="00C82065">
      <w:pPr>
        <w:autoSpaceDE w:val="0"/>
        <w:autoSpaceDN w:val="0"/>
        <w:adjustRightInd w:val="0"/>
        <w:spacing w:after="60" w:line="240" w:lineRule="auto"/>
        <w:jc w:val="both"/>
        <w:rPr>
          <w:rFonts w:ascii="Calibri" w:eastAsia="Calibri" w:hAnsi="Calibri" w:cs="Arial"/>
        </w:rPr>
      </w:pPr>
      <w:r w:rsidRPr="00597B77">
        <w:rPr>
          <w:rFonts w:ascii="Calibri" w:eastAsia="Calibri" w:hAnsi="Calibri" w:cs="Arial"/>
        </w:rPr>
        <w:t xml:space="preserve">OS1 : promouvoir des programmes de mobilité circulaire </w:t>
      </w:r>
    </w:p>
    <w:p w14:paraId="23FF6275" w14:textId="77777777" w:rsidR="00597B77" w:rsidRPr="00597B77" w:rsidRDefault="00597B77" w:rsidP="00C82065">
      <w:pPr>
        <w:autoSpaceDE w:val="0"/>
        <w:autoSpaceDN w:val="0"/>
        <w:adjustRightInd w:val="0"/>
        <w:spacing w:after="60" w:line="240" w:lineRule="auto"/>
        <w:rPr>
          <w:rFonts w:ascii="Calibri" w:eastAsia="Calibri" w:hAnsi="Calibri" w:cs="Arial"/>
        </w:rPr>
      </w:pPr>
      <w:r w:rsidRPr="00597B77">
        <w:rPr>
          <w:rFonts w:ascii="Calibri" w:eastAsia="Calibri" w:hAnsi="Calibri" w:cs="Arial"/>
          <w:highlight w:val="cyan"/>
        </w:rPr>
        <w:t>OS 2 : l’attractivité du territoire tunisien est développée aux yeux des compétences expatriées</w:t>
      </w:r>
    </w:p>
    <w:p w14:paraId="1770EF75" w14:textId="71C1C77F" w:rsidR="00597B77" w:rsidRPr="00597B77" w:rsidRDefault="00597B77" w:rsidP="00C82065">
      <w:pPr>
        <w:autoSpaceDE w:val="0"/>
        <w:autoSpaceDN w:val="0"/>
        <w:adjustRightInd w:val="0"/>
        <w:spacing w:after="60" w:line="240" w:lineRule="auto"/>
        <w:ind w:left="284"/>
        <w:rPr>
          <w:rFonts w:ascii="Calibri" w:eastAsia="Calibri" w:hAnsi="Calibri" w:cs="Arial"/>
        </w:rPr>
      </w:pPr>
      <w:r w:rsidRPr="00597B77">
        <w:rPr>
          <w:rFonts w:ascii="Calibri" w:eastAsia="Calibri" w:hAnsi="Calibri" w:cs="Arial"/>
        </w:rPr>
        <w:t xml:space="preserve">Résultat </w:t>
      </w:r>
      <w:r w:rsidR="00C82065">
        <w:rPr>
          <w:rFonts w:ascii="Calibri" w:eastAsia="Calibri" w:hAnsi="Calibri" w:cs="Arial"/>
        </w:rPr>
        <w:t>2.</w:t>
      </w:r>
      <w:r w:rsidRPr="00597B77">
        <w:rPr>
          <w:rFonts w:ascii="Calibri" w:eastAsia="Calibri" w:hAnsi="Calibri" w:cs="Arial"/>
        </w:rPr>
        <w:t>1 : Les acteurs tunisiens ont une meilleure perception du retour des compétences.</w:t>
      </w:r>
    </w:p>
    <w:p w14:paraId="629F23E2" w14:textId="320F3EA9" w:rsidR="00597B77" w:rsidRPr="00597B77" w:rsidRDefault="00597B77" w:rsidP="00C82065">
      <w:pPr>
        <w:autoSpaceDE w:val="0"/>
        <w:autoSpaceDN w:val="0"/>
        <w:adjustRightInd w:val="0"/>
        <w:spacing w:after="60" w:line="240" w:lineRule="auto"/>
        <w:ind w:left="284"/>
        <w:rPr>
          <w:rFonts w:ascii="Calibri" w:eastAsia="Calibri" w:hAnsi="Calibri" w:cs="Arial"/>
        </w:rPr>
      </w:pPr>
      <w:r w:rsidRPr="00597B77">
        <w:rPr>
          <w:rFonts w:ascii="Calibri" w:eastAsia="Calibri" w:hAnsi="Calibri" w:cs="Arial"/>
        </w:rPr>
        <w:t xml:space="preserve">Résultat </w:t>
      </w:r>
      <w:r w:rsidR="00C82065">
        <w:rPr>
          <w:rFonts w:ascii="Calibri" w:eastAsia="Calibri" w:hAnsi="Calibri" w:cs="Arial"/>
        </w:rPr>
        <w:t>2.</w:t>
      </w:r>
      <w:r w:rsidRPr="00597B77">
        <w:rPr>
          <w:rFonts w:ascii="Calibri" w:eastAsia="Calibri" w:hAnsi="Calibri" w:cs="Arial"/>
        </w:rPr>
        <w:t>2 : Les acteurs tunisiens déploient une stratégie pour favoriser le retour des compétences.</w:t>
      </w:r>
    </w:p>
    <w:p w14:paraId="0E3080C7" w14:textId="0DE3A60D" w:rsidR="00597B77" w:rsidRPr="00597B77" w:rsidRDefault="00597B77" w:rsidP="00C82065">
      <w:pPr>
        <w:autoSpaceDE w:val="0"/>
        <w:autoSpaceDN w:val="0"/>
        <w:adjustRightInd w:val="0"/>
        <w:spacing w:after="60" w:line="240" w:lineRule="auto"/>
        <w:ind w:left="284"/>
        <w:jc w:val="both"/>
        <w:rPr>
          <w:rFonts w:ascii="Calibri" w:eastAsia="Calibri" w:hAnsi="Calibri" w:cs="Arial"/>
          <w:highlight w:val="yellow"/>
        </w:rPr>
      </w:pPr>
      <w:r w:rsidRPr="00597B77">
        <w:rPr>
          <w:rFonts w:ascii="Calibri" w:eastAsia="Calibri" w:hAnsi="Calibri" w:cs="Arial"/>
          <w:highlight w:val="yellow"/>
        </w:rPr>
        <w:t xml:space="preserve">Résultat </w:t>
      </w:r>
      <w:r w:rsidR="00C82065">
        <w:rPr>
          <w:rFonts w:ascii="Calibri" w:eastAsia="Calibri" w:hAnsi="Calibri" w:cs="Arial"/>
          <w:highlight w:val="yellow"/>
        </w:rPr>
        <w:t>2.</w:t>
      </w:r>
      <w:r w:rsidRPr="00597B77">
        <w:rPr>
          <w:rFonts w:ascii="Calibri" w:eastAsia="Calibri" w:hAnsi="Calibri" w:cs="Arial"/>
          <w:highlight w:val="yellow"/>
        </w:rPr>
        <w:t>3 : Les acteurs tunisiens expérimentent l'attractivité locale.</w:t>
      </w:r>
    </w:p>
    <w:p w14:paraId="75C90671" w14:textId="77777777" w:rsidR="00597B77" w:rsidRPr="00597B77" w:rsidRDefault="00597B77" w:rsidP="00C82065">
      <w:pPr>
        <w:autoSpaceDE w:val="0"/>
        <w:autoSpaceDN w:val="0"/>
        <w:adjustRightInd w:val="0"/>
        <w:spacing w:after="60" w:line="240" w:lineRule="auto"/>
        <w:ind w:left="567"/>
        <w:jc w:val="both"/>
        <w:rPr>
          <w:rFonts w:ascii="Calibri" w:eastAsia="Calibri" w:hAnsi="Calibri" w:cs="Arial"/>
        </w:rPr>
      </w:pPr>
      <w:r w:rsidRPr="00597B77">
        <w:rPr>
          <w:rFonts w:ascii="Calibri" w:eastAsia="Calibri" w:hAnsi="Calibri" w:cs="Arial"/>
          <w:highlight w:val="yellow"/>
        </w:rPr>
        <w:t>Activité : 2.3.1. Des consortiums d'acteurs locaux sont formés pour développer l'attractivité de leur région vis-à-vis des compétences expatriées.</w:t>
      </w:r>
    </w:p>
    <w:p w14:paraId="3C090713" w14:textId="77777777" w:rsidR="00597B77" w:rsidRPr="00597B77" w:rsidRDefault="00597B77" w:rsidP="00C82065">
      <w:pPr>
        <w:autoSpaceDE w:val="0"/>
        <w:autoSpaceDN w:val="0"/>
        <w:adjustRightInd w:val="0"/>
        <w:spacing w:after="60" w:line="240" w:lineRule="auto"/>
        <w:ind w:left="567"/>
        <w:jc w:val="both"/>
        <w:rPr>
          <w:rFonts w:ascii="Calibri" w:eastAsia="Calibri" w:hAnsi="Calibri" w:cs="Arial"/>
        </w:rPr>
      </w:pPr>
      <w:r w:rsidRPr="00597B77">
        <w:rPr>
          <w:rFonts w:ascii="Calibri" w:eastAsia="Calibri" w:hAnsi="Calibri" w:cs="Arial"/>
          <w:highlight w:val="yellow"/>
        </w:rPr>
        <w:t>Activité : 2.3.1.4 : Sélection de trois consortiums (éventuellement dans le Nord, le Centre et le Sud) à travers un appel à un projet pour appuyer et accompagner au niveau stratégique et opérationnel les Tunisiens résidents à l'étranger dans le lancement ou le développement de leurs projets en 2025</w:t>
      </w:r>
    </w:p>
    <w:p w14:paraId="41613EA4" w14:textId="77777777" w:rsidR="00597B77" w:rsidRPr="00597B77" w:rsidRDefault="00597B77" w:rsidP="00C82065">
      <w:pPr>
        <w:autoSpaceDE w:val="0"/>
        <w:autoSpaceDN w:val="0"/>
        <w:adjustRightInd w:val="0"/>
        <w:spacing w:after="60" w:line="240" w:lineRule="auto"/>
        <w:jc w:val="both"/>
        <w:rPr>
          <w:rFonts w:ascii="Calibri" w:eastAsia="Calibri" w:hAnsi="Calibri" w:cs="Arial"/>
        </w:rPr>
      </w:pPr>
      <w:r w:rsidRPr="00597B77">
        <w:rPr>
          <w:rFonts w:ascii="Calibri" w:eastAsia="Calibri" w:hAnsi="Calibri" w:cs="Arial"/>
        </w:rPr>
        <w:t xml:space="preserve">OS 3 : la coopération entre les administrations tunisiennes et françaises/européennes, autour des métiers en tension est renforcée </w:t>
      </w:r>
    </w:p>
    <w:p w14:paraId="4AACF225" w14:textId="77777777" w:rsidR="00597B77" w:rsidRPr="00597B77" w:rsidRDefault="00597B77" w:rsidP="00C82065">
      <w:pPr>
        <w:autoSpaceDE w:val="0"/>
        <w:autoSpaceDN w:val="0"/>
        <w:adjustRightInd w:val="0"/>
        <w:spacing w:after="60" w:line="240" w:lineRule="auto"/>
        <w:jc w:val="both"/>
        <w:rPr>
          <w:rFonts w:ascii="Calibri" w:eastAsia="Calibri" w:hAnsi="Calibri" w:cs="Arial"/>
        </w:rPr>
      </w:pPr>
      <w:r w:rsidRPr="00597B77">
        <w:rPr>
          <w:rFonts w:ascii="Calibri" w:eastAsia="Calibri" w:hAnsi="Calibri" w:cs="Arial"/>
        </w:rPr>
        <w:t xml:space="preserve">OS 4 : l’employabilité en Tunisie et à l’étranger (France) des demandeurs d’emploi qualifiés est renforcée </w:t>
      </w:r>
    </w:p>
    <w:p w14:paraId="67D243BD" w14:textId="77777777" w:rsidR="00597B77" w:rsidRPr="00597B77" w:rsidRDefault="00597B77" w:rsidP="00AA2D89">
      <w:pPr>
        <w:autoSpaceDE w:val="0"/>
        <w:autoSpaceDN w:val="0"/>
        <w:adjustRightInd w:val="0"/>
        <w:spacing w:after="120" w:line="276" w:lineRule="auto"/>
        <w:jc w:val="right"/>
        <w:rPr>
          <w:rFonts w:ascii="Calibri" w:eastAsia="Calibri" w:hAnsi="Calibri" w:cs="Arial"/>
        </w:rPr>
      </w:pPr>
    </w:p>
    <w:p w14:paraId="087DA2BF" w14:textId="0B0645AE" w:rsidR="00597B77" w:rsidRPr="00597B77" w:rsidRDefault="00597B77" w:rsidP="00C82065">
      <w:pPr>
        <w:spacing w:after="360" w:line="240" w:lineRule="auto"/>
        <w:jc w:val="center"/>
        <w:rPr>
          <w:rFonts w:ascii="Calibri" w:hAnsi="Calibri"/>
          <w:b/>
          <w:color w:val="05ADA0"/>
          <w:sz w:val="28"/>
          <w:szCs w:val="28"/>
        </w:rPr>
      </w:pPr>
      <w:r w:rsidRPr="00597B77">
        <w:rPr>
          <w:rFonts w:ascii="Calibri" w:hAnsi="Calibri"/>
          <w:b/>
          <w:color w:val="05ADA0"/>
          <w:sz w:val="28"/>
          <w:szCs w:val="28"/>
        </w:rPr>
        <w:lastRenderedPageBreak/>
        <w:t xml:space="preserve">II - PROJET </w:t>
      </w:r>
      <w:r w:rsidR="00C82065">
        <w:rPr>
          <w:rFonts w:ascii="Calibri" w:hAnsi="Calibri"/>
          <w:b/>
          <w:color w:val="05ADA0"/>
          <w:sz w:val="28"/>
          <w:szCs w:val="28"/>
        </w:rPr>
        <w:t xml:space="preserve">DE MISE EN ŒUVRE DE </w:t>
      </w:r>
      <w:r w:rsidRPr="00597B77">
        <w:rPr>
          <w:rFonts w:ascii="Calibri" w:hAnsi="Calibri"/>
          <w:b/>
          <w:color w:val="05ADA0"/>
          <w:sz w:val="28"/>
          <w:szCs w:val="28"/>
        </w:rPr>
        <w:t>L’ATTRACTIVIT</w:t>
      </w:r>
      <w:r w:rsidR="00C82065">
        <w:rPr>
          <w:rFonts w:ascii="Calibri" w:hAnsi="Calibri"/>
          <w:b/>
          <w:color w:val="05ADA0"/>
          <w:sz w:val="28"/>
          <w:szCs w:val="28"/>
        </w:rPr>
        <w:t>É</w:t>
      </w:r>
      <w:r w:rsidRPr="00597B77">
        <w:rPr>
          <w:rFonts w:ascii="Calibri" w:hAnsi="Calibri"/>
          <w:b/>
          <w:color w:val="05ADA0"/>
          <w:sz w:val="28"/>
          <w:szCs w:val="28"/>
        </w:rPr>
        <w:t xml:space="preserve"> LOCALE </w:t>
      </w:r>
      <w:r w:rsidR="00C82065">
        <w:rPr>
          <w:rFonts w:ascii="Calibri" w:hAnsi="Calibri"/>
          <w:b/>
          <w:color w:val="05ADA0"/>
          <w:sz w:val="28"/>
          <w:szCs w:val="28"/>
        </w:rPr>
        <w:t>VIS-</w:t>
      </w:r>
      <w:r w:rsidR="00C82065">
        <w:rPr>
          <w:rFonts w:ascii="Calibri" w:hAnsi="Calibri" w:cs="Calibri"/>
          <w:b/>
          <w:color w:val="05ADA0"/>
          <w:sz w:val="28"/>
          <w:szCs w:val="28"/>
        </w:rPr>
        <w:t>À</w:t>
      </w:r>
      <w:r w:rsidR="00C82065">
        <w:rPr>
          <w:rFonts w:ascii="Calibri" w:hAnsi="Calibri"/>
          <w:b/>
          <w:color w:val="05ADA0"/>
          <w:sz w:val="28"/>
          <w:szCs w:val="28"/>
        </w:rPr>
        <w:t xml:space="preserve">-VIS </w:t>
      </w:r>
      <w:r w:rsidRPr="00597B77">
        <w:rPr>
          <w:rFonts w:ascii="Calibri" w:hAnsi="Calibri"/>
          <w:b/>
          <w:color w:val="05ADA0"/>
          <w:sz w:val="28"/>
          <w:szCs w:val="28"/>
        </w:rPr>
        <w:t>DES COMP</w:t>
      </w:r>
      <w:r w:rsidR="00C82065">
        <w:rPr>
          <w:rFonts w:ascii="Calibri" w:hAnsi="Calibri"/>
          <w:b/>
          <w:color w:val="05ADA0"/>
          <w:sz w:val="28"/>
          <w:szCs w:val="28"/>
        </w:rPr>
        <w:t>É</w:t>
      </w:r>
      <w:r w:rsidRPr="00597B77">
        <w:rPr>
          <w:rFonts w:ascii="Calibri" w:hAnsi="Calibri"/>
          <w:b/>
          <w:color w:val="05ADA0"/>
          <w:sz w:val="28"/>
          <w:szCs w:val="28"/>
        </w:rPr>
        <w:t>TENCES EXPATRI</w:t>
      </w:r>
      <w:r w:rsidR="00C82065">
        <w:rPr>
          <w:rFonts w:ascii="Calibri" w:hAnsi="Calibri"/>
          <w:b/>
          <w:color w:val="05ADA0"/>
          <w:sz w:val="28"/>
          <w:szCs w:val="28"/>
        </w:rPr>
        <w:t>É</w:t>
      </w:r>
      <w:r w:rsidRPr="00597B77">
        <w:rPr>
          <w:rFonts w:ascii="Calibri" w:hAnsi="Calibri"/>
          <w:b/>
          <w:color w:val="05ADA0"/>
          <w:sz w:val="28"/>
          <w:szCs w:val="28"/>
        </w:rPr>
        <w:t>ES</w:t>
      </w:r>
    </w:p>
    <w:p w14:paraId="56D9413E" w14:textId="77777777" w:rsidR="00597B77" w:rsidRPr="00597B77" w:rsidRDefault="00597B77" w:rsidP="00597B77">
      <w:pPr>
        <w:keepNext/>
        <w:keepLines/>
        <w:numPr>
          <w:ilvl w:val="0"/>
          <w:numId w:val="5"/>
        </w:numPr>
        <w:spacing w:before="200" w:after="120" w:line="276" w:lineRule="auto"/>
        <w:contextualSpacing/>
        <w:jc w:val="both"/>
        <w:outlineLvl w:val="1"/>
        <w:rPr>
          <w:b/>
          <w:bCs/>
          <w:color w:val="05ADA0"/>
          <w:spacing w:val="20"/>
          <w:sz w:val="28"/>
          <w:szCs w:val="28"/>
        </w:rPr>
      </w:pPr>
      <w:r w:rsidRPr="00597B77">
        <w:rPr>
          <w:b/>
          <w:bCs/>
          <w:color w:val="05ADA0"/>
          <w:spacing w:val="20"/>
          <w:sz w:val="28"/>
          <w:szCs w:val="28"/>
        </w:rPr>
        <w:t xml:space="preserve">Objectifs </w:t>
      </w:r>
    </w:p>
    <w:p w14:paraId="6F5C4C81" w14:textId="7F9E631A" w:rsidR="00C15F6C" w:rsidRPr="00C15F6C" w:rsidRDefault="00C15F6C" w:rsidP="00C15F6C">
      <w:pPr>
        <w:spacing w:after="120" w:line="240" w:lineRule="auto"/>
        <w:jc w:val="lowKashida"/>
        <w:rPr>
          <w:color w:val="171717" w:themeColor="background2" w:themeShade="1A"/>
          <w:lang w:bidi="ar-TN"/>
        </w:rPr>
      </w:pPr>
      <w:r w:rsidRPr="00C15F6C">
        <w:rPr>
          <w:color w:val="171717" w:themeColor="background2" w:themeShade="1A"/>
          <w:lang w:bidi="ar-TN"/>
        </w:rPr>
        <w:t xml:space="preserve">L'objectif principal de cet appel à projets est de soutenir les initiatives entrepreneuriales des membres de la diaspora, avec l'appui d'un consortium d'acteurs locaux dans la </w:t>
      </w:r>
      <w:bookmarkStart w:id="3" w:name="_GoBack"/>
      <w:bookmarkEnd w:id="3"/>
      <w:r w:rsidRPr="00C15F6C">
        <w:rPr>
          <w:color w:val="171717" w:themeColor="background2" w:themeShade="1A"/>
          <w:lang w:bidi="ar-TN"/>
        </w:rPr>
        <w:t>zone nord-ouest (Béja particulièrement), afin de renforcer l'attractivité de la région auprès des compétences expatriées.</w:t>
      </w:r>
    </w:p>
    <w:p w14:paraId="42EFD0D9" w14:textId="77777777" w:rsidR="00C15F6C" w:rsidRPr="00C15F6C" w:rsidRDefault="00C15F6C" w:rsidP="00C15F6C">
      <w:pPr>
        <w:spacing w:after="120" w:line="240" w:lineRule="auto"/>
        <w:jc w:val="lowKashida"/>
        <w:rPr>
          <w:color w:val="171717" w:themeColor="background2" w:themeShade="1A"/>
          <w:lang w:bidi="ar-TN"/>
        </w:rPr>
      </w:pPr>
      <w:r w:rsidRPr="00C15F6C">
        <w:rPr>
          <w:color w:val="171717" w:themeColor="background2" w:themeShade="1A"/>
          <w:lang w:bidi="ar-TN"/>
        </w:rPr>
        <w:t>Cette initiative entre dans la perspective du résultat 3 de l'objectif spécifique n°2 du projet THAMM-OFII, qui vise à développer l'attractivité du territoire tunisien aux yeux des compétences expatriées.</w:t>
      </w:r>
    </w:p>
    <w:p w14:paraId="0AB3FB13" w14:textId="052BE289" w:rsidR="00597B77" w:rsidRDefault="00C15F6C" w:rsidP="00C15F6C">
      <w:pPr>
        <w:spacing w:after="120" w:line="240" w:lineRule="auto"/>
        <w:jc w:val="lowKashida"/>
        <w:rPr>
          <w:color w:val="171717" w:themeColor="background2" w:themeShade="1A"/>
          <w:lang w:bidi="ar-TN"/>
        </w:rPr>
      </w:pPr>
      <w:r w:rsidRPr="00C15F6C">
        <w:rPr>
          <w:color w:val="171717" w:themeColor="background2" w:themeShade="1A"/>
          <w:lang w:bidi="ar-TN"/>
        </w:rPr>
        <w:t>L’action consiste à fournir une assistance individuelle personnalisée, dispensés par un consortium d’acteurs locaux, offrant des conseils et des services de soutien à huit (8) membres de la diaspora avec la possibilité d'augmenter ce nombre à neuf, sous réserve de disponibilité, l'objectif est de les assister dans la réalisation de leur projet de retour et de les aider à surmonter d'éventuelles difficultés tout au long de leur parcours d'implémentation</w:t>
      </w:r>
      <w:r w:rsidR="00597B77" w:rsidRPr="00597B77">
        <w:rPr>
          <w:color w:val="171717" w:themeColor="background2" w:themeShade="1A"/>
          <w:lang w:bidi="ar-TN"/>
        </w:rPr>
        <w:t>.</w:t>
      </w:r>
    </w:p>
    <w:p w14:paraId="058AA750" w14:textId="77777777" w:rsidR="00C82065" w:rsidRPr="00597B77" w:rsidRDefault="00C82065" w:rsidP="00597B77">
      <w:pPr>
        <w:spacing w:after="120" w:line="240" w:lineRule="auto"/>
        <w:jc w:val="lowKashida"/>
        <w:rPr>
          <w:color w:val="171717" w:themeColor="background2" w:themeShade="1A"/>
          <w:lang w:bidi="ar-TN"/>
        </w:rPr>
      </w:pPr>
    </w:p>
    <w:p w14:paraId="35B3AE7E" w14:textId="77777777" w:rsidR="00597B77" w:rsidRPr="00597B77" w:rsidRDefault="00597B77" w:rsidP="00597B77">
      <w:pPr>
        <w:keepNext/>
        <w:keepLines/>
        <w:numPr>
          <w:ilvl w:val="0"/>
          <w:numId w:val="5"/>
        </w:numPr>
        <w:spacing w:before="200" w:after="120"/>
        <w:contextualSpacing/>
        <w:outlineLvl w:val="1"/>
        <w:rPr>
          <w:b/>
          <w:bCs/>
          <w:color w:val="05ADA0"/>
          <w:spacing w:val="20"/>
          <w:sz w:val="28"/>
          <w:szCs w:val="28"/>
        </w:rPr>
      </w:pPr>
      <w:r w:rsidRPr="00597B77">
        <w:rPr>
          <w:b/>
          <w:bCs/>
          <w:color w:val="05ADA0"/>
          <w:spacing w:val="20"/>
          <w:sz w:val="28"/>
          <w:szCs w:val="28"/>
        </w:rPr>
        <w:t>Contexte de l’action</w:t>
      </w:r>
    </w:p>
    <w:p w14:paraId="4939E027" w14:textId="2DC1A186" w:rsidR="00597B77" w:rsidRPr="00597B77" w:rsidRDefault="006B145D" w:rsidP="00597B77">
      <w:pPr>
        <w:spacing w:after="120" w:line="240" w:lineRule="auto"/>
        <w:jc w:val="lowKashida"/>
        <w:rPr>
          <w:color w:val="171717" w:themeColor="background2" w:themeShade="1A"/>
        </w:rPr>
      </w:pPr>
      <w:r w:rsidRPr="006B145D">
        <w:rPr>
          <w:color w:val="171717" w:themeColor="background2" w:themeShade="1A"/>
        </w:rPr>
        <w:t xml:space="preserve">Le projet THAMM-OFII a pour objectif de mettre en place un programme d’accompagnement multi-acteurs afin de soutenir les projets de </w:t>
      </w:r>
      <w:r w:rsidR="00B14302">
        <w:rPr>
          <w:color w:val="171717" w:themeColor="background2" w:themeShade="1A"/>
        </w:rPr>
        <w:t>huit (8)</w:t>
      </w:r>
      <w:r w:rsidRPr="006B145D">
        <w:rPr>
          <w:color w:val="171717" w:themeColor="background2" w:themeShade="1A"/>
        </w:rPr>
        <w:t xml:space="preserve"> candidats de la diaspora déjà sélectionnés</w:t>
      </w:r>
      <w:r w:rsidR="0048341F">
        <w:rPr>
          <w:color w:val="171717" w:themeColor="background2" w:themeShade="1A"/>
        </w:rPr>
        <w:t xml:space="preserve"> </w:t>
      </w:r>
      <w:r w:rsidR="00ED4C9B" w:rsidRPr="00675ACF">
        <w:rPr>
          <w:color w:val="171717" w:themeColor="background2" w:themeShade="1A"/>
        </w:rPr>
        <w:t>(</w:t>
      </w:r>
      <w:r w:rsidR="00ED4C9B" w:rsidRPr="00ED4C9B">
        <w:t xml:space="preserve"> </w:t>
      </w:r>
      <w:r w:rsidR="00ED4C9B" w:rsidRPr="00675ACF">
        <w:rPr>
          <w:color w:val="171717" w:themeColor="background2" w:themeShade="1A"/>
        </w:rPr>
        <w:t>3 projets agricoles, 2 projets intégrant des innovations technologiques pour optimiser la gestion des exploitations agricoles et les processus de production, ainsi que 3 projets dans les domaines du loisir, du tourisme et des services)</w:t>
      </w:r>
      <w:r w:rsidRPr="00ED4C9B">
        <w:rPr>
          <w:color w:val="171717" w:themeColor="background2" w:themeShade="1A"/>
        </w:rPr>
        <w:t xml:space="preserve">, </w:t>
      </w:r>
      <w:r w:rsidRPr="006B145D">
        <w:rPr>
          <w:color w:val="171717" w:themeColor="background2" w:themeShade="1A"/>
        </w:rPr>
        <w:t>avec la possibilité d'augmenter ce nombre à neuf, sous réserve de disponibilité.</w:t>
      </w:r>
      <w:r>
        <w:rPr>
          <w:color w:val="171717" w:themeColor="background2" w:themeShade="1A"/>
        </w:rPr>
        <w:t xml:space="preserve"> </w:t>
      </w:r>
      <w:r w:rsidR="00597B77" w:rsidRPr="00597B77">
        <w:rPr>
          <w:color w:val="171717" w:themeColor="background2" w:themeShade="1A"/>
        </w:rPr>
        <w:t xml:space="preserve">Ce soutien prendra la forme d'un programme collectif doublé d'une assistance individuelle personnalisée, dispensés par un consortium d’acteurs locaux. </w:t>
      </w:r>
    </w:p>
    <w:p w14:paraId="4C5923D7" w14:textId="1E676BFE" w:rsidR="00597B77" w:rsidRPr="00597B77" w:rsidRDefault="00597B77" w:rsidP="00597B77">
      <w:pPr>
        <w:spacing w:after="120" w:line="240" w:lineRule="auto"/>
        <w:jc w:val="lowKashida"/>
        <w:rPr>
          <w:color w:val="171717" w:themeColor="background2" w:themeShade="1A"/>
        </w:rPr>
      </w:pPr>
      <w:r w:rsidRPr="00597B77">
        <w:rPr>
          <w:color w:val="171717" w:themeColor="background2" w:themeShade="1A"/>
        </w:rPr>
        <w:t>Le programme sera piloté par un acteur local qui travaillera en étroite collaboration avec ses partenaires. Cet acteur principal sera responsable de coordonner les actions proposées et de suivre leur mise en œuvre. Il s’assurera de la collaboration des intervenants extérieurs (expertise, parrainage, etc</w:t>
      </w:r>
      <w:r w:rsidR="00C82065">
        <w:rPr>
          <w:color w:val="171717" w:themeColor="background2" w:themeShade="1A"/>
        </w:rPr>
        <w:t>.</w:t>
      </w:r>
      <w:r w:rsidRPr="00597B77">
        <w:rPr>
          <w:color w:val="171717" w:themeColor="background2" w:themeShade="1A"/>
        </w:rPr>
        <w:t xml:space="preserve">). </w:t>
      </w:r>
    </w:p>
    <w:p w14:paraId="12C0C99F" w14:textId="77777777" w:rsidR="00597B77" w:rsidRPr="00597B77" w:rsidRDefault="00597B77" w:rsidP="00597B77">
      <w:pPr>
        <w:spacing w:after="120" w:line="240" w:lineRule="auto"/>
        <w:jc w:val="lowKashida"/>
        <w:rPr>
          <w:color w:val="171717" w:themeColor="background2" w:themeShade="1A"/>
        </w:rPr>
      </w:pPr>
      <w:r w:rsidRPr="00597B77">
        <w:rPr>
          <w:color w:val="171717" w:themeColor="background2" w:themeShade="1A"/>
        </w:rPr>
        <w:t>Les candidats bénéficiaires de ce programme seront soutenus dans les différentes phases possibles de leur projet en fonction de leurs besoins.</w:t>
      </w:r>
    </w:p>
    <w:p w14:paraId="09039C6D" w14:textId="77777777" w:rsidR="00597B77" w:rsidRPr="00597B77" w:rsidRDefault="00597B77" w:rsidP="00597B77">
      <w:pPr>
        <w:spacing w:after="120" w:line="240" w:lineRule="auto"/>
        <w:jc w:val="lowKashida"/>
        <w:rPr>
          <w:color w:val="171717" w:themeColor="background2" w:themeShade="1A"/>
        </w:rPr>
      </w:pPr>
      <w:r w:rsidRPr="00597B77">
        <w:rPr>
          <w:color w:val="171717" w:themeColor="background2" w:themeShade="1A"/>
        </w:rPr>
        <w:t>Toutes les actions soutenues par le biais de subventions dans le cadre de cet appel devront être mises en œuvre en Tunisie. Cependant, vu la nature de la population ciblée (diaspora), certaines actions de communication ou de formation pourront être réalisées en ligne au moyen de visioconférences.</w:t>
      </w:r>
    </w:p>
    <w:p w14:paraId="6A94B5E5" w14:textId="291EA1CB" w:rsidR="00597B77" w:rsidRPr="00597B77" w:rsidRDefault="00597B77" w:rsidP="00C82065">
      <w:pPr>
        <w:spacing w:after="120" w:line="240" w:lineRule="auto"/>
        <w:jc w:val="lowKashida"/>
        <w:rPr>
          <w:color w:val="171717" w:themeColor="background2" w:themeShade="1A"/>
        </w:rPr>
      </w:pPr>
      <w:r w:rsidRPr="00597B77">
        <w:rPr>
          <w:color w:val="171717" w:themeColor="background2" w:themeShade="1A"/>
        </w:rPr>
        <w:t xml:space="preserve">Les éventuelles actions de formation et </w:t>
      </w:r>
      <w:r w:rsidR="00C82065">
        <w:rPr>
          <w:color w:val="171717" w:themeColor="background2" w:themeShade="1A"/>
        </w:rPr>
        <w:t>d’</w:t>
      </w:r>
      <w:r w:rsidRPr="00597B77">
        <w:rPr>
          <w:color w:val="171717" w:themeColor="background2" w:themeShade="1A"/>
        </w:rPr>
        <w:t xml:space="preserve">expertise assureront : </w:t>
      </w:r>
    </w:p>
    <w:p w14:paraId="66130A26" w14:textId="5A5BA25B" w:rsidR="00597B77" w:rsidRPr="00C82065" w:rsidRDefault="00597B77" w:rsidP="00C82065">
      <w:pPr>
        <w:pStyle w:val="Paragraphedeliste"/>
        <w:numPr>
          <w:ilvl w:val="3"/>
          <w:numId w:val="13"/>
        </w:numPr>
        <w:spacing w:after="60" w:line="240" w:lineRule="auto"/>
        <w:ind w:left="709"/>
        <w:jc w:val="lowKashida"/>
        <w:rPr>
          <w:color w:val="171717" w:themeColor="background2" w:themeShade="1A"/>
        </w:rPr>
      </w:pPr>
      <w:r w:rsidRPr="00C82065">
        <w:rPr>
          <w:color w:val="171717" w:themeColor="background2" w:themeShade="1A"/>
        </w:rPr>
        <w:t xml:space="preserve">Le transfert des connaissances et des </w:t>
      </w:r>
      <w:r w:rsidR="00B14302" w:rsidRPr="00C82065">
        <w:rPr>
          <w:color w:val="171717" w:themeColor="background2" w:themeShade="1A"/>
        </w:rPr>
        <w:t>compétences nécessaires</w:t>
      </w:r>
      <w:r w:rsidRPr="00C82065">
        <w:rPr>
          <w:color w:val="171717" w:themeColor="background2" w:themeShade="1A"/>
        </w:rPr>
        <w:t xml:space="preserve"> </w:t>
      </w:r>
      <w:r w:rsidR="00C82065">
        <w:rPr>
          <w:color w:val="171717" w:themeColor="background2" w:themeShade="1A"/>
        </w:rPr>
        <w:t>ainsi que</w:t>
      </w:r>
      <w:r w:rsidRPr="00C82065">
        <w:rPr>
          <w:color w:val="171717" w:themeColor="background2" w:themeShade="1A"/>
        </w:rPr>
        <w:t xml:space="preserve"> la résolution des éventuels obstacles qui pourraient entraver la mise en œuvre des projets des candidats sélectionnés.</w:t>
      </w:r>
    </w:p>
    <w:p w14:paraId="03794C98" w14:textId="77777777" w:rsidR="00597B77" w:rsidRPr="00597B77" w:rsidRDefault="00597B77" w:rsidP="00597B77">
      <w:pPr>
        <w:numPr>
          <w:ilvl w:val="0"/>
          <w:numId w:val="13"/>
        </w:numPr>
        <w:spacing w:after="60" w:line="240" w:lineRule="auto"/>
        <w:jc w:val="lowKashida"/>
        <w:rPr>
          <w:color w:val="171717" w:themeColor="background2" w:themeShade="1A"/>
        </w:rPr>
      </w:pPr>
      <w:r w:rsidRPr="00597B77">
        <w:rPr>
          <w:color w:val="171717" w:themeColor="background2" w:themeShade="1A"/>
        </w:rPr>
        <w:t>La fourniture des documentations nécessaires aux candidats et leur mise en ligne (programmes et supports de formation, attestations).</w:t>
      </w:r>
    </w:p>
    <w:p w14:paraId="5F7C0F33" w14:textId="77777777" w:rsidR="00597B77" w:rsidRPr="00597B77" w:rsidRDefault="00597B77" w:rsidP="00597B77">
      <w:pPr>
        <w:numPr>
          <w:ilvl w:val="0"/>
          <w:numId w:val="13"/>
        </w:numPr>
        <w:spacing w:after="120" w:line="240" w:lineRule="auto"/>
        <w:jc w:val="lowKashida"/>
        <w:rPr>
          <w:color w:val="171717" w:themeColor="background2" w:themeShade="1A"/>
        </w:rPr>
      </w:pPr>
      <w:r w:rsidRPr="00597B77">
        <w:rPr>
          <w:color w:val="171717" w:themeColor="background2" w:themeShade="1A"/>
        </w:rPr>
        <w:t>La fourniture des rapports d’activités documents et justificatifs.</w:t>
      </w:r>
    </w:p>
    <w:p w14:paraId="35600945" w14:textId="77777777" w:rsidR="00597B77" w:rsidRPr="00597B77" w:rsidRDefault="00597B77" w:rsidP="00597B77">
      <w:pPr>
        <w:spacing w:after="120" w:line="240" w:lineRule="auto"/>
        <w:ind w:left="720"/>
        <w:contextualSpacing/>
        <w:jc w:val="lowKashida"/>
        <w:rPr>
          <w:color w:val="171717" w:themeColor="background2" w:themeShade="1A"/>
        </w:rPr>
      </w:pPr>
    </w:p>
    <w:p w14:paraId="40506B91" w14:textId="77777777" w:rsidR="00597B77" w:rsidRPr="00597B77" w:rsidRDefault="00597B77" w:rsidP="00597B77">
      <w:pPr>
        <w:keepNext/>
        <w:keepLines/>
        <w:numPr>
          <w:ilvl w:val="0"/>
          <w:numId w:val="5"/>
        </w:numPr>
        <w:spacing w:before="200" w:after="120"/>
        <w:contextualSpacing/>
        <w:jc w:val="both"/>
        <w:outlineLvl w:val="1"/>
        <w:rPr>
          <w:b/>
          <w:bCs/>
          <w:color w:val="05ADA0"/>
          <w:spacing w:val="20"/>
          <w:sz w:val="28"/>
          <w:szCs w:val="28"/>
        </w:rPr>
      </w:pPr>
      <w:r w:rsidRPr="00597B77">
        <w:rPr>
          <w:b/>
          <w:bCs/>
          <w:color w:val="05ADA0"/>
          <w:spacing w:val="20"/>
          <w:sz w:val="28"/>
          <w:szCs w:val="28"/>
        </w:rPr>
        <w:t>Résultats recherchés</w:t>
      </w:r>
    </w:p>
    <w:p w14:paraId="683B68CC" w14:textId="77777777" w:rsidR="00597B77" w:rsidRPr="00597B77" w:rsidRDefault="00597B77" w:rsidP="00597B77">
      <w:pPr>
        <w:spacing w:after="120" w:line="240" w:lineRule="auto"/>
        <w:jc w:val="lowKashida"/>
      </w:pPr>
      <w:r w:rsidRPr="00597B77">
        <w:t>Les principaux résultats recherchés sont :</w:t>
      </w:r>
    </w:p>
    <w:p w14:paraId="4A30531E" w14:textId="1FA6574F" w:rsidR="00597B77" w:rsidRPr="00597B77" w:rsidRDefault="00C82065" w:rsidP="00597B77">
      <w:pPr>
        <w:numPr>
          <w:ilvl w:val="0"/>
          <w:numId w:val="7"/>
        </w:numPr>
        <w:spacing w:after="120" w:line="240" w:lineRule="auto"/>
        <w:ind w:left="284" w:hanging="284"/>
        <w:contextualSpacing/>
        <w:jc w:val="lowKashida"/>
      </w:pPr>
      <w:r>
        <w:rPr>
          <w:color w:val="171717" w:themeColor="background2" w:themeShade="1A"/>
        </w:rPr>
        <w:t xml:space="preserve">Développer </w:t>
      </w:r>
      <w:r w:rsidR="00597B77" w:rsidRPr="00597B77">
        <w:rPr>
          <w:color w:val="171717" w:themeColor="background2" w:themeShade="1A"/>
        </w:rPr>
        <w:t>de</w:t>
      </w:r>
      <w:r>
        <w:rPr>
          <w:color w:val="171717" w:themeColor="background2" w:themeShade="1A"/>
        </w:rPr>
        <w:t>s</w:t>
      </w:r>
      <w:r w:rsidR="00597B77" w:rsidRPr="00597B77">
        <w:rPr>
          <w:color w:val="171717" w:themeColor="background2" w:themeShade="1A"/>
        </w:rPr>
        <w:t xml:space="preserve"> synergies entre les acteurs locaux du secteur public, du secteur privé et de la société civile en vue de parrainer et de soutenir concrètement les initiatives économiques des membres de la diaspora.</w:t>
      </w:r>
    </w:p>
    <w:p w14:paraId="3AF18D26" w14:textId="14CDAE89" w:rsidR="00597B77" w:rsidRPr="00597B77" w:rsidRDefault="00C82065" w:rsidP="00C82065">
      <w:pPr>
        <w:numPr>
          <w:ilvl w:val="0"/>
          <w:numId w:val="7"/>
        </w:numPr>
        <w:spacing w:after="120" w:line="240" w:lineRule="auto"/>
        <w:ind w:left="284" w:hanging="284"/>
        <w:contextualSpacing/>
        <w:jc w:val="lowKashida"/>
      </w:pPr>
      <w:r>
        <w:lastRenderedPageBreak/>
        <w:t xml:space="preserve">Favoriser, </w:t>
      </w:r>
      <w:r w:rsidR="000714C2" w:rsidRPr="000714C2">
        <w:t>dans la zone du nord-ouest (Béja particulièrement)</w:t>
      </w:r>
      <w:r>
        <w:t xml:space="preserve">, la </w:t>
      </w:r>
      <w:r w:rsidR="00597B77" w:rsidRPr="00597B77">
        <w:t xml:space="preserve">création d’entreprises et </w:t>
      </w:r>
      <w:r>
        <w:t xml:space="preserve">de </w:t>
      </w:r>
      <w:r w:rsidR="00597B77" w:rsidRPr="00597B77">
        <w:t xml:space="preserve">startups </w:t>
      </w:r>
      <w:r>
        <w:t xml:space="preserve">portées par </w:t>
      </w:r>
      <w:r w:rsidR="00597B77" w:rsidRPr="00597B77">
        <w:t>des membres de la diaspora.</w:t>
      </w:r>
    </w:p>
    <w:p w14:paraId="5FC0D02E" w14:textId="6B1970C2" w:rsidR="00597B77" w:rsidRPr="00597B77" w:rsidRDefault="00C82065" w:rsidP="00C82065">
      <w:pPr>
        <w:numPr>
          <w:ilvl w:val="3"/>
          <w:numId w:val="7"/>
        </w:numPr>
        <w:spacing w:after="120" w:line="240" w:lineRule="auto"/>
        <w:ind w:left="284" w:hanging="284"/>
        <w:contextualSpacing/>
        <w:jc w:val="lowKashida"/>
      </w:pPr>
      <w:bookmarkStart w:id="4" w:name="_Hlk148583852"/>
      <w:r>
        <w:t>R</w:t>
      </w:r>
      <w:r w:rsidR="00597B77" w:rsidRPr="00597B77">
        <w:t>enforce</w:t>
      </w:r>
      <w:r>
        <w:t>r</w:t>
      </w:r>
      <w:r w:rsidR="00597B77" w:rsidRPr="00597B77">
        <w:t xml:space="preserve"> </w:t>
      </w:r>
      <w:r>
        <w:t>l</w:t>
      </w:r>
      <w:r w:rsidR="00597B77" w:rsidRPr="00597B77">
        <w:t xml:space="preserve">es </w:t>
      </w:r>
      <w:r w:rsidR="00597B77" w:rsidRPr="00597B77">
        <w:rPr>
          <w:color w:val="171717" w:themeColor="background2" w:themeShade="1A"/>
        </w:rPr>
        <w:t xml:space="preserve">dynamiques de partenariat transnationales, notamment </w:t>
      </w:r>
      <w:r w:rsidR="00597B77" w:rsidRPr="00597B77">
        <w:t>la collaboration et les échanges entre les entreprises innovantes et les startups des deux rives.</w:t>
      </w:r>
    </w:p>
    <w:bookmarkEnd w:id="4"/>
    <w:p w14:paraId="02FF6BB3" w14:textId="202D1C83" w:rsidR="00597B77" w:rsidRDefault="00C82065" w:rsidP="00E526BA">
      <w:pPr>
        <w:numPr>
          <w:ilvl w:val="0"/>
          <w:numId w:val="7"/>
        </w:numPr>
        <w:spacing w:after="120" w:line="240" w:lineRule="auto"/>
        <w:ind w:left="284" w:hanging="284"/>
        <w:contextualSpacing/>
        <w:jc w:val="lowKashida"/>
      </w:pPr>
      <w:r>
        <w:rPr>
          <w:color w:val="171717" w:themeColor="background2" w:themeShade="1A"/>
        </w:rPr>
        <w:t>V</w:t>
      </w:r>
      <w:r w:rsidR="00597B77" w:rsidRPr="00597B77">
        <w:rPr>
          <w:color w:val="171717" w:themeColor="background2" w:themeShade="1A"/>
        </w:rPr>
        <w:t>aloris</w:t>
      </w:r>
      <w:r>
        <w:rPr>
          <w:color w:val="171717" w:themeColor="background2" w:themeShade="1A"/>
        </w:rPr>
        <w:t>er</w:t>
      </w:r>
      <w:r w:rsidR="00597B77" w:rsidRPr="00597B77">
        <w:rPr>
          <w:color w:val="171717" w:themeColor="background2" w:themeShade="1A"/>
        </w:rPr>
        <w:t xml:space="preserve"> </w:t>
      </w:r>
      <w:r w:rsidR="00E526BA">
        <w:rPr>
          <w:color w:val="171717" w:themeColor="background2" w:themeShade="1A"/>
        </w:rPr>
        <w:t>l</w:t>
      </w:r>
      <w:r w:rsidR="00597B77" w:rsidRPr="00597B77">
        <w:rPr>
          <w:color w:val="171717" w:themeColor="background2" w:themeShade="1A"/>
        </w:rPr>
        <w:t xml:space="preserve">es </w:t>
      </w:r>
      <w:r w:rsidR="00597B77" w:rsidRPr="00597B77">
        <w:t xml:space="preserve">partenariats public/privé (PPP). </w:t>
      </w:r>
    </w:p>
    <w:p w14:paraId="747E8477" w14:textId="77777777" w:rsidR="008A4296" w:rsidRPr="00597B77" w:rsidRDefault="008A4296" w:rsidP="003D1CC2">
      <w:pPr>
        <w:spacing w:after="120" w:line="240" w:lineRule="auto"/>
        <w:contextualSpacing/>
        <w:jc w:val="lowKashida"/>
      </w:pPr>
    </w:p>
    <w:p w14:paraId="1BD37697" w14:textId="77777777" w:rsidR="00597B77" w:rsidRPr="00597B77" w:rsidRDefault="00597B77" w:rsidP="00597B77">
      <w:pPr>
        <w:spacing w:after="120" w:line="240" w:lineRule="auto"/>
        <w:jc w:val="both"/>
        <w:rPr>
          <w:color w:val="171717" w:themeColor="background2" w:themeShade="1A"/>
          <w:sz w:val="2"/>
          <w:szCs w:val="2"/>
        </w:rPr>
      </w:pPr>
    </w:p>
    <w:p w14:paraId="1A793A0E" w14:textId="77777777" w:rsidR="00597B77" w:rsidRPr="00597B77" w:rsidRDefault="00597B77" w:rsidP="00597B77">
      <w:pPr>
        <w:keepNext/>
        <w:keepLines/>
        <w:numPr>
          <w:ilvl w:val="0"/>
          <w:numId w:val="5"/>
        </w:numPr>
        <w:spacing w:before="200" w:after="120"/>
        <w:contextualSpacing/>
        <w:outlineLvl w:val="1"/>
        <w:rPr>
          <w:rFonts w:ascii="Calibri" w:hAnsi="Calibri"/>
          <w:b/>
          <w:color w:val="05ADA0"/>
          <w:sz w:val="28"/>
          <w:szCs w:val="28"/>
        </w:rPr>
      </w:pPr>
      <w:r w:rsidRPr="00597B77">
        <w:rPr>
          <w:b/>
          <w:bCs/>
          <w:color w:val="05ADA0"/>
          <w:spacing w:val="20"/>
          <w:sz w:val="28"/>
          <w:szCs w:val="28"/>
        </w:rPr>
        <w:t>Bénéficiaires</w:t>
      </w:r>
    </w:p>
    <w:p w14:paraId="37B4E23C" w14:textId="77777777" w:rsidR="00597B77" w:rsidRPr="00597B77" w:rsidRDefault="00597B77" w:rsidP="00597B77">
      <w:pPr>
        <w:spacing w:after="120" w:line="240" w:lineRule="auto"/>
        <w:jc w:val="lowKashida"/>
        <w:rPr>
          <w:color w:val="171717" w:themeColor="background2" w:themeShade="1A"/>
        </w:rPr>
      </w:pPr>
      <w:r w:rsidRPr="00597B77">
        <w:rPr>
          <w:color w:val="171717" w:themeColor="background2" w:themeShade="1A"/>
        </w:rPr>
        <w:t xml:space="preserve">Le projet vise principalement à préparer un environnement favorable pour la réalisation des projets économiques des membres de la diaspora en créant un climat général de bienveillance et d’adhésion. Le postulat est que les mécanismes incitatifs fonctionneront mieux et que de nombreux obstacles d’ordre administratif et social seront levés ou surmontables si la communauté adopte ces projets parce qu’elle est convaincue qu’ils vont dans le sens de l’intérêt collectif. </w:t>
      </w:r>
    </w:p>
    <w:p w14:paraId="3157E5A6" w14:textId="77777777" w:rsidR="00597B77" w:rsidRPr="00597B77" w:rsidRDefault="00597B77" w:rsidP="00597B77">
      <w:pPr>
        <w:spacing w:after="120" w:line="240" w:lineRule="auto"/>
        <w:jc w:val="lowKashida"/>
        <w:rPr>
          <w:color w:val="171717" w:themeColor="background2" w:themeShade="1A"/>
        </w:rPr>
      </w:pPr>
      <w:r w:rsidRPr="00597B77">
        <w:rPr>
          <w:color w:val="171717" w:themeColor="background2" w:themeShade="1A"/>
        </w:rPr>
        <w:t xml:space="preserve"> C’est pourquoi les collaborations avec des entreprises tunisiennes seront encouragées notamment : </w:t>
      </w:r>
    </w:p>
    <w:p w14:paraId="1411E095" w14:textId="77777777" w:rsidR="00597B77" w:rsidRPr="00597B77" w:rsidRDefault="00597B77" w:rsidP="00597B77">
      <w:pPr>
        <w:numPr>
          <w:ilvl w:val="0"/>
          <w:numId w:val="8"/>
        </w:numPr>
        <w:spacing w:after="120" w:line="240" w:lineRule="auto"/>
        <w:contextualSpacing/>
        <w:jc w:val="lowKashida"/>
        <w:rPr>
          <w:color w:val="171717" w:themeColor="background2" w:themeShade="1A"/>
        </w:rPr>
      </w:pPr>
      <w:r w:rsidRPr="00597B77">
        <w:rPr>
          <w:color w:val="171717" w:themeColor="background2" w:themeShade="1A"/>
        </w:rPr>
        <w:t>La complémentarité entre entreprises innovantes et start-ups des deux rives,</w:t>
      </w:r>
    </w:p>
    <w:p w14:paraId="0CE16E5A" w14:textId="77777777" w:rsidR="00597B77" w:rsidRPr="00597B77" w:rsidRDefault="00597B77" w:rsidP="00597B77">
      <w:pPr>
        <w:numPr>
          <w:ilvl w:val="0"/>
          <w:numId w:val="8"/>
        </w:numPr>
        <w:spacing w:after="120" w:line="240" w:lineRule="auto"/>
        <w:contextualSpacing/>
        <w:jc w:val="lowKashida"/>
        <w:rPr>
          <w:color w:val="171717" w:themeColor="background2" w:themeShade="1A"/>
        </w:rPr>
      </w:pPr>
      <w:r w:rsidRPr="00597B77">
        <w:rPr>
          <w:color w:val="171717" w:themeColor="background2" w:themeShade="1A"/>
        </w:rPr>
        <w:t>La collaboration stratégique entre jeunes entreprises et entreprises établies,</w:t>
      </w:r>
    </w:p>
    <w:p w14:paraId="3F532B57" w14:textId="77777777" w:rsidR="00597B77" w:rsidRPr="00597B77" w:rsidRDefault="00597B77" w:rsidP="00E526BA">
      <w:pPr>
        <w:numPr>
          <w:ilvl w:val="0"/>
          <w:numId w:val="8"/>
        </w:numPr>
        <w:spacing w:after="120" w:line="240" w:lineRule="auto"/>
        <w:ind w:left="714" w:hanging="357"/>
        <w:jc w:val="lowKashida"/>
        <w:rPr>
          <w:color w:val="171717" w:themeColor="background2" w:themeShade="1A"/>
        </w:rPr>
      </w:pPr>
      <w:r w:rsidRPr="00597B77">
        <w:rPr>
          <w:color w:val="171717" w:themeColor="background2" w:themeShade="1A"/>
        </w:rPr>
        <w:t>La prise de participation dans des start-ups prometteuses.</w:t>
      </w:r>
    </w:p>
    <w:p w14:paraId="74B28EBB" w14:textId="31AD8BB2" w:rsidR="00597B77" w:rsidRPr="00597B77" w:rsidRDefault="00E631A5" w:rsidP="00E526BA">
      <w:pPr>
        <w:spacing w:after="120" w:line="240" w:lineRule="auto"/>
        <w:jc w:val="lowKashida"/>
        <w:rPr>
          <w:color w:val="171717" w:themeColor="background2" w:themeShade="1A"/>
        </w:rPr>
      </w:pPr>
      <w:r w:rsidRPr="00E631A5">
        <w:rPr>
          <w:color w:val="171717" w:themeColor="background2" w:themeShade="1A"/>
        </w:rPr>
        <w:t>Le projet vise à atteindre un minimum de six (06) bénéficiaires finaux issus de la diaspora, parmi les huit (08) déjà sélectionnés, avec la possibilité d'augmenter ce nombre initial à neuf</w:t>
      </w:r>
      <w:r w:rsidR="0048341F">
        <w:rPr>
          <w:color w:val="171717" w:themeColor="background2" w:themeShade="1A"/>
        </w:rPr>
        <w:t xml:space="preserve"> </w:t>
      </w:r>
      <w:r w:rsidR="00ED4C9B">
        <w:rPr>
          <w:color w:val="171717" w:themeColor="background2" w:themeShade="1A"/>
        </w:rPr>
        <w:t>(</w:t>
      </w:r>
      <w:r w:rsidR="00ED4C9B" w:rsidRPr="00ED4C9B">
        <w:t xml:space="preserve"> </w:t>
      </w:r>
      <w:r w:rsidR="00ED4C9B" w:rsidRPr="00ED4C9B">
        <w:rPr>
          <w:color w:val="171717" w:themeColor="background2" w:themeShade="1A"/>
        </w:rPr>
        <w:t>3 projets agricoles, 2 projets intégrant des innovations technologiques pour optimiser la gestion des exploitations agricoles et les processus de production, ainsi que 3 projets dans les domaines du loisir, du tourisme et des services</w:t>
      </w:r>
      <w:r w:rsidR="00ED4C9B">
        <w:rPr>
          <w:color w:val="171717" w:themeColor="background2" w:themeShade="1A"/>
        </w:rPr>
        <w:t>)</w:t>
      </w:r>
      <w:r w:rsidR="00851469" w:rsidRPr="0048341F">
        <w:rPr>
          <w:b/>
          <w:bCs/>
          <w:color w:val="171717" w:themeColor="background2" w:themeShade="1A"/>
        </w:rPr>
        <w:t>,</w:t>
      </w:r>
      <w:r w:rsidR="00851469">
        <w:rPr>
          <w:color w:val="171717" w:themeColor="background2" w:themeShade="1A"/>
        </w:rPr>
        <w:t xml:space="preserve"> </w:t>
      </w:r>
      <w:r w:rsidR="00597B77" w:rsidRPr="00597B77">
        <w:rPr>
          <w:color w:val="171717" w:themeColor="background2" w:themeShade="1A"/>
        </w:rPr>
        <w:t>qui bénéficieront des activités d'accompagnement et d’incubation.</w:t>
      </w:r>
    </w:p>
    <w:p w14:paraId="011A8BE1" w14:textId="77777777" w:rsidR="00597B77" w:rsidRPr="00597B77" w:rsidRDefault="00597B77" w:rsidP="00597B77">
      <w:pPr>
        <w:spacing w:after="120" w:line="240" w:lineRule="auto"/>
        <w:jc w:val="lowKashida"/>
      </w:pPr>
    </w:p>
    <w:p w14:paraId="7274F899" w14:textId="77777777" w:rsidR="00597B77" w:rsidRPr="00597B77" w:rsidRDefault="00597B77" w:rsidP="00597B77">
      <w:pPr>
        <w:numPr>
          <w:ilvl w:val="0"/>
          <w:numId w:val="5"/>
        </w:numPr>
        <w:spacing w:after="120" w:line="240" w:lineRule="auto"/>
        <w:contextualSpacing/>
        <w:rPr>
          <w:b/>
          <w:bCs/>
          <w:color w:val="05ADA0"/>
          <w:spacing w:val="20"/>
          <w:sz w:val="28"/>
          <w:szCs w:val="28"/>
        </w:rPr>
      </w:pPr>
      <w:r w:rsidRPr="00597B77">
        <w:rPr>
          <w:b/>
          <w:bCs/>
          <w:color w:val="05ADA0"/>
          <w:spacing w:val="20"/>
          <w:sz w:val="28"/>
          <w:szCs w:val="28"/>
        </w:rPr>
        <w:t xml:space="preserve">Logistique à prendre en charge : </w:t>
      </w:r>
    </w:p>
    <w:p w14:paraId="0C71F8D4" w14:textId="77777777" w:rsidR="00597B77" w:rsidRPr="00597B77" w:rsidRDefault="00597B77" w:rsidP="00597B77">
      <w:pPr>
        <w:spacing w:after="120" w:line="240" w:lineRule="auto"/>
        <w:jc w:val="lowKashida"/>
      </w:pPr>
      <w:r w:rsidRPr="00597B77">
        <w:t xml:space="preserve">Le schéma d’accompagnement spécifique comportera des conseils en stratégie et communication, des services de soutien dans les démarches administratives et de médiation vis-à-vis de l’environnement économique et social. Il permettra aux candidats de développer sur mesure les compétences techniques qui leur manquent. </w:t>
      </w:r>
    </w:p>
    <w:p w14:paraId="0B63839B" w14:textId="1900AFED" w:rsidR="00597B77" w:rsidRDefault="00597B77" w:rsidP="00597B77">
      <w:pPr>
        <w:spacing w:after="120" w:line="240" w:lineRule="auto"/>
        <w:jc w:val="lowKashida"/>
      </w:pPr>
      <w:r w:rsidRPr="00597B77">
        <w:t xml:space="preserve">Le consortium devra préparer la logistique nécessaire. Il devra notamment mettre à disposition </w:t>
      </w:r>
      <w:r w:rsidR="008A4296">
        <w:t xml:space="preserve">des bénéficiaires </w:t>
      </w:r>
      <w:r w:rsidRPr="00597B77">
        <w:t>des locaux pour assurer l’assistance et préparer tous les éléments nécessaires à l'exécution de sa mission, y compris d’éventuelles séances de coaching/formation à distance dans les meilleures conditions techniques.</w:t>
      </w:r>
    </w:p>
    <w:p w14:paraId="0DE5CE25" w14:textId="77777777" w:rsidR="00E526BA" w:rsidRPr="00597B77" w:rsidRDefault="00E526BA" w:rsidP="00597B77">
      <w:pPr>
        <w:spacing w:after="120" w:line="240" w:lineRule="auto"/>
        <w:jc w:val="lowKashida"/>
        <w:rPr>
          <w:b/>
          <w:bCs/>
          <w:color w:val="05ADA0"/>
          <w:spacing w:val="20"/>
          <w:sz w:val="28"/>
          <w:szCs w:val="28"/>
        </w:rPr>
      </w:pPr>
    </w:p>
    <w:p w14:paraId="03BC99B1" w14:textId="77777777" w:rsidR="00597B77" w:rsidRPr="00597B77" w:rsidRDefault="00597B77" w:rsidP="00597B77">
      <w:pPr>
        <w:numPr>
          <w:ilvl w:val="0"/>
          <w:numId w:val="5"/>
        </w:numPr>
        <w:spacing w:after="120" w:line="240" w:lineRule="auto"/>
        <w:contextualSpacing/>
        <w:jc w:val="lowKashida"/>
        <w:rPr>
          <w:b/>
          <w:bCs/>
          <w:color w:val="05ADA0"/>
          <w:spacing w:val="20"/>
          <w:sz w:val="28"/>
          <w:szCs w:val="28"/>
        </w:rPr>
      </w:pPr>
      <w:r w:rsidRPr="00597B77">
        <w:t xml:space="preserve"> </w:t>
      </w:r>
      <w:r w:rsidRPr="00597B77">
        <w:rPr>
          <w:b/>
          <w:bCs/>
          <w:color w:val="05ADA0"/>
          <w:spacing w:val="20"/>
          <w:sz w:val="28"/>
          <w:szCs w:val="28"/>
        </w:rPr>
        <w:t>Livrables</w:t>
      </w:r>
    </w:p>
    <w:p w14:paraId="7560E09B" w14:textId="2A54CC00" w:rsidR="00597B77" w:rsidRPr="00597B77" w:rsidRDefault="00597B77" w:rsidP="00E526BA">
      <w:pPr>
        <w:keepNext/>
        <w:keepLines/>
        <w:spacing w:before="200" w:after="120"/>
        <w:jc w:val="lowKashida"/>
        <w:outlineLvl w:val="1"/>
      </w:pPr>
      <w:r w:rsidRPr="00597B77">
        <w:t>En plus des documents relatifs aux actions de formation mentionnées ci-</w:t>
      </w:r>
      <w:r w:rsidR="009A404B" w:rsidRPr="00597B77">
        <w:t>dessus, le</w:t>
      </w:r>
      <w:r w:rsidRPr="00597B77">
        <w:t xml:space="preserve"> consortium a également la responsabilité de partager avec l'équipe du projet THAMM-OFII les éléments suivants : </w:t>
      </w:r>
    </w:p>
    <w:p w14:paraId="20959B30" w14:textId="7F7625C5" w:rsidR="00597B77" w:rsidRPr="00E526BA" w:rsidRDefault="00597B77" w:rsidP="00E526BA">
      <w:pPr>
        <w:numPr>
          <w:ilvl w:val="0"/>
          <w:numId w:val="8"/>
        </w:numPr>
        <w:spacing w:after="120" w:line="240" w:lineRule="auto"/>
        <w:contextualSpacing/>
        <w:jc w:val="lowKashida"/>
        <w:rPr>
          <w:color w:val="171717" w:themeColor="background2" w:themeShade="1A"/>
        </w:rPr>
      </w:pPr>
      <w:r w:rsidRPr="00E526BA">
        <w:rPr>
          <w:color w:val="171717" w:themeColor="background2" w:themeShade="1A"/>
        </w:rPr>
        <w:t>Le cadre logique du projet</w:t>
      </w:r>
      <w:r w:rsidR="009A404B">
        <w:rPr>
          <w:rStyle w:val="Appelnotedebasdep"/>
          <w:color w:val="171717" w:themeColor="background2" w:themeShade="1A"/>
        </w:rPr>
        <w:footnoteReference w:id="1"/>
      </w:r>
      <w:r w:rsidRPr="00E526BA">
        <w:rPr>
          <w:color w:val="171717" w:themeColor="background2" w:themeShade="1A"/>
        </w:rPr>
        <w:t> ;</w:t>
      </w:r>
    </w:p>
    <w:p w14:paraId="266F441A" w14:textId="77777777" w:rsidR="00597B77" w:rsidRPr="00E526BA" w:rsidRDefault="00597B77" w:rsidP="00E526BA">
      <w:pPr>
        <w:numPr>
          <w:ilvl w:val="0"/>
          <w:numId w:val="8"/>
        </w:numPr>
        <w:spacing w:after="120" w:line="240" w:lineRule="auto"/>
        <w:contextualSpacing/>
        <w:jc w:val="lowKashida"/>
        <w:rPr>
          <w:color w:val="171717" w:themeColor="background2" w:themeShade="1A"/>
        </w:rPr>
      </w:pPr>
      <w:r w:rsidRPr="00E526BA">
        <w:rPr>
          <w:color w:val="171717" w:themeColor="background2" w:themeShade="1A"/>
        </w:rPr>
        <w:t>Les comptes rendus des réunions ;</w:t>
      </w:r>
    </w:p>
    <w:p w14:paraId="15944DC0" w14:textId="77777777" w:rsidR="00597B77" w:rsidRPr="00E526BA" w:rsidRDefault="00597B77" w:rsidP="00E526BA">
      <w:pPr>
        <w:numPr>
          <w:ilvl w:val="0"/>
          <w:numId w:val="8"/>
        </w:numPr>
        <w:spacing w:after="120" w:line="240" w:lineRule="auto"/>
        <w:contextualSpacing/>
        <w:jc w:val="lowKashida"/>
        <w:rPr>
          <w:color w:val="171717" w:themeColor="background2" w:themeShade="1A"/>
        </w:rPr>
      </w:pPr>
      <w:r w:rsidRPr="00E526BA">
        <w:rPr>
          <w:color w:val="171717" w:themeColor="background2" w:themeShade="1A"/>
        </w:rPr>
        <w:t>Les enregistrements numériques des éventuelles visioconférences ;</w:t>
      </w:r>
    </w:p>
    <w:p w14:paraId="757769FB" w14:textId="77777777" w:rsidR="00597B77" w:rsidRPr="00E526BA" w:rsidRDefault="00597B77" w:rsidP="00E526BA">
      <w:pPr>
        <w:numPr>
          <w:ilvl w:val="0"/>
          <w:numId w:val="8"/>
        </w:numPr>
        <w:spacing w:after="120" w:line="240" w:lineRule="auto"/>
        <w:contextualSpacing/>
        <w:jc w:val="lowKashida"/>
        <w:rPr>
          <w:color w:val="171717" w:themeColor="background2" w:themeShade="1A"/>
        </w:rPr>
      </w:pPr>
      <w:r w:rsidRPr="00E526BA">
        <w:rPr>
          <w:color w:val="171717" w:themeColor="background2" w:themeShade="1A"/>
        </w:rPr>
        <w:t>L'état d'avancement des travaux sous forme d'une matrice de suivi ;</w:t>
      </w:r>
    </w:p>
    <w:p w14:paraId="0129BAF9" w14:textId="77777777" w:rsidR="00597B77" w:rsidRPr="00E526BA" w:rsidRDefault="00597B77" w:rsidP="00E526BA">
      <w:pPr>
        <w:numPr>
          <w:ilvl w:val="0"/>
          <w:numId w:val="8"/>
        </w:numPr>
        <w:spacing w:after="120" w:line="240" w:lineRule="auto"/>
        <w:ind w:left="714" w:hanging="357"/>
        <w:jc w:val="lowKashida"/>
        <w:rPr>
          <w:color w:val="171717" w:themeColor="background2" w:themeShade="1A"/>
        </w:rPr>
      </w:pPr>
      <w:r w:rsidRPr="00E526BA">
        <w:rPr>
          <w:color w:val="171717" w:themeColor="background2" w:themeShade="1A"/>
        </w:rPr>
        <w:t xml:space="preserve">Les documents relatifs aux dépenses. </w:t>
      </w:r>
    </w:p>
    <w:p w14:paraId="267672F6" w14:textId="292508C8" w:rsidR="00E526BA" w:rsidRDefault="00597B77" w:rsidP="00E526BA">
      <w:pPr>
        <w:keepLines/>
        <w:spacing w:after="120" w:line="240" w:lineRule="auto"/>
        <w:jc w:val="lowKashida"/>
      </w:pPr>
      <w:r w:rsidRPr="00597B77">
        <w:t>Il convient de souligner que cette liste de livrables n'est pas exhaustive et pourra être adaptée en fonction des besoins et de la disponibilité des éléments à fournir.</w:t>
      </w:r>
    </w:p>
    <w:p w14:paraId="0CCEAA17" w14:textId="77777777" w:rsidR="00E526BA" w:rsidRPr="00597B77" w:rsidRDefault="00E526BA" w:rsidP="00E526BA">
      <w:pPr>
        <w:keepLines/>
        <w:spacing w:after="120" w:line="240" w:lineRule="auto"/>
        <w:jc w:val="lowKashida"/>
      </w:pPr>
    </w:p>
    <w:p w14:paraId="65C3506E" w14:textId="77777777" w:rsidR="00597B77" w:rsidRPr="00597B77" w:rsidRDefault="00597B77" w:rsidP="003D1CC2">
      <w:pPr>
        <w:keepNext/>
        <w:keepLines/>
        <w:numPr>
          <w:ilvl w:val="0"/>
          <w:numId w:val="5"/>
        </w:numPr>
        <w:spacing w:before="200" w:after="120"/>
        <w:ind w:left="714" w:hanging="357"/>
        <w:contextualSpacing/>
        <w:outlineLvl w:val="1"/>
        <w:rPr>
          <w:b/>
          <w:bCs/>
          <w:color w:val="05ADA0"/>
          <w:spacing w:val="20"/>
          <w:sz w:val="28"/>
          <w:szCs w:val="28"/>
        </w:rPr>
      </w:pPr>
      <w:r w:rsidRPr="00597B77">
        <w:rPr>
          <w:b/>
          <w:bCs/>
          <w:color w:val="05ADA0"/>
          <w:spacing w:val="20"/>
          <w:sz w:val="28"/>
          <w:szCs w:val="28"/>
        </w:rPr>
        <w:t>Éligibilité du demandeur</w:t>
      </w:r>
    </w:p>
    <w:p w14:paraId="10F166ED" w14:textId="34F6F29F" w:rsidR="00597B77" w:rsidRPr="00597B77" w:rsidRDefault="00597B77" w:rsidP="00E526BA">
      <w:pPr>
        <w:keepLines/>
        <w:spacing w:after="120" w:line="240" w:lineRule="auto"/>
        <w:outlineLvl w:val="1"/>
      </w:pPr>
      <w:r w:rsidRPr="00597B77">
        <w:t xml:space="preserve">Dans le cas où l’acteur local pilier du consortium n’est pas une </w:t>
      </w:r>
      <w:r w:rsidR="006F6722">
        <w:t xml:space="preserve">collectivité locale, une </w:t>
      </w:r>
      <w:r w:rsidRPr="00597B77">
        <w:t xml:space="preserve">institution, établissement </w:t>
      </w:r>
      <w:r w:rsidR="006F6722">
        <w:t>du secteur</w:t>
      </w:r>
      <w:r w:rsidRPr="00597B77">
        <w:t xml:space="preserve"> public en Tunisie, les critères d’éligibilité sont les suivants :</w:t>
      </w:r>
    </w:p>
    <w:p w14:paraId="18065935" w14:textId="0E708A31" w:rsidR="00597B77" w:rsidRPr="00597B77" w:rsidRDefault="00597B77" w:rsidP="00E526BA">
      <w:pPr>
        <w:keepLines/>
        <w:spacing w:after="60" w:line="240" w:lineRule="auto"/>
        <w:outlineLvl w:val="1"/>
      </w:pPr>
      <w:r w:rsidRPr="00597B77">
        <w:t xml:space="preserve">- Être une </w:t>
      </w:r>
      <w:r w:rsidR="00851469">
        <w:t xml:space="preserve">association de développement, </w:t>
      </w:r>
      <w:r w:rsidRPr="00597B77">
        <w:t>organisation, un groupement de professionnels, ou une entreprise à mission ;</w:t>
      </w:r>
    </w:p>
    <w:p w14:paraId="46990831" w14:textId="77777777" w:rsidR="00597B77" w:rsidRPr="00597B77" w:rsidRDefault="00597B77" w:rsidP="00E526BA">
      <w:pPr>
        <w:keepNext/>
        <w:keepLines/>
        <w:spacing w:after="60" w:line="240" w:lineRule="auto"/>
        <w:outlineLvl w:val="1"/>
      </w:pPr>
      <w:r w:rsidRPr="00597B77">
        <w:t>- Être enregistré légalement depuis au moins deux ans au moment du dépôt de la demande ;</w:t>
      </w:r>
    </w:p>
    <w:p w14:paraId="77DC13A4" w14:textId="77777777" w:rsidR="00597B77" w:rsidRPr="00597B77" w:rsidRDefault="00597B77" w:rsidP="00E526BA">
      <w:pPr>
        <w:keepNext/>
        <w:keepLines/>
        <w:spacing w:after="60" w:line="240" w:lineRule="auto"/>
        <w:outlineLvl w:val="1"/>
      </w:pPr>
      <w:r w:rsidRPr="00597B77">
        <w:t>- Être directement chargé de la préparation et de la gestion de l’action avec le(s) codemandeur(s) éventuel(s) et non agir en tant qu’intermédiaire ;</w:t>
      </w:r>
    </w:p>
    <w:p w14:paraId="50EA8498" w14:textId="77777777" w:rsidR="00597B77" w:rsidRPr="00597B77" w:rsidRDefault="00597B77" w:rsidP="00E526BA">
      <w:pPr>
        <w:keepNext/>
        <w:keepLines/>
        <w:spacing w:after="60" w:line="240" w:lineRule="auto"/>
        <w:outlineLvl w:val="1"/>
      </w:pPr>
      <w:r w:rsidRPr="00597B77">
        <w:t>- Faire preuve de sa capacité à gérer des activités relatives aux thèmes concernés et correspondant à l’ampleur du projet nécessitant une subvention en fournissant :</w:t>
      </w:r>
    </w:p>
    <w:p w14:paraId="4FEDAB89" w14:textId="77777777" w:rsidR="00597B77" w:rsidRPr="00597B77" w:rsidRDefault="00597B77" w:rsidP="00E526BA">
      <w:pPr>
        <w:keepNext/>
        <w:keepLines/>
        <w:numPr>
          <w:ilvl w:val="0"/>
          <w:numId w:val="9"/>
        </w:numPr>
        <w:spacing w:after="120" w:line="240" w:lineRule="auto"/>
        <w:contextualSpacing/>
        <w:outlineLvl w:val="1"/>
      </w:pPr>
      <w:r w:rsidRPr="00597B77">
        <w:t>Une copie du document d’enregistrement de l’organisation ou une note décrivant sa création /ses activités.</w:t>
      </w:r>
    </w:p>
    <w:p w14:paraId="6BDA8B52" w14:textId="77777777" w:rsidR="00597B77" w:rsidRPr="00597B77" w:rsidRDefault="00597B77" w:rsidP="00E526BA">
      <w:pPr>
        <w:keepNext/>
        <w:keepLines/>
        <w:numPr>
          <w:ilvl w:val="0"/>
          <w:numId w:val="10"/>
        </w:numPr>
        <w:spacing w:after="120" w:line="240" w:lineRule="auto"/>
        <w:contextualSpacing/>
        <w:outlineLvl w:val="1"/>
      </w:pPr>
      <w:r w:rsidRPr="00597B77">
        <w:t>Une copie du dernier rapport annuel de l’organisation, ou une présentation des activités mises en œuvre par l’organisation pendant les deux dernières années.</w:t>
      </w:r>
    </w:p>
    <w:p w14:paraId="3A1FBFDA" w14:textId="1BD8A839" w:rsidR="00597B77" w:rsidRPr="00597B77" w:rsidRDefault="00597B77" w:rsidP="00E526BA">
      <w:pPr>
        <w:keepNext/>
        <w:keepLines/>
        <w:numPr>
          <w:ilvl w:val="0"/>
          <w:numId w:val="11"/>
        </w:numPr>
        <w:spacing w:after="120" w:line="240" w:lineRule="auto"/>
        <w:ind w:left="714" w:hanging="357"/>
        <w:outlineLvl w:val="1"/>
      </w:pPr>
      <w:r w:rsidRPr="00597B77">
        <w:t xml:space="preserve">Les états financiers les plus récents </w:t>
      </w:r>
      <w:r w:rsidR="00851469">
        <w:t xml:space="preserve">des </w:t>
      </w:r>
      <w:r w:rsidR="00C76C16">
        <w:t xml:space="preserve">années </w:t>
      </w:r>
      <w:r w:rsidR="00C76C16" w:rsidRPr="00597B77">
        <w:t>2022</w:t>
      </w:r>
      <w:r w:rsidR="00656349" w:rsidRPr="00597B77">
        <w:t xml:space="preserve"> </w:t>
      </w:r>
      <w:r w:rsidRPr="00597B77">
        <w:t xml:space="preserve">et </w:t>
      </w:r>
      <w:r w:rsidR="00656349" w:rsidRPr="00597B77">
        <w:t>202</w:t>
      </w:r>
      <w:r w:rsidR="00656349">
        <w:t>3</w:t>
      </w:r>
      <w:r w:rsidR="00656349" w:rsidRPr="00597B77">
        <w:t xml:space="preserve"> </w:t>
      </w:r>
      <w:r w:rsidRPr="00597B77">
        <w:t xml:space="preserve">(ou à défaut </w:t>
      </w:r>
      <w:r w:rsidR="00656349" w:rsidRPr="00597B77">
        <w:t>202</w:t>
      </w:r>
      <w:r w:rsidR="00656349">
        <w:t>1</w:t>
      </w:r>
      <w:r w:rsidR="00656349" w:rsidRPr="00597B77">
        <w:t xml:space="preserve"> </w:t>
      </w:r>
      <w:r w:rsidRPr="00597B77">
        <w:t xml:space="preserve">et </w:t>
      </w:r>
      <w:r w:rsidR="00656349" w:rsidRPr="00597B77">
        <w:t>202</w:t>
      </w:r>
      <w:r w:rsidR="00656349">
        <w:t>2</w:t>
      </w:r>
      <w:r w:rsidRPr="00597B77">
        <w:t>).</w:t>
      </w:r>
    </w:p>
    <w:p w14:paraId="4E234B83" w14:textId="69951E27" w:rsidR="00597B77" w:rsidRPr="00597B77" w:rsidRDefault="00597B77" w:rsidP="00E526BA">
      <w:pPr>
        <w:keepNext/>
        <w:keepLines/>
        <w:spacing w:after="120" w:line="240" w:lineRule="auto"/>
        <w:jc w:val="lowKashida"/>
        <w:outlineLvl w:val="1"/>
      </w:pPr>
      <w:bookmarkStart w:id="5" w:name="_Hlk147957617"/>
      <w:r w:rsidRPr="00597B77">
        <w:t xml:space="preserve">Aucun demandeur ne peut participer à l’appel à projet s'il se trouve dans une des situations mentionnées à l’article 2.6.10 des Conditions générales applicable aux Practical Guide : </w:t>
      </w:r>
      <w:hyperlink r:id="rId12" w:history="1">
        <w:r w:rsidR="00E526BA" w:rsidRPr="008D5B6F">
          <w:rPr>
            <w:rStyle w:val="Lienhypertexte"/>
          </w:rPr>
          <w:t>https://ufmsecretariat.org/wp-content/uploads/2012/09/ePrag-fr-2019.0.pdf</w:t>
        </w:r>
      </w:hyperlink>
      <w:r w:rsidR="00E526BA">
        <w:t xml:space="preserve"> </w:t>
      </w:r>
    </w:p>
    <w:p w14:paraId="3B14C9B7" w14:textId="77777777" w:rsidR="00597B77" w:rsidRPr="00597B77" w:rsidRDefault="00597B77" w:rsidP="00E526BA">
      <w:pPr>
        <w:spacing w:after="120" w:line="240" w:lineRule="auto"/>
        <w:jc w:val="both"/>
      </w:pPr>
      <w:r w:rsidRPr="00597B77">
        <w:t>Les subventions ne seront attribuées qu’après vérification du statut du demandeur dans la base de données Early Detection and Exclusion System, la base de données EDES est disponible en ligne sur le site de la commission européenne</w:t>
      </w:r>
    </w:p>
    <w:bookmarkEnd w:id="5"/>
    <w:p w14:paraId="278B4541" w14:textId="77777777" w:rsidR="00597B77" w:rsidRPr="00597B77" w:rsidRDefault="00597B77" w:rsidP="00E526BA">
      <w:pPr>
        <w:spacing w:after="120" w:line="240" w:lineRule="auto"/>
        <w:jc w:val="both"/>
      </w:pPr>
      <w:r w:rsidRPr="00597B77">
        <w:t>Le demandeur doit s’assurer que la structure locale avec laquelle il est en partenariat respecte les mêmes règles d’éligibilité du présent appel.</w:t>
      </w:r>
    </w:p>
    <w:p w14:paraId="24EC84F0" w14:textId="77777777" w:rsidR="00597B77" w:rsidRPr="00597B77" w:rsidRDefault="00597B77" w:rsidP="00E526BA">
      <w:pPr>
        <w:keepNext/>
        <w:keepLines/>
        <w:spacing w:after="120" w:line="240" w:lineRule="auto"/>
        <w:jc w:val="both"/>
        <w:outlineLvl w:val="1"/>
      </w:pPr>
      <w:r w:rsidRPr="00597B77">
        <w:t>Si la subvention lui est attribuée, le demandeur devient le bénéficiaire identifié comme le coordinateur et l’interlocuteur principal de l’autorité contractante. Il représente les éventuels autres bénéficiaires et agit en leur nom, il conçoit et coordonne l’action.</w:t>
      </w:r>
    </w:p>
    <w:p w14:paraId="20B4B91D" w14:textId="77777777" w:rsidR="00597B77" w:rsidRPr="00597B77" w:rsidRDefault="00597B77" w:rsidP="00E526BA">
      <w:pPr>
        <w:keepNext/>
        <w:keepLines/>
        <w:spacing w:after="120" w:line="240" w:lineRule="auto"/>
        <w:jc w:val="both"/>
        <w:outlineLvl w:val="1"/>
      </w:pPr>
      <w:r w:rsidRPr="00597B77">
        <w:t>Si le demandeur ne satisfait pas à ces critères d’éligibilité, la demande ne sera pas étudiée.</w:t>
      </w:r>
    </w:p>
    <w:p w14:paraId="502E63C7" w14:textId="3BF0E3F0" w:rsidR="00597B77" w:rsidRPr="00597B77" w:rsidRDefault="00597B77" w:rsidP="00E526BA">
      <w:pPr>
        <w:keepNext/>
        <w:keepLines/>
        <w:spacing w:after="120" w:line="240" w:lineRule="auto"/>
        <w:jc w:val="both"/>
        <w:outlineLvl w:val="1"/>
      </w:pPr>
      <w:r w:rsidRPr="00597B77">
        <w:t>De même, les partenaires membres du consortium proposé doivent satisfaire les critères d’éligibilité de l’acteur local pilier du consortium.</w:t>
      </w:r>
    </w:p>
    <w:p w14:paraId="1EB6A5C2" w14:textId="77777777" w:rsidR="00597B77" w:rsidRDefault="00597B77" w:rsidP="00E526BA">
      <w:pPr>
        <w:keepNext/>
        <w:keepLines/>
        <w:spacing w:after="120" w:line="240" w:lineRule="auto"/>
        <w:jc w:val="both"/>
        <w:outlineLvl w:val="1"/>
      </w:pPr>
      <w:r w:rsidRPr="00597B77">
        <w:t>Le demandeur et les codemandeurs présentent un seul dossier au nom du demandeur, soit la personne morale qui sera considérée comme l’interlocuteur principal de l’autorité contractante. Il représentera les éventuels codemandeurs et agira en leur nom, concevant et coordonnant l’action.</w:t>
      </w:r>
    </w:p>
    <w:p w14:paraId="1D7CBB60" w14:textId="77777777" w:rsidR="00E526BA" w:rsidRPr="00597B77" w:rsidRDefault="00E526BA" w:rsidP="00E526BA">
      <w:pPr>
        <w:keepNext/>
        <w:keepLines/>
        <w:spacing w:after="120" w:line="240" w:lineRule="auto"/>
        <w:jc w:val="both"/>
        <w:outlineLvl w:val="1"/>
      </w:pPr>
    </w:p>
    <w:p w14:paraId="6001BC7F" w14:textId="77777777" w:rsidR="00597B77" w:rsidRPr="00597B77" w:rsidRDefault="00597B77" w:rsidP="00597B77">
      <w:pPr>
        <w:keepNext/>
        <w:keepLines/>
        <w:numPr>
          <w:ilvl w:val="0"/>
          <w:numId w:val="5"/>
        </w:numPr>
        <w:spacing w:before="200" w:after="120"/>
        <w:contextualSpacing/>
        <w:outlineLvl w:val="1"/>
        <w:rPr>
          <w:b/>
          <w:bCs/>
          <w:color w:val="05ADA0"/>
          <w:spacing w:val="20"/>
          <w:sz w:val="28"/>
          <w:szCs w:val="28"/>
        </w:rPr>
      </w:pPr>
      <w:bookmarkStart w:id="6" w:name="_Hlk147829614"/>
      <w:r w:rsidRPr="00597B77">
        <w:rPr>
          <w:b/>
          <w:bCs/>
          <w:color w:val="05ADA0"/>
          <w:spacing w:val="20"/>
          <w:sz w:val="28"/>
          <w:szCs w:val="28"/>
        </w:rPr>
        <w:t xml:space="preserve">Montant mis à disposition </w:t>
      </w:r>
    </w:p>
    <w:bookmarkEnd w:id="6"/>
    <w:p w14:paraId="3DA936BE" w14:textId="4196308A" w:rsidR="00597B77" w:rsidRPr="00597B77" w:rsidRDefault="00597B77" w:rsidP="00597B77">
      <w:pPr>
        <w:spacing w:after="120" w:line="240" w:lineRule="auto"/>
        <w:jc w:val="both"/>
      </w:pPr>
      <w:r w:rsidRPr="00597B77">
        <w:t xml:space="preserve">Le montant global mis à disposition au titre du présent appel à propositions s'élève à </w:t>
      </w:r>
      <w:bookmarkStart w:id="7" w:name="_Hlk177133169"/>
      <w:r w:rsidR="00572382" w:rsidRPr="00572382">
        <w:rPr>
          <w:b/>
          <w:bCs/>
        </w:rPr>
        <w:t>168</w:t>
      </w:r>
      <w:r w:rsidR="00572382">
        <w:rPr>
          <w:b/>
          <w:bCs/>
        </w:rPr>
        <w:t>.</w:t>
      </w:r>
      <w:r w:rsidR="00572382" w:rsidRPr="00572382">
        <w:rPr>
          <w:b/>
          <w:bCs/>
        </w:rPr>
        <w:t>2</w:t>
      </w:r>
      <w:r w:rsidR="00E54B0B">
        <w:rPr>
          <w:b/>
          <w:bCs/>
        </w:rPr>
        <w:t>36</w:t>
      </w:r>
      <w:r w:rsidR="008A4296" w:rsidRPr="003D1CC2">
        <w:rPr>
          <w:b/>
          <w:bCs/>
        </w:rPr>
        <w:t xml:space="preserve"> TND</w:t>
      </w:r>
      <w:bookmarkEnd w:id="7"/>
      <w:r w:rsidR="008A4296">
        <w:rPr>
          <w:b/>
          <w:bCs/>
        </w:rPr>
        <w:t xml:space="preserve"> (</w:t>
      </w:r>
      <w:r w:rsidR="00E54B0B">
        <w:rPr>
          <w:b/>
          <w:bCs/>
        </w:rPr>
        <w:t>l’équivalent à</w:t>
      </w:r>
      <w:r w:rsidR="008A4296">
        <w:rPr>
          <w:b/>
          <w:bCs/>
        </w:rPr>
        <w:t xml:space="preserve"> </w:t>
      </w:r>
      <w:r w:rsidR="00572382">
        <w:rPr>
          <w:b/>
          <w:bCs/>
        </w:rPr>
        <w:t>50</w:t>
      </w:r>
      <w:r w:rsidR="008A4296">
        <w:rPr>
          <w:b/>
          <w:bCs/>
        </w:rPr>
        <w:t xml:space="preserve">.000 EUR </w:t>
      </w:r>
      <w:r w:rsidR="00E54B0B">
        <w:rPr>
          <w:b/>
          <w:bCs/>
        </w:rPr>
        <w:t>et selon le taux</w:t>
      </w:r>
      <w:r w:rsidR="008A4296">
        <w:rPr>
          <w:b/>
          <w:bCs/>
        </w:rPr>
        <w:t xml:space="preserve"> de chancellerie appliqué par l’OFII)</w:t>
      </w:r>
      <w:r w:rsidRPr="00597B77">
        <w:t xml:space="preserve">. La/les organisation(s) qui soumettront la/les proposition(s) la/les plus pertinente(s) pourront être soutenues au travers d’une </w:t>
      </w:r>
      <w:r w:rsidRPr="003D1CC2">
        <w:rPr>
          <w:b/>
          <w:bCs/>
        </w:rPr>
        <w:t xml:space="preserve">subvention maximum de </w:t>
      </w:r>
      <w:r w:rsidR="004E61A7" w:rsidRPr="004E61A7">
        <w:rPr>
          <w:b/>
          <w:bCs/>
        </w:rPr>
        <w:t>168</w:t>
      </w:r>
      <w:r w:rsidR="004E61A7">
        <w:rPr>
          <w:b/>
          <w:bCs/>
        </w:rPr>
        <w:t>.</w:t>
      </w:r>
      <w:r w:rsidR="004E61A7" w:rsidRPr="004E61A7">
        <w:rPr>
          <w:b/>
          <w:bCs/>
        </w:rPr>
        <w:t>2</w:t>
      </w:r>
      <w:r w:rsidR="00E54B0B">
        <w:rPr>
          <w:b/>
          <w:bCs/>
        </w:rPr>
        <w:t>36</w:t>
      </w:r>
      <w:r w:rsidR="008A4296" w:rsidRPr="003D1CC2">
        <w:rPr>
          <w:b/>
          <w:bCs/>
        </w:rPr>
        <w:t xml:space="preserve"> TND</w:t>
      </w:r>
      <w:r w:rsidR="008A4296" w:rsidRPr="008A4296" w:rsidDel="008A4296">
        <w:t xml:space="preserve"> </w:t>
      </w:r>
      <w:r w:rsidRPr="00597B77">
        <w:t>conformément aux conditions générales des appels d’offres applicables à l’Union européenne :</w:t>
      </w:r>
      <w:hyperlink r:id="rId13" w:history="1">
        <w:r w:rsidRPr="00597B77">
          <w:rPr>
            <w:color w:val="0563C1" w:themeColor="hyperlink"/>
            <w:u w:val="single"/>
          </w:rPr>
          <w:t xml:space="preserve"> https://europa.eu/youreurope/business/selling-in-eu/public-contracts/public-tendering-rules/index_en.htm</w:t>
        </w:r>
      </w:hyperlink>
      <w:r w:rsidRPr="00597B77">
        <w:t xml:space="preserve">. </w:t>
      </w:r>
    </w:p>
    <w:p w14:paraId="1FA5F25D" w14:textId="77777777" w:rsidR="00597B77" w:rsidRPr="00597B77" w:rsidRDefault="00597B77" w:rsidP="00597B77">
      <w:pPr>
        <w:spacing w:after="120" w:line="240" w:lineRule="auto"/>
        <w:jc w:val="both"/>
      </w:pPr>
      <w:r w:rsidRPr="00597B77">
        <w:t>L'administration contractante se réserve la possibilité de ne pas attribuer tous les fonds disponibles.</w:t>
      </w:r>
    </w:p>
    <w:p w14:paraId="3C4F9D5F" w14:textId="77777777" w:rsidR="00597B77" w:rsidRPr="00597B77" w:rsidRDefault="00597B77" w:rsidP="00597B77">
      <w:pPr>
        <w:spacing w:after="120" w:line="240" w:lineRule="auto"/>
        <w:jc w:val="both"/>
      </w:pPr>
    </w:p>
    <w:p w14:paraId="55551935" w14:textId="77777777" w:rsidR="00597B77" w:rsidRPr="00E526BA" w:rsidRDefault="00597B77" w:rsidP="00E526BA">
      <w:pPr>
        <w:keepNext/>
        <w:keepLines/>
        <w:numPr>
          <w:ilvl w:val="0"/>
          <w:numId w:val="5"/>
        </w:numPr>
        <w:spacing w:before="200" w:after="120"/>
        <w:contextualSpacing/>
        <w:outlineLvl w:val="1"/>
        <w:rPr>
          <w:b/>
          <w:bCs/>
          <w:color w:val="05ADA0"/>
          <w:spacing w:val="20"/>
          <w:sz w:val="28"/>
          <w:szCs w:val="28"/>
        </w:rPr>
      </w:pPr>
      <w:r w:rsidRPr="00E526BA">
        <w:rPr>
          <w:b/>
          <w:bCs/>
          <w:color w:val="05ADA0"/>
          <w:spacing w:val="20"/>
          <w:sz w:val="28"/>
          <w:szCs w:val="28"/>
        </w:rPr>
        <w:lastRenderedPageBreak/>
        <w:t>Présentation de la demande et procédure à suivre</w:t>
      </w:r>
    </w:p>
    <w:p w14:paraId="3CB4DBF9" w14:textId="77777777" w:rsidR="00597B77" w:rsidRPr="00597B77" w:rsidRDefault="00597B77" w:rsidP="00597B77">
      <w:pPr>
        <w:keepNext/>
        <w:spacing w:after="120" w:line="240" w:lineRule="auto"/>
        <w:jc w:val="both"/>
        <w:rPr>
          <w:rFonts w:ascii="Calibri" w:hAnsi="Calibri"/>
          <w:b/>
          <w:color w:val="05ADA0"/>
          <w:sz w:val="24"/>
          <w:szCs w:val="24"/>
        </w:rPr>
      </w:pPr>
      <w:r w:rsidRPr="00597B77">
        <w:rPr>
          <w:rFonts w:ascii="Calibri" w:hAnsi="Calibri"/>
          <w:b/>
          <w:color w:val="05ADA0"/>
          <w:sz w:val="24"/>
          <w:szCs w:val="24"/>
        </w:rPr>
        <w:t>Nombre de demandes et de subventions par demandeurs :</w:t>
      </w:r>
    </w:p>
    <w:p w14:paraId="0167B182" w14:textId="77777777" w:rsidR="00597B77" w:rsidRPr="00597B77" w:rsidRDefault="00597B77" w:rsidP="00597B77">
      <w:pPr>
        <w:numPr>
          <w:ilvl w:val="0"/>
          <w:numId w:val="4"/>
        </w:numPr>
        <w:spacing w:after="120" w:line="240" w:lineRule="auto"/>
        <w:ind w:left="714" w:hanging="357"/>
        <w:contextualSpacing/>
        <w:jc w:val="both"/>
      </w:pPr>
      <w:r w:rsidRPr="00597B77">
        <w:t>Le demandeur ne peut pas soumettre plus d’une demande dans le cadre du présent appel à propositions.</w:t>
      </w:r>
    </w:p>
    <w:p w14:paraId="021177BC" w14:textId="77777777" w:rsidR="00597B77" w:rsidRPr="00597B77" w:rsidRDefault="00597B77" w:rsidP="00597B77">
      <w:pPr>
        <w:numPr>
          <w:ilvl w:val="0"/>
          <w:numId w:val="4"/>
        </w:numPr>
        <w:spacing w:after="120" w:line="240" w:lineRule="auto"/>
        <w:ind w:left="714" w:hanging="357"/>
        <w:contextualSpacing/>
        <w:jc w:val="both"/>
      </w:pPr>
      <w:r w:rsidRPr="00597B77">
        <w:t>Il ne peut pas se voir attribuer plus d’une subvention au titre du présent appel à propositions.</w:t>
      </w:r>
    </w:p>
    <w:p w14:paraId="732B20EA" w14:textId="77777777" w:rsidR="00597B77" w:rsidRPr="00597B77" w:rsidRDefault="00597B77" w:rsidP="00597B77">
      <w:pPr>
        <w:numPr>
          <w:ilvl w:val="0"/>
          <w:numId w:val="4"/>
        </w:numPr>
        <w:spacing w:after="120" w:line="240" w:lineRule="auto"/>
        <w:ind w:left="714" w:hanging="357"/>
        <w:contextualSpacing/>
        <w:jc w:val="both"/>
      </w:pPr>
      <w:r w:rsidRPr="00597B77">
        <w:t xml:space="preserve">Il ne peut pas être en même temps partenaire d’un demandeur dans une autre demande. </w:t>
      </w:r>
    </w:p>
    <w:p w14:paraId="589AB07F" w14:textId="77777777" w:rsidR="00597B77" w:rsidRPr="00597B77" w:rsidRDefault="00597B77" w:rsidP="00597B77">
      <w:pPr>
        <w:numPr>
          <w:ilvl w:val="0"/>
          <w:numId w:val="4"/>
        </w:numPr>
        <w:spacing w:after="120" w:line="240" w:lineRule="auto"/>
        <w:ind w:left="714" w:hanging="357"/>
        <w:contextualSpacing/>
        <w:jc w:val="both"/>
      </w:pPr>
      <w:r w:rsidRPr="00597B77">
        <w:t xml:space="preserve">Le partenaire d’un demandeur ne peut pas soumettre plus d’une demande dans le cadre du présent appel à propositions. </w:t>
      </w:r>
    </w:p>
    <w:p w14:paraId="05E40943" w14:textId="715A07FC" w:rsidR="00E526BA" w:rsidRDefault="00597B77" w:rsidP="00E526BA">
      <w:pPr>
        <w:numPr>
          <w:ilvl w:val="0"/>
          <w:numId w:val="4"/>
        </w:numPr>
        <w:spacing w:after="0" w:line="240" w:lineRule="auto"/>
        <w:ind w:left="714" w:hanging="357"/>
        <w:jc w:val="both"/>
      </w:pPr>
      <w:r w:rsidRPr="00597B77">
        <w:t xml:space="preserve">Le partenaire d’un demandeur ne peut pas se voir attribuer plus d’une subvention au titre du présent appel à propositions. </w:t>
      </w:r>
    </w:p>
    <w:p w14:paraId="37EF5C87" w14:textId="77777777" w:rsidR="00E526BA" w:rsidRPr="00597B77" w:rsidRDefault="00E526BA" w:rsidP="00E526BA">
      <w:pPr>
        <w:spacing w:after="0" w:line="240" w:lineRule="auto"/>
        <w:ind w:left="714"/>
        <w:jc w:val="both"/>
      </w:pPr>
    </w:p>
    <w:p w14:paraId="465D77D2" w14:textId="715A07FC" w:rsidR="00597B77" w:rsidRPr="00E526BA" w:rsidRDefault="00597B77" w:rsidP="00E526BA">
      <w:pPr>
        <w:keepNext/>
        <w:spacing w:after="120" w:line="240" w:lineRule="auto"/>
        <w:jc w:val="both"/>
        <w:rPr>
          <w:rFonts w:ascii="Calibri" w:hAnsi="Calibri"/>
          <w:b/>
          <w:color w:val="05ADA0"/>
          <w:sz w:val="24"/>
          <w:szCs w:val="24"/>
        </w:rPr>
      </w:pPr>
      <w:r w:rsidRPr="00E526BA">
        <w:rPr>
          <w:rFonts w:ascii="Calibri" w:hAnsi="Calibri"/>
          <w:b/>
          <w:color w:val="05ADA0"/>
          <w:sz w:val="24"/>
          <w:szCs w:val="24"/>
        </w:rPr>
        <w:t>Rapport et modalités de paiement</w:t>
      </w:r>
    </w:p>
    <w:p w14:paraId="0ACA8A22" w14:textId="77777777" w:rsidR="00597B77" w:rsidRPr="00597B77" w:rsidRDefault="00597B77" w:rsidP="00E526BA">
      <w:pPr>
        <w:spacing w:after="120" w:line="240" w:lineRule="auto"/>
        <w:jc w:val="lowKashida"/>
      </w:pPr>
      <w:r w:rsidRPr="00597B77">
        <w:t>Le paiement sera structuré en tranches, préalablement définies pour chaque ensemble d'action (= phase). Les détails concernant ces tranches seront arrêtés de manière concertée après la sélection finale du consortium retenu (calendrier, livrables et montants).</w:t>
      </w:r>
    </w:p>
    <w:p w14:paraId="172201D6" w14:textId="6222785D" w:rsidR="00597B77" w:rsidRPr="00597B77" w:rsidRDefault="00597B77" w:rsidP="00E526BA">
      <w:pPr>
        <w:spacing w:after="120" w:line="240" w:lineRule="auto"/>
        <w:jc w:val="lowKashida"/>
      </w:pPr>
      <w:r w:rsidRPr="00597B77">
        <w:t xml:space="preserve">Chaque tranche sera débloquée à la réception du livrable correspondant, notamment constitué </w:t>
      </w:r>
      <w:r w:rsidR="008A4296">
        <w:t xml:space="preserve">des rapports techniques et financiers et </w:t>
      </w:r>
      <w:r w:rsidRPr="00597B77">
        <w:t xml:space="preserve">des documents originaux relatifs aux dépenses éligibles de la phase exécutée, et du plan d’action de la phase suivante. </w:t>
      </w:r>
    </w:p>
    <w:p w14:paraId="0EAD2D29" w14:textId="77777777" w:rsidR="00597B77" w:rsidRPr="00597B77" w:rsidRDefault="00597B77" w:rsidP="00E526BA">
      <w:pPr>
        <w:spacing w:after="120" w:line="240" w:lineRule="auto"/>
        <w:jc w:val="lowKashida"/>
      </w:pPr>
      <w:r w:rsidRPr="00597B77">
        <w:t>Si de nouvelles actions ou besoins s'avèrent nécessaires, et qu'ils n'étaient pas initialement inclus dans le plan d'action initial de la phase concernée, une approbation préalable de l'équipe THAMM-OFII sera requise avant leur mise en œuvre.</w:t>
      </w:r>
    </w:p>
    <w:p w14:paraId="24AA3D23" w14:textId="77777777" w:rsidR="00597B77" w:rsidRDefault="00597B77" w:rsidP="00E526BA">
      <w:pPr>
        <w:spacing w:after="120" w:line="240" w:lineRule="auto"/>
        <w:jc w:val="both"/>
      </w:pPr>
      <w:r w:rsidRPr="00597B77">
        <w:t>Par ailleurs, le consortium devra fournir un rapport narratif et financier intermédiaire à mi-parcours, ainsi qu’un rapport final de même nature qui devra être soumis dans un délai maximal de 20 jours après l’achèvement des actions bénéficiant de la subvention.</w:t>
      </w:r>
    </w:p>
    <w:p w14:paraId="185DF16E" w14:textId="77777777" w:rsidR="00E526BA" w:rsidRPr="00597B77" w:rsidRDefault="00E526BA" w:rsidP="00E526BA">
      <w:pPr>
        <w:spacing w:after="120" w:line="240" w:lineRule="auto"/>
        <w:jc w:val="both"/>
      </w:pPr>
    </w:p>
    <w:p w14:paraId="31F826E1" w14:textId="77777777" w:rsidR="00597B77" w:rsidRPr="00597B77" w:rsidRDefault="00597B77" w:rsidP="00597B77">
      <w:pPr>
        <w:keepNext/>
        <w:keepLines/>
        <w:numPr>
          <w:ilvl w:val="0"/>
          <w:numId w:val="5"/>
        </w:numPr>
        <w:spacing w:before="200" w:after="120"/>
        <w:ind w:left="851" w:hanging="491"/>
        <w:contextualSpacing/>
        <w:outlineLvl w:val="1"/>
        <w:rPr>
          <w:b/>
          <w:bCs/>
          <w:color w:val="05ADA0"/>
          <w:spacing w:val="20"/>
          <w:sz w:val="28"/>
          <w:szCs w:val="28"/>
        </w:rPr>
      </w:pPr>
      <w:r w:rsidRPr="00597B77">
        <w:rPr>
          <w:b/>
          <w:bCs/>
          <w:color w:val="05ADA0"/>
          <w:spacing w:val="20"/>
          <w:sz w:val="28"/>
          <w:szCs w:val="28"/>
        </w:rPr>
        <w:t>Critères d’admissibilité et évaluation du groupement</w:t>
      </w:r>
    </w:p>
    <w:p w14:paraId="2F2C9A4B" w14:textId="31292C78" w:rsidR="00597B77" w:rsidRPr="006C3F77" w:rsidRDefault="00597B77" w:rsidP="002B5E08">
      <w:pPr>
        <w:spacing w:after="120" w:line="240" w:lineRule="auto"/>
        <w:jc w:val="both"/>
      </w:pPr>
      <w:r w:rsidRPr="00597B77">
        <w:t xml:space="preserve">Le comité évalue les offres techniques des candidats et attribue une note technique (NT) suivant les </w:t>
      </w:r>
      <w:r w:rsidRPr="006C3F77">
        <w:t>critères suivants :</w:t>
      </w:r>
    </w:p>
    <w:tbl>
      <w:tblPr>
        <w:tblStyle w:val="TableNormal"/>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4506"/>
        <w:gridCol w:w="1559"/>
      </w:tblGrid>
      <w:tr w:rsidR="00597B77" w:rsidRPr="006C3F77" w14:paraId="37344DC4" w14:textId="77777777" w:rsidTr="003D1CC2">
        <w:trPr>
          <w:trHeight w:val="557"/>
        </w:trPr>
        <w:tc>
          <w:tcPr>
            <w:tcW w:w="3002" w:type="dxa"/>
            <w:vAlign w:val="center"/>
          </w:tcPr>
          <w:p w14:paraId="5F767643" w14:textId="77777777" w:rsidR="00597B77" w:rsidRPr="003D1CC2" w:rsidRDefault="00597B77" w:rsidP="003D1CC2">
            <w:pPr>
              <w:ind w:left="110"/>
              <w:jc w:val="center"/>
              <w:rPr>
                <w:b/>
                <w:bCs/>
                <w:sz w:val="24"/>
                <w:szCs w:val="24"/>
                <w:lang w:val="fr-FR"/>
              </w:rPr>
            </w:pPr>
            <w:r w:rsidRPr="006C3F77">
              <w:rPr>
                <w:b/>
                <w:bCs/>
                <w:sz w:val="24"/>
                <w:szCs w:val="24"/>
              </w:rPr>
              <w:t>Critères d’évaluation</w:t>
            </w:r>
          </w:p>
        </w:tc>
        <w:tc>
          <w:tcPr>
            <w:tcW w:w="4506" w:type="dxa"/>
            <w:vAlign w:val="center"/>
          </w:tcPr>
          <w:p w14:paraId="503F9820" w14:textId="67946911" w:rsidR="00597B77" w:rsidRPr="003D1CC2" w:rsidRDefault="00597B77" w:rsidP="003D1CC2">
            <w:pPr>
              <w:ind w:left="104"/>
              <w:jc w:val="center"/>
              <w:rPr>
                <w:b/>
                <w:bCs/>
                <w:sz w:val="24"/>
                <w:szCs w:val="24"/>
                <w:lang w:val="fr-FR"/>
              </w:rPr>
            </w:pPr>
            <w:r w:rsidRPr="006C3F77">
              <w:rPr>
                <w:b/>
                <w:bCs/>
                <w:sz w:val="24"/>
                <w:szCs w:val="24"/>
              </w:rPr>
              <w:t>Barème</w:t>
            </w:r>
          </w:p>
        </w:tc>
        <w:tc>
          <w:tcPr>
            <w:tcW w:w="1559" w:type="dxa"/>
            <w:vAlign w:val="center"/>
          </w:tcPr>
          <w:p w14:paraId="6DAA3EB3" w14:textId="77777777" w:rsidR="00597B77" w:rsidRPr="003D1CC2" w:rsidRDefault="00597B77" w:rsidP="003D1CC2">
            <w:pPr>
              <w:spacing w:line="242" w:lineRule="auto"/>
              <w:ind w:left="109" w:right="83"/>
              <w:jc w:val="center"/>
              <w:rPr>
                <w:b/>
                <w:bCs/>
                <w:sz w:val="24"/>
                <w:szCs w:val="24"/>
                <w:lang w:val="fr-FR"/>
              </w:rPr>
            </w:pPr>
            <w:r w:rsidRPr="006C3F77">
              <w:rPr>
                <w:b/>
                <w:bCs/>
                <w:sz w:val="24"/>
                <w:szCs w:val="24"/>
              </w:rPr>
              <w:t>Nombre de points</w:t>
            </w:r>
          </w:p>
        </w:tc>
      </w:tr>
      <w:tr w:rsidR="00597B77" w:rsidRPr="006C3F77" w14:paraId="40518A0F" w14:textId="77777777" w:rsidTr="003D1CC2">
        <w:trPr>
          <w:trHeight w:val="798"/>
        </w:trPr>
        <w:tc>
          <w:tcPr>
            <w:tcW w:w="3002" w:type="dxa"/>
            <w:vAlign w:val="center"/>
          </w:tcPr>
          <w:p w14:paraId="25C4A1AB" w14:textId="77777777" w:rsidR="00597B77" w:rsidRPr="003D1CC2" w:rsidRDefault="00597B77" w:rsidP="006C3F77">
            <w:pPr>
              <w:spacing w:before="1"/>
              <w:ind w:left="110"/>
              <w:rPr>
                <w:lang w:val="fr-FR"/>
              </w:rPr>
            </w:pPr>
            <w:r w:rsidRPr="006C3F77">
              <w:t>Méthodologie et approche</w:t>
            </w:r>
          </w:p>
        </w:tc>
        <w:tc>
          <w:tcPr>
            <w:tcW w:w="4506" w:type="dxa"/>
            <w:vAlign w:val="center"/>
          </w:tcPr>
          <w:p w14:paraId="1F558D8F" w14:textId="77777777" w:rsidR="00597B77" w:rsidRPr="006C3F77" w:rsidRDefault="00597B77" w:rsidP="006C3F77">
            <w:pPr>
              <w:spacing w:before="1" w:line="242" w:lineRule="auto"/>
              <w:ind w:left="104" w:right="257"/>
              <w:rPr>
                <w:lang w:val="fr-FR"/>
              </w:rPr>
            </w:pPr>
            <w:r w:rsidRPr="006C3F77">
              <w:rPr>
                <w:lang w:val="fr-FR"/>
              </w:rPr>
              <w:t>Explication détaillée de la méthodologie retenue et des outils éventuels à utiliser</w:t>
            </w:r>
          </w:p>
        </w:tc>
        <w:tc>
          <w:tcPr>
            <w:tcW w:w="1559" w:type="dxa"/>
            <w:vAlign w:val="center"/>
          </w:tcPr>
          <w:p w14:paraId="0014FD99" w14:textId="77777777" w:rsidR="00597B77" w:rsidRPr="003D1CC2" w:rsidRDefault="00597B77" w:rsidP="006C3F77">
            <w:pPr>
              <w:spacing w:before="1"/>
              <w:ind w:left="109"/>
              <w:jc w:val="center"/>
              <w:rPr>
                <w:lang w:val="fr-FR"/>
              </w:rPr>
            </w:pPr>
            <w:r w:rsidRPr="006C3F77">
              <w:t>60</w:t>
            </w:r>
          </w:p>
        </w:tc>
      </w:tr>
      <w:tr w:rsidR="00597B77" w:rsidRPr="006C3F77" w14:paraId="316EB29C" w14:textId="77777777" w:rsidTr="003D1CC2">
        <w:trPr>
          <w:trHeight w:val="966"/>
        </w:trPr>
        <w:tc>
          <w:tcPr>
            <w:tcW w:w="3002" w:type="dxa"/>
            <w:vAlign w:val="center"/>
          </w:tcPr>
          <w:p w14:paraId="54F8134A" w14:textId="77777777" w:rsidR="00597B77" w:rsidRPr="003D1CC2" w:rsidRDefault="00597B77" w:rsidP="006C3F77">
            <w:pPr>
              <w:spacing w:line="268" w:lineRule="exact"/>
              <w:ind w:left="110"/>
              <w:rPr>
                <w:lang w:val="fr-FR"/>
              </w:rPr>
            </w:pPr>
            <w:r w:rsidRPr="006C3F77">
              <w:t>Nombre d’expériences similaires</w:t>
            </w:r>
          </w:p>
        </w:tc>
        <w:tc>
          <w:tcPr>
            <w:tcW w:w="4506" w:type="dxa"/>
            <w:vAlign w:val="center"/>
          </w:tcPr>
          <w:p w14:paraId="08E1560C" w14:textId="77777777" w:rsidR="00597B77" w:rsidRPr="006C3F77" w:rsidRDefault="00597B77" w:rsidP="006C3F77">
            <w:pPr>
              <w:spacing w:line="242" w:lineRule="auto"/>
              <w:ind w:left="104" w:right="329"/>
              <w:rPr>
                <w:lang w:val="fr-FR"/>
              </w:rPr>
            </w:pPr>
            <w:r w:rsidRPr="006C3F77">
              <w:rPr>
                <w:lang w:val="fr-FR"/>
              </w:rPr>
              <w:t>10 points pour chaque mission dans la limite de 40 points</w:t>
            </w:r>
          </w:p>
        </w:tc>
        <w:tc>
          <w:tcPr>
            <w:tcW w:w="1559" w:type="dxa"/>
            <w:vAlign w:val="center"/>
          </w:tcPr>
          <w:p w14:paraId="1819D0DF" w14:textId="77777777" w:rsidR="00597B77" w:rsidRPr="003D1CC2" w:rsidRDefault="00597B77" w:rsidP="006C3F77">
            <w:pPr>
              <w:spacing w:before="1"/>
              <w:ind w:left="109"/>
              <w:jc w:val="center"/>
              <w:rPr>
                <w:lang w:val="fr-FR"/>
              </w:rPr>
            </w:pPr>
            <w:r w:rsidRPr="006C3F77">
              <w:t>40</w:t>
            </w:r>
          </w:p>
        </w:tc>
      </w:tr>
      <w:tr w:rsidR="00597B77" w:rsidRPr="00597B77" w14:paraId="4CE5AA95" w14:textId="77777777" w:rsidTr="003D1CC2">
        <w:trPr>
          <w:trHeight w:val="428"/>
        </w:trPr>
        <w:tc>
          <w:tcPr>
            <w:tcW w:w="7508" w:type="dxa"/>
            <w:gridSpan w:val="2"/>
            <w:shd w:val="clear" w:color="auto" w:fill="D9D9D9" w:themeFill="background1" w:themeFillShade="D9"/>
            <w:vAlign w:val="center"/>
          </w:tcPr>
          <w:p w14:paraId="2DF19602" w14:textId="77777777" w:rsidR="00597B77" w:rsidRPr="00597B77" w:rsidRDefault="00597B77" w:rsidP="006C3F77">
            <w:pPr>
              <w:ind w:left="110"/>
              <w:rPr>
                <w:b/>
                <w:bCs/>
              </w:rPr>
            </w:pPr>
            <w:r w:rsidRPr="00597B77">
              <w:rPr>
                <w:b/>
                <w:bCs/>
              </w:rPr>
              <w:t>Total</w:t>
            </w:r>
          </w:p>
        </w:tc>
        <w:tc>
          <w:tcPr>
            <w:tcW w:w="1559" w:type="dxa"/>
            <w:shd w:val="clear" w:color="auto" w:fill="D9D9D9" w:themeFill="background1" w:themeFillShade="D9"/>
            <w:vAlign w:val="center"/>
          </w:tcPr>
          <w:p w14:paraId="3693530B" w14:textId="77777777" w:rsidR="00597B77" w:rsidRPr="00597B77" w:rsidRDefault="00597B77" w:rsidP="006C3F77">
            <w:pPr>
              <w:ind w:left="109"/>
              <w:jc w:val="center"/>
              <w:rPr>
                <w:b/>
                <w:bCs/>
              </w:rPr>
            </w:pPr>
            <w:r w:rsidRPr="00597B77">
              <w:rPr>
                <w:b/>
                <w:bCs/>
              </w:rPr>
              <w:t>100</w:t>
            </w:r>
          </w:p>
        </w:tc>
      </w:tr>
    </w:tbl>
    <w:p w14:paraId="21CDEAF3" w14:textId="77777777" w:rsidR="00597B77" w:rsidRPr="00597B77" w:rsidRDefault="00597B77" w:rsidP="00597B77">
      <w:pPr>
        <w:widowControl w:val="0"/>
        <w:spacing w:after="0" w:line="240" w:lineRule="auto"/>
        <w:rPr>
          <w:rFonts w:ascii="Arial" w:eastAsia="Arial" w:hAnsi="Arial" w:cs="Arial"/>
          <w:sz w:val="20"/>
          <w:szCs w:val="20"/>
        </w:rPr>
      </w:pPr>
    </w:p>
    <w:p w14:paraId="73BB376D" w14:textId="56D283F3" w:rsidR="00597B77" w:rsidRPr="00597B77" w:rsidRDefault="00597B77" w:rsidP="002B5E08">
      <w:pPr>
        <w:spacing w:after="120" w:line="240" w:lineRule="auto"/>
        <w:jc w:val="both"/>
      </w:pPr>
      <w:r w:rsidRPr="00597B77">
        <w:t>Le Comité chargé de l’évaluation des offres aura les prérogatives suivantes :</w:t>
      </w:r>
    </w:p>
    <w:p w14:paraId="704A57EA" w14:textId="5F6DB856" w:rsidR="00597B77" w:rsidRPr="00597B77" w:rsidRDefault="00597B77" w:rsidP="003D1CC2">
      <w:pPr>
        <w:pStyle w:val="Paragraphedeliste"/>
        <w:numPr>
          <w:ilvl w:val="0"/>
          <w:numId w:val="15"/>
        </w:numPr>
        <w:spacing w:after="120" w:line="240" w:lineRule="auto"/>
        <w:jc w:val="both"/>
      </w:pPr>
      <w:r w:rsidRPr="00597B77">
        <w:t>Arrêter la liste des candidats qui ne sont pas admis, en précisant la raison de l’exclusion. Les participants non retenus ne pourront contester, pour quelque motif que ce soit, le bien-fondé de la décision du comité, ni être indemnisés de ce fait.</w:t>
      </w:r>
    </w:p>
    <w:p w14:paraId="6F1BAE01" w14:textId="0F45A38C" w:rsidR="00597B77" w:rsidRPr="00597B77" w:rsidRDefault="00597B77" w:rsidP="003D1CC2">
      <w:pPr>
        <w:pStyle w:val="Paragraphedeliste"/>
        <w:numPr>
          <w:ilvl w:val="0"/>
          <w:numId w:val="15"/>
        </w:numPr>
        <w:spacing w:after="120" w:line="240" w:lineRule="auto"/>
        <w:jc w:val="both"/>
      </w:pPr>
      <w:r w:rsidRPr="00597B77">
        <w:t>Arrêter la liste des participants admis (classement avec les notes correspondantes).</w:t>
      </w:r>
    </w:p>
    <w:p w14:paraId="13EF6243" w14:textId="3B8695E0" w:rsidR="00597B77" w:rsidRPr="00597B77" w:rsidRDefault="006C3F77" w:rsidP="002B5E08">
      <w:pPr>
        <w:spacing w:after="120" w:line="240" w:lineRule="auto"/>
        <w:jc w:val="both"/>
      </w:pPr>
      <w:r>
        <w:t>Le comité</w:t>
      </w:r>
      <w:r w:rsidR="00597B77" w:rsidRPr="00597B77">
        <w:t xml:space="preserve"> se réserve la possibilité de ne pas donner suite à l’appel à candidature </w:t>
      </w:r>
      <w:r>
        <w:t>s’il juge</w:t>
      </w:r>
      <w:r w:rsidR="00597B77" w:rsidRPr="00597B77">
        <w:t xml:space="preserve"> </w:t>
      </w:r>
      <w:r w:rsidRPr="00597B77">
        <w:t>qu’</w:t>
      </w:r>
      <w:r>
        <w:t>il</w:t>
      </w:r>
      <w:r w:rsidRPr="00597B77">
        <w:t xml:space="preserve"> </w:t>
      </w:r>
      <w:r w:rsidR="00597B77" w:rsidRPr="00597B77">
        <w:t>n’a pas reçu des offres acceptables.</w:t>
      </w:r>
    </w:p>
    <w:p w14:paraId="61996E98" w14:textId="77777777" w:rsidR="00597B77" w:rsidRPr="00597B77" w:rsidRDefault="00597B77" w:rsidP="00597B77">
      <w:pPr>
        <w:keepNext/>
        <w:keepLines/>
        <w:spacing w:before="200" w:after="120"/>
        <w:outlineLvl w:val="1"/>
      </w:pPr>
    </w:p>
    <w:p w14:paraId="56349748" w14:textId="77777777" w:rsidR="00597B77" w:rsidRPr="00597B77" w:rsidRDefault="00597B77" w:rsidP="00597B77">
      <w:pPr>
        <w:numPr>
          <w:ilvl w:val="0"/>
          <w:numId w:val="5"/>
        </w:numPr>
        <w:spacing w:line="240" w:lineRule="auto"/>
        <w:ind w:left="284" w:hanging="568"/>
        <w:contextualSpacing/>
        <w:jc w:val="center"/>
        <w:rPr>
          <w:b/>
          <w:bCs/>
          <w:color w:val="05ADA0"/>
          <w:spacing w:val="20"/>
          <w:sz w:val="28"/>
          <w:szCs w:val="28"/>
        </w:rPr>
      </w:pPr>
      <w:r w:rsidRPr="00597B77">
        <w:rPr>
          <w:b/>
          <w:bCs/>
          <w:color w:val="05ADA0"/>
          <w:spacing w:val="20"/>
          <w:sz w:val="28"/>
          <w:szCs w:val="28"/>
        </w:rPr>
        <w:t>Critère d’évaluation de la méthodologie et de l’approche</w:t>
      </w:r>
    </w:p>
    <w:p w14:paraId="3A9C8BBC" w14:textId="77777777" w:rsidR="00597B77" w:rsidRPr="00597B77" w:rsidRDefault="00597B77" w:rsidP="00597B77">
      <w:pPr>
        <w:spacing w:after="0" w:line="240" w:lineRule="auto"/>
        <w:jc w:val="both"/>
      </w:pPr>
      <w:r w:rsidRPr="00597B77">
        <w:t>Le premier critère noté au maximum sur 60 points, portant sur la méthodologie et l'approche, sera évalué en fonction des rubriques d'évaluation suivantes, comme indiqué dans le tableau ci-dessous :</w:t>
      </w:r>
    </w:p>
    <w:p w14:paraId="22A97853" w14:textId="77777777" w:rsidR="00597B77" w:rsidRPr="00597B77" w:rsidRDefault="00597B77" w:rsidP="00597B77">
      <w:pPr>
        <w:spacing w:after="0" w:line="240" w:lineRule="auto"/>
        <w:jc w:val="both"/>
      </w:pPr>
    </w:p>
    <w:p w14:paraId="5A79D780" w14:textId="77777777" w:rsidR="00597B77" w:rsidRPr="00597B77" w:rsidRDefault="00597B77" w:rsidP="00597B77">
      <w:pPr>
        <w:spacing w:after="0" w:line="240" w:lineRule="auto"/>
        <w:jc w:val="both"/>
      </w:pPr>
      <w:r w:rsidRPr="00597B77">
        <w:t>1 = très insuffisant</w:t>
      </w:r>
    </w:p>
    <w:p w14:paraId="0F4D310E" w14:textId="77777777" w:rsidR="00597B77" w:rsidRPr="00597B77" w:rsidRDefault="00597B77" w:rsidP="00597B77">
      <w:pPr>
        <w:spacing w:after="0" w:line="240" w:lineRule="auto"/>
        <w:jc w:val="both"/>
      </w:pPr>
      <w:r w:rsidRPr="00597B77">
        <w:t>2 = insuffisant</w:t>
      </w:r>
    </w:p>
    <w:p w14:paraId="1F5F9A9D" w14:textId="77777777" w:rsidR="00597B77" w:rsidRPr="00597B77" w:rsidRDefault="00597B77" w:rsidP="00597B77">
      <w:pPr>
        <w:spacing w:after="0" w:line="240" w:lineRule="auto"/>
        <w:jc w:val="both"/>
      </w:pPr>
      <w:r w:rsidRPr="00597B77">
        <w:t>3 = moyen</w:t>
      </w:r>
    </w:p>
    <w:p w14:paraId="31BB392D" w14:textId="77777777" w:rsidR="00597B77" w:rsidRPr="00597B77" w:rsidRDefault="00597B77" w:rsidP="00597B77">
      <w:pPr>
        <w:spacing w:after="0" w:line="240" w:lineRule="auto"/>
        <w:jc w:val="both"/>
      </w:pPr>
      <w:r w:rsidRPr="00597B77">
        <w:t>4 = bon</w:t>
      </w:r>
    </w:p>
    <w:p w14:paraId="768D3967" w14:textId="77777777" w:rsidR="00597B77" w:rsidRPr="00597B77" w:rsidRDefault="00597B77" w:rsidP="00597B77">
      <w:pPr>
        <w:jc w:val="both"/>
      </w:pPr>
      <w:r w:rsidRPr="00597B77">
        <w:t>5 = très bon</w:t>
      </w:r>
    </w:p>
    <w:p w14:paraId="22E01E41" w14:textId="77777777" w:rsidR="00597B77" w:rsidRPr="00597B77" w:rsidRDefault="00597B77" w:rsidP="00597B77">
      <w:pPr>
        <w:jc w:val="both"/>
      </w:pPr>
    </w:p>
    <w:tbl>
      <w:tblPr>
        <w:tblStyle w:val="Grilledutableau"/>
        <w:tblW w:w="0" w:type="auto"/>
        <w:tblLook w:val="04A0" w:firstRow="1" w:lastRow="0" w:firstColumn="1" w:lastColumn="0" w:noHBand="0" w:noVBand="1"/>
      </w:tblPr>
      <w:tblGrid>
        <w:gridCol w:w="8334"/>
        <w:gridCol w:w="726"/>
      </w:tblGrid>
      <w:tr w:rsidR="00597B77" w:rsidRPr="00597B77" w14:paraId="086D5D41" w14:textId="77777777" w:rsidTr="00A405C4">
        <w:trPr>
          <w:tblHeader/>
        </w:trPr>
        <w:tc>
          <w:tcPr>
            <w:tcW w:w="0" w:type="auto"/>
            <w:shd w:val="clear" w:color="auto" w:fill="F2F2F2" w:themeFill="background1" w:themeFillShade="F2"/>
          </w:tcPr>
          <w:p w14:paraId="0AF56494" w14:textId="77777777" w:rsidR="00597B77" w:rsidRPr="00597B77" w:rsidRDefault="00597B77" w:rsidP="00597B77">
            <w:pPr>
              <w:spacing w:before="60" w:after="60"/>
              <w:jc w:val="center"/>
              <w:rPr>
                <w:rFonts w:cstheme="minorHAnsi"/>
                <w:b/>
              </w:rPr>
            </w:pPr>
            <w:r w:rsidRPr="00597B77">
              <w:rPr>
                <w:rFonts w:cstheme="minorHAnsi"/>
                <w:b/>
              </w:rPr>
              <w:t>RUBRIQUE</w:t>
            </w:r>
          </w:p>
        </w:tc>
        <w:tc>
          <w:tcPr>
            <w:tcW w:w="0" w:type="auto"/>
            <w:shd w:val="clear" w:color="auto" w:fill="F2F2F2" w:themeFill="background1" w:themeFillShade="F2"/>
          </w:tcPr>
          <w:p w14:paraId="032047C1" w14:textId="77777777" w:rsidR="00597B77" w:rsidRPr="00597B77" w:rsidRDefault="00597B77" w:rsidP="00597B77">
            <w:pPr>
              <w:spacing w:before="60" w:after="60"/>
              <w:jc w:val="center"/>
              <w:rPr>
                <w:rFonts w:cstheme="minorHAnsi"/>
                <w:b/>
              </w:rPr>
            </w:pPr>
            <w:r w:rsidRPr="00597B77">
              <w:rPr>
                <w:rFonts w:cstheme="minorHAnsi"/>
                <w:b/>
              </w:rPr>
              <w:t>NOTE</w:t>
            </w:r>
          </w:p>
        </w:tc>
      </w:tr>
      <w:tr w:rsidR="00597B77" w:rsidRPr="00597B77" w14:paraId="226DA0BE" w14:textId="77777777" w:rsidTr="00A405C4">
        <w:tc>
          <w:tcPr>
            <w:tcW w:w="0" w:type="auto"/>
            <w:shd w:val="clear" w:color="auto" w:fill="B4C6E7" w:themeFill="accent1" w:themeFillTint="66"/>
          </w:tcPr>
          <w:p w14:paraId="669F4B8C" w14:textId="35308A0B" w:rsidR="00597B77" w:rsidRPr="00597B77" w:rsidRDefault="00597B77" w:rsidP="00597B77">
            <w:pPr>
              <w:numPr>
                <w:ilvl w:val="0"/>
                <w:numId w:val="3"/>
              </w:numPr>
              <w:spacing w:before="60" w:after="60"/>
              <w:jc w:val="both"/>
              <w:rPr>
                <w:rFonts w:cstheme="minorHAnsi"/>
                <w:b/>
              </w:rPr>
            </w:pPr>
            <w:r w:rsidRPr="00597B77">
              <w:rPr>
                <w:rFonts w:cstheme="minorHAnsi"/>
                <w:b/>
              </w:rPr>
              <w:t>Capacité opérationnelle</w:t>
            </w:r>
          </w:p>
        </w:tc>
        <w:tc>
          <w:tcPr>
            <w:tcW w:w="0" w:type="auto"/>
            <w:shd w:val="clear" w:color="auto" w:fill="B4C6E7" w:themeFill="accent1" w:themeFillTint="66"/>
          </w:tcPr>
          <w:p w14:paraId="08222EE4" w14:textId="77777777" w:rsidR="00597B77" w:rsidRPr="00597B77" w:rsidRDefault="00597B77" w:rsidP="00597B77">
            <w:pPr>
              <w:spacing w:before="60" w:after="60"/>
              <w:jc w:val="center"/>
              <w:rPr>
                <w:rFonts w:cstheme="minorHAnsi"/>
                <w:b/>
              </w:rPr>
            </w:pPr>
          </w:p>
        </w:tc>
      </w:tr>
      <w:tr w:rsidR="00597B77" w:rsidRPr="00597B77" w14:paraId="25F412C9" w14:textId="77777777" w:rsidTr="00A405C4">
        <w:tc>
          <w:tcPr>
            <w:tcW w:w="0" w:type="auto"/>
          </w:tcPr>
          <w:p w14:paraId="62BC708A" w14:textId="2286403B" w:rsidR="00597B77" w:rsidRPr="00597B77" w:rsidRDefault="00597B77" w:rsidP="00597B77">
            <w:pPr>
              <w:spacing w:before="60" w:after="60"/>
              <w:jc w:val="both"/>
              <w:rPr>
                <w:rFonts w:cstheme="minorHAnsi"/>
                <w:b/>
              </w:rPr>
            </w:pPr>
            <w:r w:rsidRPr="00597B77">
              <w:rPr>
                <w:rFonts w:cstheme="minorHAnsi"/>
              </w:rPr>
              <w:t>1.1 Pertinence des expériences dans l’accompagnement des Startups/entreprises</w:t>
            </w:r>
            <w:r w:rsidR="00D848F5">
              <w:rPr>
                <w:rFonts w:cstheme="minorHAnsi"/>
              </w:rPr>
              <w:t xml:space="preserve">, </w:t>
            </w:r>
            <w:r w:rsidRPr="00597B77">
              <w:rPr>
                <w:rFonts w:cstheme="minorHAnsi"/>
              </w:rPr>
              <w:t xml:space="preserve"> Incubation, </w:t>
            </w:r>
            <w:r w:rsidR="00D848F5">
              <w:rPr>
                <w:rFonts w:cstheme="minorHAnsi"/>
              </w:rPr>
              <w:t>etc.</w:t>
            </w:r>
          </w:p>
        </w:tc>
        <w:tc>
          <w:tcPr>
            <w:tcW w:w="0" w:type="auto"/>
          </w:tcPr>
          <w:p w14:paraId="72363DF7" w14:textId="77777777" w:rsidR="00597B77" w:rsidRPr="00597B77" w:rsidRDefault="00597B77" w:rsidP="00597B77">
            <w:pPr>
              <w:spacing w:before="60" w:after="60"/>
              <w:jc w:val="center"/>
              <w:rPr>
                <w:rFonts w:cstheme="minorHAnsi"/>
                <w:b/>
              </w:rPr>
            </w:pPr>
          </w:p>
        </w:tc>
      </w:tr>
      <w:tr w:rsidR="00597B77" w:rsidRPr="00597B77" w14:paraId="718D5148" w14:textId="77777777" w:rsidTr="00A405C4">
        <w:tc>
          <w:tcPr>
            <w:tcW w:w="0" w:type="auto"/>
          </w:tcPr>
          <w:p w14:paraId="1F816BC8" w14:textId="77777777" w:rsidR="00597B77" w:rsidRPr="00597B77" w:rsidRDefault="00597B77" w:rsidP="00597B77">
            <w:pPr>
              <w:spacing w:before="60" w:after="60"/>
              <w:jc w:val="both"/>
              <w:rPr>
                <w:rFonts w:cstheme="minorHAnsi"/>
                <w:b/>
              </w:rPr>
            </w:pPr>
            <w:r w:rsidRPr="00597B77">
              <w:rPr>
                <w:rFonts w:cstheme="minorHAnsi"/>
              </w:rPr>
              <w:t>1.2 Pertinence de l’expertise technique (plus particulièrement, une connaissance des questions/points à traiter)</w:t>
            </w:r>
          </w:p>
        </w:tc>
        <w:tc>
          <w:tcPr>
            <w:tcW w:w="0" w:type="auto"/>
          </w:tcPr>
          <w:p w14:paraId="4310AB6D" w14:textId="77777777" w:rsidR="00597B77" w:rsidRPr="00597B77" w:rsidRDefault="00597B77" w:rsidP="00597B77">
            <w:pPr>
              <w:spacing w:before="60" w:after="60"/>
              <w:jc w:val="center"/>
              <w:rPr>
                <w:rFonts w:cstheme="minorHAnsi"/>
                <w:b/>
              </w:rPr>
            </w:pPr>
          </w:p>
        </w:tc>
      </w:tr>
      <w:tr w:rsidR="00597B77" w:rsidRPr="00597B77" w14:paraId="56DB2B7E" w14:textId="77777777" w:rsidTr="00A405C4">
        <w:tc>
          <w:tcPr>
            <w:tcW w:w="0" w:type="auto"/>
          </w:tcPr>
          <w:p w14:paraId="55742B72" w14:textId="77777777" w:rsidR="00597B77" w:rsidRPr="00597B77" w:rsidRDefault="00597B77" w:rsidP="00597B77">
            <w:pPr>
              <w:spacing w:before="60" w:after="60"/>
              <w:jc w:val="both"/>
              <w:rPr>
                <w:rFonts w:cstheme="minorHAnsi"/>
                <w:b/>
              </w:rPr>
            </w:pPr>
            <w:r w:rsidRPr="00597B77">
              <w:rPr>
                <w:rFonts w:cstheme="minorHAnsi"/>
              </w:rPr>
              <w:t>1.3 Capacité de gestion suffisante (notamment au regard du personnel, des équipements et de la capacité à gérer le budget de l’action)</w:t>
            </w:r>
          </w:p>
        </w:tc>
        <w:tc>
          <w:tcPr>
            <w:tcW w:w="0" w:type="auto"/>
          </w:tcPr>
          <w:p w14:paraId="64B38AA8" w14:textId="77777777" w:rsidR="00597B77" w:rsidRPr="00597B77" w:rsidRDefault="00597B77" w:rsidP="00597B77">
            <w:pPr>
              <w:spacing w:before="60" w:after="60"/>
              <w:jc w:val="center"/>
              <w:rPr>
                <w:rFonts w:cstheme="minorHAnsi"/>
                <w:b/>
              </w:rPr>
            </w:pPr>
          </w:p>
        </w:tc>
      </w:tr>
      <w:tr w:rsidR="002C6D99" w:rsidRPr="00597B77" w14:paraId="0123FB17" w14:textId="77777777" w:rsidTr="00A405C4">
        <w:tc>
          <w:tcPr>
            <w:tcW w:w="0" w:type="auto"/>
          </w:tcPr>
          <w:p w14:paraId="6A3D2900" w14:textId="4D8A89DA" w:rsidR="002C6D99" w:rsidRPr="00597B77" w:rsidRDefault="002C6D99" w:rsidP="00597B77">
            <w:pPr>
              <w:spacing w:before="60" w:after="60"/>
              <w:jc w:val="both"/>
              <w:rPr>
                <w:rFonts w:cstheme="minorHAnsi"/>
              </w:rPr>
            </w:pPr>
            <w:r>
              <w:rPr>
                <w:rFonts w:cstheme="minorHAnsi"/>
              </w:rPr>
              <w:t xml:space="preserve">1.4 </w:t>
            </w:r>
            <w:r w:rsidRPr="002C6D99">
              <w:rPr>
                <w:rFonts w:cstheme="minorHAnsi"/>
              </w:rPr>
              <w:t>l’acteur local pilier du consortium est une collectivité locale, une institution, établissement du secteur public en Tunisie</w:t>
            </w:r>
          </w:p>
        </w:tc>
        <w:tc>
          <w:tcPr>
            <w:tcW w:w="0" w:type="auto"/>
          </w:tcPr>
          <w:p w14:paraId="475ACAD4" w14:textId="77777777" w:rsidR="002C6D99" w:rsidRPr="00597B77" w:rsidRDefault="002C6D99" w:rsidP="00597B77">
            <w:pPr>
              <w:spacing w:before="60" w:after="60"/>
              <w:jc w:val="center"/>
              <w:rPr>
                <w:rFonts w:cstheme="minorHAnsi"/>
                <w:b/>
              </w:rPr>
            </w:pPr>
          </w:p>
        </w:tc>
      </w:tr>
      <w:tr w:rsidR="00597B77" w:rsidRPr="00597B77" w14:paraId="579F370D" w14:textId="77777777" w:rsidTr="00A405C4">
        <w:tc>
          <w:tcPr>
            <w:tcW w:w="0" w:type="auto"/>
          </w:tcPr>
          <w:p w14:paraId="31206029" w14:textId="77777777" w:rsidR="00597B77" w:rsidRPr="00597B77" w:rsidRDefault="00597B77" w:rsidP="00597B77">
            <w:pPr>
              <w:spacing w:before="60" w:after="60"/>
              <w:jc w:val="both"/>
              <w:rPr>
                <w:rFonts w:cstheme="minorHAnsi"/>
                <w:b/>
              </w:rPr>
            </w:pPr>
            <w:r w:rsidRPr="00597B77">
              <w:rPr>
                <w:rFonts w:cstheme="minorHAnsi"/>
                <w:b/>
              </w:rPr>
              <w:t xml:space="preserve">                                                           Pondération de la note Rubrique 1 </w:t>
            </w:r>
          </w:p>
        </w:tc>
        <w:tc>
          <w:tcPr>
            <w:tcW w:w="0" w:type="auto"/>
          </w:tcPr>
          <w:p w14:paraId="4215C123" w14:textId="77777777" w:rsidR="00597B77" w:rsidRPr="00597B77" w:rsidRDefault="00597B77" w:rsidP="00597B77">
            <w:pPr>
              <w:spacing w:before="60" w:after="60"/>
              <w:jc w:val="center"/>
              <w:rPr>
                <w:rFonts w:cstheme="minorHAnsi"/>
                <w:b/>
              </w:rPr>
            </w:pPr>
            <w:r w:rsidRPr="00597B77">
              <w:rPr>
                <w:rFonts w:cstheme="minorHAnsi"/>
                <w:b/>
              </w:rPr>
              <w:t>20%</w:t>
            </w:r>
          </w:p>
        </w:tc>
      </w:tr>
      <w:tr w:rsidR="00597B77" w:rsidRPr="00597B77" w14:paraId="62F749A6" w14:textId="77777777" w:rsidTr="00A405C4">
        <w:trPr>
          <w:trHeight w:val="42"/>
        </w:trPr>
        <w:tc>
          <w:tcPr>
            <w:tcW w:w="0" w:type="auto"/>
            <w:shd w:val="clear" w:color="auto" w:fill="B4C6E7" w:themeFill="accent1" w:themeFillTint="66"/>
          </w:tcPr>
          <w:p w14:paraId="022A41D0" w14:textId="77777777" w:rsidR="00597B77" w:rsidRPr="00597B77" w:rsidRDefault="00597B77" w:rsidP="00597B77">
            <w:pPr>
              <w:numPr>
                <w:ilvl w:val="0"/>
                <w:numId w:val="3"/>
              </w:numPr>
              <w:spacing w:before="60" w:after="60"/>
              <w:jc w:val="both"/>
              <w:rPr>
                <w:rFonts w:cstheme="minorHAnsi"/>
                <w:b/>
              </w:rPr>
            </w:pPr>
            <w:r w:rsidRPr="00597B77">
              <w:rPr>
                <w:rFonts w:cstheme="minorHAnsi"/>
                <w:b/>
              </w:rPr>
              <w:t>Conception de l’action</w:t>
            </w:r>
          </w:p>
        </w:tc>
        <w:tc>
          <w:tcPr>
            <w:tcW w:w="0" w:type="auto"/>
            <w:shd w:val="clear" w:color="auto" w:fill="B4C6E7" w:themeFill="accent1" w:themeFillTint="66"/>
          </w:tcPr>
          <w:p w14:paraId="2A2B876E" w14:textId="77777777" w:rsidR="00597B77" w:rsidRPr="00597B77" w:rsidRDefault="00597B77" w:rsidP="00597B77">
            <w:pPr>
              <w:spacing w:before="60" w:after="60"/>
              <w:jc w:val="center"/>
              <w:rPr>
                <w:rFonts w:cstheme="minorHAnsi"/>
                <w:b/>
              </w:rPr>
            </w:pPr>
          </w:p>
        </w:tc>
      </w:tr>
      <w:tr w:rsidR="00597B77" w:rsidRPr="00597B77" w14:paraId="30ED7562" w14:textId="77777777" w:rsidTr="00A405C4">
        <w:trPr>
          <w:trHeight w:val="42"/>
        </w:trPr>
        <w:tc>
          <w:tcPr>
            <w:tcW w:w="0" w:type="auto"/>
          </w:tcPr>
          <w:p w14:paraId="43D1491C" w14:textId="2B744C36" w:rsidR="00597B77" w:rsidRPr="00597B77" w:rsidRDefault="002C6D99" w:rsidP="00597B77">
            <w:pPr>
              <w:spacing w:before="60" w:after="60"/>
              <w:jc w:val="both"/>
              <w:rPr>
                <w:rFonts w:cstheme="minorHAnsi"/>
                <w:i/>
              </w:rPr>
            </w:pPr>
            <w:r>
              <w:rPr>
                <w:rFonts w:cstheme="minorHAnsi"/>
              </w:rPr>
              <w:t>2</w:t>
            </w:r>
            <w:r w:rsidR="00597B77" w:rsidRPr="00597B77">
              <w:rPr>
                <w:rFonts w:cstheme="minorHAnsi"/>
              </w:rPr>
              <w:t xml:space="preserve">.1 </w:t>
            </w:r>
            <w:r w:rsidR="00AF1A4C" w:rsidRPr="00AF1A4C">
              <w:rPr>
                <w:rFonts w:cstheme="minorHAnsi"/>
                <w:b/>
                <w:bCs/>
                <w:u w:val="single"/>
              </w:rPr>
              <w:t>Sur la base du cadre logique de l’annexe 1</w:t>
            </w:r>
            <w:r w:rsidR="00AF1A4C">
              <w:rPr>
                <w:rFonts w:cstheme="minorHAnsi"/>
              </w:rPr>
              <w:t xml:space="preserve">, la </w:t>
            </w:r>
            <w:r w:rsidR="00597B77" w:rsidRPr="00597B77">
              <w:rPr>
                <w:rFonts w:cstheme="minorHAnsi"/>
              </w:rPr>
              <w:t>conception générale de l'action </w:t>
            </w:r>
            <w:r w:rsidR="00AF1A4C">
              <w:rPr>
                <w:rFonts w:cstheme="minorHAnsi"/>
              </w:rPr>
              <w:t>c</w:t>
            </w:r>
            <w:r w:rsidRPr="00597B77">
              <w:rPr>
                <w:rFonts w:cstheme="minorHAnsi"/>
              </w:rPr>
              <w:t>ontient-elle des indicateurs objectivement vérifiables pour évaluer les résultats de l'action ?</w:t>
            </w:r>
          </w:p>
        </w:tc>
        <w:tc>
          <w:tcPr>
            <w:tcW w:w="0" w:type="auto"/>
          </w:tcPr>
          <w:p w14:paraId="4EEE8EEA" w14:textId="77777777" w:rsidR="00597B77" w:rsidRPr="00597B77" w:rsidRDefault="00597B77" w:rsidP="00597B77">
            <w:pPr>
              <w:spacing w:before="60" w:after="60"/>
              <w:jc w:val="center"/>
              <w:rPr>
                <w:rFonts w:cstheme="minorHAnsi"/>
                <w:b/>
              </w:rPr>
            </w:pPr>
          </w:p>
        </w:tc>
      </w:tr>
      <w:tr w:rsidR="00597B77" w:rsidRPr="00597B77" w14:paraId="390B15CE" w14:textId="77777777" w:rsidTr="00A405C4">
        <w:tc>
          <w:tcPr>
            <w:tcW w:w="0" w:type="auto"/>
          </w:tcPr>
          <w:p w14:paraId="0A911768" w14:textId="08BD7839" w:rsidR="00597B77" w:rsidRPr="00597B77" w:rsidRDefault="00597B77" w:rsidP="00597B77">
            <w:pPr>
              <w:spacing w:before="60" w:after="60"/>
              <w:jc w:val="center"/>
              <w:rPr>
                <w:rFonts w:cstheme="minorHAnsi"/>
                <w:b/>
              </w:rPr>
            </w:pPr>
            <w:r w:rsidRPr="00597B77">
              <w:rPr>
                <w:rFonts w:cstheme="minorHAnsi"/>
                <w:b/>
              </w:rPr>
              <w:t xml:space="preserve">Pondération de la note Rubrique </w:t>
            </w:r>
            <w:r w:rsidR="002C6D99">
              <w:rPr>
                <w:rFonts w:cstheme="minorHAnsi"/>
                <w:b/>
              </w:rPr>
              <w:t>2</w:t>
            </w:r>
          </w:p>
        </w:tc>
        <w:tc>
          <w:tcPr>
            <w:tcW w:w="0" w:type="auto"/>
          </w:tcPr>
          <w:p w14:paraId="7B3B9D36" w14:textId="5150C4B1" w:rsidR="00597B77" w:rsidRPr="00597B77" w:rsidRDefault="002C6D99" w:rsidP="00597B77">
            <w:pPr>
              <w:spacing w:before="60" w:after="60"/>
              <w:jc w:val="center"/>
              <w:rPr>
                <w:rFonts w:cstheme="minorHAnsi"/>
                <w:b/>
              </w:rPr>
            </w:pPr>
            <w:r>
              <w:rPr>
                <w:rFonts w:cstheme="minorHAnsi"/>
                <w:b/>
              </w:rPr>
              <w:t>7</w:t>
            </w:r>
            <w:r w:rsidR="00597B77" w:rsidRPr="00597B77">
              <w:rPr>
                <w:rFonts w:cstheme="minorHAnsi"/>
                <w:b/>
              </w:rPr>
              <w:t>0%</w:t>
            </w:r>
          </w:p>
        </w:tc>
      </w:tr>
      <w:tr w:rsidR="00597B77" w:rsidRPr="00597B77" w14:paraId="5A9D80C4" w14:textId="77777777" w:rsidTr="00A405C4">
        <w:tc>
          <w:tcPr>
            <w:tcW w:w="0" w:type="auto"/>
            <w:shd w:val="clear" w:color="auto" w:fill="B4C6E7" w:themeFill="accent1" w:themeFillTint="66"/>
          </w:tcPr>
          <w:p w14:paraId="55076156" w14:textId="77777777" w:rsidR="00597B77" w:rsidRPr="00597B77" w:rsidRDefault="00597B77" w:rsidP="00597B77">
            <w:pPr>
              <w:numPr>
                <w:ilvl w:val="0"/>
                <w:numId w:val="3"/>
              </w:numPr>
              <w:spacing w:before="60" w:after="60"/>
              <w:jc w:val="both"/>
              <w:rPr>
                <w:rFonts w:cstheme="minorHAnsi"/>
                <w:b/>
              </w:rPr>
            </w:pPr>
            <w:r w:rsidRPr="00597B77">
              <w:rPr>
                <w:rFonts w:cstheme="minorHAnsi"/>
                <w:b/>
              </w:rPr>
              <w:t>Durabilité de l’action</w:t>
            </w:r>
          </w:p>
        </w:tc>
        <w:tc>
          <w:tcPr>
            <w:tcW w:w="0" w:type="auto"/>
            <w:shd w:val="clear" w:color="auto" w:fill="B4C6E7" w:themeFill="accent1" w:themeFillTint="66"/>
          </w:tcPr>
          <w:p w14:paraId="172DFF07" w14:textId="77777777" w:rsidR="00597B77" w:rsidRPr="00597B77" w:rsidRDefault="00597B77" w:rsidP="00597B77">
            <w:pPr>
              <w:spacing w:before="60" w:after="60"/>
              <w:jc w:val="center"/>
              <w:rPr>
                <w:rFonts w:cstheme="minorHAnsi"/>
                <w:b/>
              </w:rPr>
            </w:pPr>
          </w:p>
        </w:tc>
      </w:tr>
      <w:tr w:rsidR="00597B77" w:rsidRPr="00597B77" w14:paraId="326CC10E" w14:textId="77777777" w:rsidTr="00A405C4">
        <w:tc>
          <w:tcPr>
            <w:tcW w:w="0" w:type="auto"/>
          </w:tcPr>
          <w:p w14:paraId="10372646" w14:textId="37803EB1" w:rsidR="00597B77" w:rsidRPr="00597B77" w:rsidRDefault="002C6D99" w:rsidP="00597B77">
            <w:pPr>
              <w:spacing w:before="60" w:after="60"/>
              <w:jc w:val="both"/>
              <w:rPr>
                <w:rFonts w:cstheme="minorHAnsi"/>
                <w:b/>
              </w:rPr>
            </w:pPr>
            <w:r>
              <w:rPr>
                <w:rFonts w:cstheme="minorHAnsi"/>
              </w:rPr>
              <w:t>3</w:t>
            </w:r>
            <w:r w:rsidR="00597B77" w:rsidRPr="00597B77">
              <w:rPr>
                <w:rFonts w:cstheme="minorHAnsi"/>
              </w:rPr>
              <w:t>.</w:t>
            </w:r>
            <w:r>
              <w:rPr>
                <w:rFonts w:cstheme="minorHAnsi"/>
              </w:rPr>
              <w:t>1</w:t>
            </w:r>
            <w:r w:rsidR="00597B77" w:rsidRPr="00597B77">
              <w:rPr>
                <w:rFonts w:cstheme="minorHAnsi"/>
              </w:rPr>
              <w:t xml:space="preserve"> La proposition est-elle susceptible d’avoir des effets multiplicateurs (notamment probabilité de reproduction, d’extension et de partage d’informations) ?</w:t>
            </w:r>
          </w:p>
        </w:tc>
        <w:tc>
          <w:tcPr>
            <w:tcW w:w="0" w:type="auto"/>
          </w:tcPr>
          <w:p w14:paraId="2EC40E7E" w14:textId="77777777" w:rsidR="00597B77" w:rsidRPr="00597B77" w:rsidRDefault="00597B77" w:rsidP="00597B77">
            <w:pPr>
              <w:spacing w:before="60" w:after="60"/>
              <w:jc w:val="center"/>
              <w:rPr>
                <w:rFonts w:cstheme="minorHAnsi"/>
                <w:b/>
              </w:rPr>
            </w:pPr>
          </w:p>
        </w:tc>
      </w:tr>
      <w:tr w:rsidR="00597B77" w:rsidRPr="00597B77" w14:paraId="1D95BEDC" w14:textId="77777777" w:rsidTr="00A405C4">
        <w:tc>
          <w:tcPr>
            <w:tcW w:w="0" w:type="auto"/>
            <w:shd w:val="clear" w:color="auto" w:fill="auto"/>
          </w:tcPr>
          <w:p w14:paraId="1137024B" w14:textId="611DE671" w:rsidR="00597B77" w:rsidRPr="00597B77" w:rsidRDefault="00597B77" w:rsidP="00597B77">
            <w:pPr>
              <w:spacing w:before="60" w:after="60"/>
              <w:jc w:val="center"/>
              <w:rPr>
                <w:rFonts w:cstheme="minorHAnsi"/>
              </w:rPr>
            </w:pPr>
            <w:r w:rsidRPr="00597B77">
              <w:rPr>
                <w:rFonts w:cstheme="minorHAnsi"/>
                <w:b/>
              </w:rPr>
              <w:t xml:space="preserve">Pondération de la note Rubrique </w:t>
            </w:r>
            <w:r w:rsidR="002C6D99">
              <w:rPr>
                <w:rFonts w:cstheme="minorHAnsi"/>
                <w:b/>
              </w:rPr>
              <w:t>3</w:t>
            </w:r>
          </w:p>
        </w:tc>
        <w:tc>
          <w:tcPr>
            <w:tcW w:w="0" w:type="auto"/>
            <w:shd w:val="clear" w:color="auto" w:fill="auto"/>
          </w:tcPr>
          <w:p w14:paraId="065FA050" w14:textId="77777777" w:rsidR="00597B77" w:rsidRPr="00597B77" w:rsidRDefault="00597B77" w:rsidP="00597B77">
            <w:pPr>
              <w:spacing w:before="60" w:after="60"/>
              <w:jc w:val="center"/>
              <w:rPr>
                <w:rFonts w:cstheme="minorHAnsi"/>
                <w:b/>
              </w:rPr>
            </w:pPr>
            <w:r w:rsidRPr="00597B77">
              <w:rPr>
                <w:rFonts w:cstheme="minorHAnsi"/>
                <w:b/>
              </w:rPr>
              <w:t>10%</w:t>
            </w:r>
          </w:p>
        </w:tc>
      </w:tr>
    </w:tbl>
    <w:p w14:paraId="38848A48" w14:textId="77777777" w:rsidR="00597B77" w:rsidRPr="00597B77" w:rsidRDefault="00597B77" w:rsidP="002B5E08">
      <w:pPr>
        <w:spacing w:after="120" w:line="240" w:lineRule="auto"/>
        <w:jc w:val="both"/>
      </w:pPr>
    </w:p>
    <w:p w14:paraId="4FB9AED8" w14:textId="18134BA2" w:rsidR="00597B77" w:rsidRDefault="00E71EF9" w:rsidP="002B5E08">
      <w:pPr>
        <w:spacing w:after="120" w:line="240" w:lineRule="auto"/>
        <w:jc w:val="both"/>
      </w:pPr>
      <w:r w:rsidRPr="00E71EF9">
        <w:t>À l'exception du sous-critère « 1.4 », qui sera noté soit 0 soit 5, chaque sous-critère est noté sur 5. La pondération sera appliquée à la moyenne obtenue dans la rubrique, une fois les sous-critères notés</w:t>
      </w:r>
      <w:r w:rsidR="00597B77" w:rsidRPr="00597B77">
        <w:t>.</w:t>
      </w:r>
    </w:p>
    <w:p w14:paraId="21756146" w14:textId="77777777" w:rsidR="00597B77" w:rsidRPr="00597B77" w:rsidRDefault="00597B77" w:rsidP="00597B77">
      <w:pPr>
        <w:keepNext/>
        <w:numPr>
          <w:ilvl w:val="0"/>
          <w:numId w:val="5"/>
        </w:numPr>
        <w:spacing w:before="200" w:after="120" w:line="240" w:lineRule="auto"/>
        <w:ind w:left="567"/>
        <w:contextualSpacing/>
        <w:jc w:val="both"/>
        <w:outlineLvl w:val="1"/>
        <w:rPr>
          <w:b/>
          <w:color w:val="05ADA0"/>
        </w:rPr>
      </w:pPr>
      <w:r w:rsidRPr="00597B77">
        <w:rPr>
          <w:b/>
          <w:bCs/>
          <w:color w:val="05ADA0"/>
          <w:spacing w:val="20"/>
          <w:sz w:val="28"/>
          <w:szCs w:val="28"/>
        </w:rPr>
        <w:lastRenderedPageBreak/>
        <w:t>Eligibilité des actions</w:t>
      </w:r>
    </w:p>
    <w:p w14:paraId="2F2174E0" w14:textId="77777777" w:rsidR="00597B77" w:rsidRPr="00597B77" w:rsidRDefault="00597B77" w:rsidP="00597B77">
      <w:pPr>
        <w:keepNext/>
        <w:spacing w:after="120" w:line="240" w:lineRule="auto"/>
        <w:jc w:val="both"/>
        <w:rPr>
          <w:b/>
          <w:sz w:val="24"/>
        </w:rPr>
      </w:pPr>
      <w:r w:rsidRPr="00597B77">
        <w:rPr>
          <w:b/>
          <w:sz w:val="24"/>
        </w:rPr>
        <w:t>Durée</w:t>
      </w:r>
    </w:p>
    <w:p w14:paraId="318D82ED" w14:textId="77777777" w:rsidR="00597B77" w:rsidRPr="00597B77" w:rsidRDefault="00597B77" w:rsidP="00597B77">
      <w:pPr>
        <w:keepNext/>
        <w:spacing w:after="120" w:line="240" w:lineRule="auto"/>
        <w:jc w:val="both"/>
      </w:pPr>
      <w:r w:rsidRPr="00597B77">
        <w:t>La durée de l’ensemble des actions ne pourra être inférieure à 6 mois ni excéder une période de 12 mois, sauf en cas d’avenant. L’action devra démarrer dès la signature du contrat avec l’OFII et respecter le calendrier du projet THAMM OFII.</w:t>
      </w:r>
    </w:p>
    <w:p w14:paraId="1CE497DD" w14:textId="77777777" w:rsidR="00597B77" w:rsidRPr="00597B77" w:rsidRDefault="00597B77" w:rsidP="00597B77">
      <w:pPr>
        <w:keepNext/>
        <w:spacing w:after="120" w:line="240" w:lineRule="auto"/>
        <w:jc w:val="both"/>
        <w:rPr>
          <w:b/>
          <w:sz w:val="24"/>
        </w:rPr>
      </w:pPr>
      <w:r w:rsidRPr="00597B77">
        <w:rPr>
          <w:b/>
          <w:sz w:val="24"/>
        </w:rPr>
        <w:t>Couverture géographique</w:t>
      </w:r>
    </w:p>
    <w:p w14:paraId="08A2C3FE" w14:textId="77777777" w:rsidR="00597B77" w:rsidRPr="00597B77" w:rsidRDefault="00597B77" w:rsidP="00597B77">
      <w:pPr>
        <w:keepNext/>
        <w:spacing w:after="120" w:line="240" w:lineRule="auto"/>
        <w:jc w:val="both"/>
      </w:pPr>
      <w:r w:rsidRPr="00597B77">
        <w:t xml:space="preserve">Les actions devront principalement être mises en œuvre en Tunisie, certaines actions complémentaires pouvant être réalisées </w:t>
      </w:r>
      <w:r w:rsidRPr="00597B77">
        <w:rPr>
          <w:color w:val="171717" w:themeColor="background2" w:themeShade="1A"/>
        </w:rPr>
        <w:t>en ligne moyennant des visioconférences</w:t>
      </w:r>
      <w:r w:rsidRPr="00597B77">
        <w:t>.</w:t>
      </w:r>
    </w:p>
    <w:p w14:paraId="67459E6B" w14:textId="77777777" w:rsidR="00597B77" w:rsidRPr="00597B77" w:rsidRDefault="00597B77" w:rsidP="00597B77">
      <w:pPr>
        <w:keepNext/>
        <w:spacing w:after="120" w:line="240" w:lineRule="auto"/>
        <w:jc w:val="both"/>
        <w:rPr>
          <w:b/>
          <w:sz w:val="24"/>
        </w:rPr>
      </w:pPr>
      <w:r w:rsidRPr="00597B77">
        <w:rPr>
          <w:b/>
          <w:sz w:val="24"/>
        </w:rPr>
        <w:t>Types d’action</w:t>
      </w:r>
    </w:p>
    <w:p w14:paraId="74DB6315" w14:textId="77777777" w:rsidR="00597B77" w:rsidRPr="00597B77" w:rsidRDefault="00597B77" w:rsidP="00597B77">
      <w:pPr>
        <w:keepNext/>
        <w:spacing w:after="120" w:line="240" w:lineRule="auto"/>
        <w:jc w:val="both"/>
      </w:pPr>
      <w:r w:rsidRPr="00597B77">
        <w:t xml:space="preserve">Les actions proposées seront cohérentes avec les priorités identifiées dans le présent appel à propositions. Elles devront respecter les directives fixées dans les sections 1 à 4 de la rubrique II.   </w:t>
      </w:r>
    </w:p>
    <w:p w14:paraId="1F751245" w14:textId="77777777" w:rsidR="00597B77" w:rsidRPr="00B259DA" w:rsidRDefault="00597B77" w:rsidP="00597B77">
      <w:pPr>
        <w:keepNext/>
        <w:spacing w:after="120" w:line="240" w:lineRule="auto"/>
        <w:jc w:val="both"/>
      </w:pPr>
      <w:r w:rsidRPr="00B259DA">
        <w:t>Une action doit être décrite comme un ensemble lisible et cohérent d’activités conçues pour répondre aux besoins spécifiques des candidats sélectionnés de la diaspora et atteindre des objectifs particuliers dans un délai de 12 mois. Des indicateurs de performance mesurables et vérifiables devront être proposés par le demandeur.</w:t>
      </w:r>
    </w:p>
    <w:p w14:paraId="694A9B6F" w14:textId="77777777" w:rsidR="00597B77" w:rsidRPr="00597B77" w:rsidRDefault="00597B77" w:rsidP="00597B77">
      <w:pPr>
        <w:keepNext/>
        <w:spacing w:after="120" w:line="240" w:lineRule="auto"/>
        <w:jc w:val="both"/>
        <w:rPr>
          <w:b/>
          <w:sz w:val="24"/>
        </w:rPr>
      </w:pPr>
      <w:r w:rsidRPr="00597B77">
        <w:rPr>
          <w:b/>
          <w:sz w:val="24"/>
        </w:rPr>
        <w:t>Les types d’action suivants ne sont pas éligibles :</w:t>
      </w:r>
    </w:p>
    <w:p w14:paraId="6E39DE44" w14:textId="135ADACC" w:rsidR="00597B77" w:rsidRPr="00597B77" w:rsidRDefault="00932DB4" w:rsidP="00597B77">
      <w:pPr>
        <w:keepNext/>
        <w:numPr>
          <w:ilvl w:val="0"/>
          <w:numId w:val="2"/>
        </w:numPr>
        <w:spacing w:after="120" w:line="240" w:lineRule="auto"/>
        <w:ind w:left="357" w:hanging="357"/>
        <w:contextualSpacing/>
        <w:jc w:val="both"/>
      </w:pPr>
      <w:r w:rsidRPr="00597B77">
        <w:t>Actions consistant</w:t>
      </w:r>
      <w:r>
        <w:t>es</w:t>
      </w:r>
      <w:r w:rsidR="00597B77" w:rsidRPr="00597B77">
        <w:t xml:space="preserve"> exclusivement ou prioritairement en dépenses en capital, par ex. l’achat de terrains, de bâtiments, d’équipements et de véhicules ;</w:t>
      </w:r>
    </w:p>
    <w:p w14:paraId="3D10DAF4" w14:textId="729D06EA" w:rsidR="00597B77" w:rsidRPr="00597B77" w:rsidRDefault="00597B77" w:rsidP="00597B77">
      <w:pPr>
        <w:keepNext/>
        <w:numPr>
          <w:ilvl w:val="0"/>
          <w:numId w:val="2"/>
        </w:numPr>
        <w:spacing w:after="120" w:line="240" w:lineRule="auto"/>
        <w:ind w:left="357" w:hanging="357"/>
        <w:contextualSpacing/>
        <w:jc w:val="both"/>
      </w:pPr>
      <w:r w:rsidRPr="00597B77">
        <w:t>Actions soutenant</w:t>
      </w:r>
      <w:r w:rsidR="00932DB4">
        <w:t>es</w:t>
      </w:r>
      <w:r w:rsidRPr="00597B77">
        <w:t xml:space="preserve"> financièrement et/ou politiquement des partis politiques, groupes religieux ; </w:t>
      </w:r>
    </w:p>
    <w:p w14:paraId="4AAC8D0B" w14:textId="77777777" w:rsidR="00597B77" w:rsidRPr="00597B77" w:rsidRDefault="00597B77" w:rsidP="00597B77">
      <w:pPr>
        <w:keepNext/>
        <w:numPr>
          <w:ilvl w:val="0"/>
          <w:numId w:val="2"/>
        </w:numPr>
        <w:spacing w:after="120" w:line="240" w:lineRule="auto"/>
        <w:ind w:left="357" w:hanging="357"/>
        <w:contextualSpacing/>
        <w:jc w:val="both"/>
      </w:pPr>
      <w:r w:rsidRPr="00597B77">
        <w:t xml:space="preserve">Actions incluant des aspects de prosélytisme religieux ou politique ; </w:t>
      </w:r>
    </w:p>
    <w:p w14:paraId="58ABC6FF" w14:textId="77777777" w:rsidR="00597B77" w:rsidRDefault="00597B77" w:rsidP="00597B77">
      <w:pPr>
        <w:keepNext/>
        <w:numPr>
          <w:ilvl w:val="0"/>
          <w:numId w:val="2"/>
        </w:numPr>
        <w:spacing w:after="120" w:line="240" w:lineRule="auto"/>
        <w:ind w:left="357" w:hanging="357"/>
        <w:contextualSpacing/>
        <w:jc w:val="both"/>
      </w:pPr>
      <w:r w:rsidRPr="00597B77">
        <w:t>Actions incluant des aspects de discrimination.</w:t>
      </w:r>
    </w:p>
    <w:p w14:paraId="50FE02F9" w14:textId="77777777" w:rsidR="00597B77" w:rsidRPr="00597B77" w:rsidRDefault="00597B77" w:rsidP="00597B77">
      <w:pPr>
        <w:keepNext/>
        <w:spacing w:after="120" w:line="240" w:lineRule="auto"/>
        <w:ind w:left="357"/>
        <w:contextualSpacing/>
        <w:jc w:val="both"/>
      </w:pPr>
    </w:p>
    <w:p w14:paraId="3BC4D83C" w14:textId="77777777" w:rsidR="00597B77" w:rsidRPr="00597B77" w:rsidRDefault="00597B77" w:rsidP="00597B77">
      <w:pPr>
        <w:keepNext/>
        <w:keepLines/>
        <w:numPr>
          <w:ilvl w:val="0"/>
          <w:numId w:val="5"/>
        </w:numPr>
        <w:spacing w:before="200" w:after="120"/>
        <w:ind w:left="567"/>
        <w:contextualSpacing/>
        <w:outlineLvl w:val="1"/>
        <w:rPr>
          <w:b/>
          <w:bCs/>
          <w:color w:val="05ADA0"/>
          <w:spacing w:val="20"/>
          <w:sz w:val="28"/>
          <w:szCs w:val="28"/>
        </w:rPr>
      </w:pPr>
      <w:r w:rsidRPr="00597B77">
        <w:rPr>
          <w:b/>
          <w:bCs/>
          <w:color w:val="05ADA0"/>
          <w:spacing w:val="20"/>
          <w:sz w:val="28"/>
          <w:szCs w:val="28"/>
        </w:rPr>
        <w:t>Eligibilité des coûts</w:t>
      </w:r>
    </w:p>
    <w:p w14:paraId="09A83E1B" w14:textId="77777777" w:rsidR="00597B77" w:rsidRPr="00597B77" w:rsidRDefault="00597B77" w:rsidP="00597B77">
      <w:pPr>
        <w:keepNext/>
        <w:spacing w:after="120" w:line="240" w:lineRule="auto"/>
        <w:jc w:val="both"/>
        <w:rPr>
          <w:b/>
          <w:sz w:val="24"/>
        </w:rPr>
      </w:pPr>
      <w:r w:rsidRPr="00597B77">
        <w:rPr>
          <w:b/>
          <w:sz w:val="24"/>
        </w:rPr>
        <w:t xml:space="preserve">Coûts inéligibles </w:t>
      </w:r>
    </w:p>
    <w:p w14:paraId="16635027" w14:textId="77777777" w:rsidR="00597B77" w:rsidRPr="00597B77" w:rsidRDefault="00597B77" w:rsidP="00597B77">
      <w:pPr>
        <w:numPr>
          <w:ilvl w:val="0"/>
          <w:numId w:val="4"/>
        </w:numPr>
        <w:spacing w:after="120" w:line="240" w:lineRule="auto"/>
        <w:ind w:left="357" w:hanging="357"/>
        <w:contextualSpacing/>
        <w:jc w:val="both"/>
      </w:pPr>
      <w:r w:rsidRPr="00597B77">
        <w:t xml:space="preserve">Les dettes et les intérêts qui en découlent ; </w:t>
      </w:r>
    </w:p>
    <w:p w14:paraId="7B06A070" w14:textId="77777777" w:rsidR="00597B77" w:rsidRPr="00597B77" w:rsidRDefault="00597B77" w:rsidP="00597B77">
      <w:pPr>
        <w:numPr>
          <w:ilvl w:val="0"/>
          <w:numId w:val="4"/>
        </w:numPr>
        <w:spacing w:after="120" w:line="240" w:lineRule="auto"/>
        <w:ind w:left="357" w:hanging="357"/>
        <w:contextualSpacing/>
        <w:jc w:val="both"/>
      </w:pPr>
      <w:r w:rsidRPr="00597B77">
        <w:t>Les provisions pour pertes ou dettes futures éventuelles ;</w:t>
      </w:r>
    </w:p>
    <w:p w14:paraId="4845D256" w14:textId="77777777" w:rsidR="00597B77" w:rsidRPr="00597B77" w:rsidRDefault="00597B77" w:rsidP="00597B77">
      <w:pPr>
        <w:numPr>
          <w:ilvl w:val="0"/>
          <w:numId w:val="4"/>
        </w:numPr>
        <w:spacing w:after="120" w:line="240" w:lineRule="auto"/>
        <w:ind w:left="357" w:hanging="357"/>
        <w:contextualSpacing/>
        <w:jc w:val="both"/>
      </w:pPr>
      <w:r w:rsidRPr="00597B77">
        <w:t xml:space="preserve">Les coûts déclarés par le(s) bénéficiaire(s) et financés par une autre action ou un autre programme de travail bénéficiant d'une subvention de l’Union européenne ; </w:t>
      </w:r>
    </w:p>
    <w:p w14:paraId="39A30B94" w14:textId="77777777" w:rsidR="00597B77" w:rsidRPr="00597B77" w:rsidRDefault="00597B77" w:rsidP="00597B77">
      <w:pPr>
        <w:numPr>
          <w:ilvl w:val="0"/>
          <w:numId w:val="4"/>
        </w:numPr>
        <w:spacing w:after="120" w:line="240" w:lineRule="auto"/>
        <w:ind w:left="357" w:hanging="357"/>
        <w:contextualSpacing/>
        <w:jc w:val="both"/>
      </w:pPr>
      <w:r w:rsidRPr="00597B77">
        <w:t xml:space="preserve">Les achats de terrains ou d’immeubles ; </w:t>
      </w:r>
    </w:p>
    <w:p w14:paraId="3EFFFA8B" w14:textId="77777777" w:rsidR="00597B77" w:rsidRPr="00597B77" w:rsidRDefault="00597B77" w:rsidP="00597B77">
      <w:pPr>
        <w:numPr>
          <w:ilvl w:val="0"/>
          <w:numId w:val="4"/>
        </w:numPr>
        <w:spacing w:after="120" w:line="240" w:lineRule="auto"/>
        <w:ind w:left="357" w:hanging="357"/>
        <w:contextualSpacing/>
        <w:jc w:val="both"/>
      </w:pPr>
      <w:r w:rsidRPr="00597B77">
        <w:t xml:space="preserve">Les pertes de change ;  </w:t>
      </w:r>
    </w:p>
    <w:p w14:paraId="7D3B6ECC" w14:textId="77777777" w:rsidR="00597B77" w:rsidRPr="00597B77" w:rsidRDefault="00597B77" w:rsidP="00597B77">
      <w:pPr>
        <w:numPr>
          <w:ilvl w:val="0"/>
          <w:numId w:val="4"/>
        </w:numPr>
        <w:spacing w:after="0" w:line="240" w:lineRule="auto"/>
        <w:ind w:left="357" w:hanging="357"/>
        <w:contextualSpacing/>
        <w:jc w:val="both"/>
      </w:pPr>
      <w:r w:rsidRPr="00597B77">
        <w:t xml:space="preserve">Les crédits à des tiers ; </w:t>
      </w:r>
    </w:p>
    <w:p w14:paraId="6C16932D" w14:textId="41DDDFFF" w:rsidR="00597B77" w:rsidRPr="00597B77" w:rsidRDefault="00597B77" w:rsidP="002B5E08">
      <w:pPr>
        <w:numPr>
          <w:ilvl w:val="0"/>
          <w:numId w:val="4"/>
        </w:numPr>
        <w:spacing w:after="200" w:line="240" w:lineRule="auto"/>
        <w:ind w:left="357" w:hanging="357"/>
        <w:contextualSpacing/>
        <w:jc w:val="both"/>
        <w:rPr>
          <w:rFonts w:ascii="Calibri" w:hAnsi="Calibri"/>
          <w:b/>
          <w:color w:val="05ADA0"/>
          <w:sz w:val="28"/>
          <w:szCs w:val="28"/>
        </w:rPr>
      </w:pPr>
      <w:r w:rsidRPr="00597B77">
        <w:t xml:space="preserve">Le coût des salaires du personnel de l’administration nationale ou </w:t>
      </w:r>
      <w:r w:rsidR="002B5E08">
        <w:t>c</w:t>
      </w:r>
      <w:r w:rsidRPr="00597B77">
        <w:t>entrale.</w:t>
      </w:r>
    </w:p>
    <w:p w14:paraId="391903FC" w14:textId="77777777" w:rsidR="00597B77" w:rsidRPr="00597B77" w:rsidRDefault="00597B77" w:rsidP="00597B77">
      <w:pPr>
        <w:spacing w:after="200" w:line="240" w:lineRule="auto"/>
        <w:ind w:left="357"/>
        <w:contextualSpacing/>
        <w:jc w:val="both"/>
        <w:rPr>
          <w:rFonts w:ascii="Calibri" w:hAnsi="Calibri"/>
          <w:b/>
          <w:color w:val="05ADA0"/>
          <w:sz w:val="28"/>
          <w:szCs w:val="28"/>
        </w:rPr>
      </w:pPr>
    </w:p>
    <w:p w14:paraId="0FBA9DE9" w14:textId="77777777" w:rsidR="00597B77" w:rsidRPr="00597B77" w:rsidRDefault="00597B77" w:rsidP="00597B77">
      <w:pPr>
        <w:numPr>
          <w:ilvl w:val="0"/>
          <w:numId w:val="5"/>
        </w:numPr>
        <w:ind w:left="426" w:hanging="284"/>
        <w:contextualSpacing/>
        <w:rPr>
          <w:b/>
          <w:bCs/>
          <w:color w:val="05ADA0"/>
          <w:spacing w:val="20"/>
          <w:sz w:val="28"/>
          <w:szCs w:val="28"/>
        </w:rPr>
      </w:pPr>
      <w:r w:rsidRPr="00597B77">
        <w:rPr>
          <w:b/>
          <w:bCs/>
          <w:color w:val="05ADA0"/>
          <w:spacing w:val="20"/>
          <w:sz w:val="28"/>
          <w:szCs w:val="28"/>
        </w:rPr>
        <w:t>Soumission de candidatures et date de dépôt</w:t>
      </w:r>
    </w:p>
    <w:p w14:paraId="0548B270" w14:textId="3B317626" w:rsidR="00597B77" w:rsidRPr="00597B77" w:rsidRDefault="00597B77" w:rsidP="00597B77">
      <w:r w:rsidRPr="00597B77">
        <w:t xml:space="preserve">Les </w:t>
      </w:r>
      <w:r w:rsidR="00F70B1E">
        <w:t xml:space="preserve">acteurs ou </w:t>
      </w:r>
      <w:r w:rsidRPr="00597B77">
        <w:t>groupements</w:t>
      </w:r>
      <w:r w:rsidR="00F70B1E">
        <w:t xml:space="preserve"> d’acteurs</w:t>
      </w:r>
      <w:r w:rsidRPr="00597B77">
        <w:t xml:space="preserve"> intéressés à réaliser les services décrits dans les termes de références doivent envoyer leur candidature par voie électronique aux trois adresses suivantes : </w:t>
      </w:r>
    </w:p>
    <w:p w14:paraId="50F22E68" w14:textId="77777777" w:rsidR="00597B77" w:rsidRPr="00597B77" w:rsidRDefault="00D82F79" w:rsidP="00597B77">
      <w:pPr>
        <w:spacing w:after="0" w:line="240" w:lineRule="auto"/>
      </w:pPr>
      <w:hyperlink r:id="rId14" w:history="1">
        <w:r w:rsidR="00597B77" w:rsidRPr="00597B77">
          <w:rPr>
            <w:color w:val="0563C1" w:themeColor="hyperlink"/>
            <w:u w:val="single"/>
          </w:rPr>
          <w:t>helene.hammouda@ofii.fr</w:t>
        </w:r>
      </w:hyperlink>
      <w:r w:rsidR="00597B77" w:rsidRPr="00597B77">
        <w:t xml:space="preserve"> </w:t>
      </w:r>
    </w:p>
    <w:p w14:paraId="75EB1CB3" w14:textId="77777777" w:rsidR="00597B77" w:rsidRPr="00597B77" w:rsidRDefault="00D82F79" w:rsidP="00597B77">
      <w:pPr>
        <w:spacing w:after="0" w:line="240" w:lineRule="auto"/>
      </w:pPr>
      <w:hyperlink r:id="rId15" w:history="1">
        <w:r w:rsidR="00597B77" w:rsidRPr="00597B77">
          <w:rPr>
            <w:color w:val="0563C1" w:themeColor="hyperlink"/>
            <w:u w:val="single"/>
          </w:rPr>
          <w:t>saber.neffati@ofii.fr</w:t>
        </w:r>
      </w:hyperlink>
      <w:r w:rsidR="00597B77" w:rsidRPr="00597B77">
        <w:t xml:space="preserve"> </w:t>
      </w:r>
    </w:p>
    <w:p w14:paraId="57B905D2" w14:textId="77777777" w:rsidR="00597B77" w:rsidRPr="00597B77" w:rsidRDefault="00D82F79" w:rsidP="00597B77">
      <w:pPr>
        <w:spacing w:after="0" w:line="240" w:lineRule="auto"/>
      </w:pPr>
      <w:hyperlink r:id="rId16" w:history="1">
        <w:r w:rsidR="00597B77" w:rsidRPr="00597B77">
          <w:rPr>
            <w:color w:val="0563C1" w:themeColor="hyperlink"/>
            <w:u w:val="single"/>
          </w:rPr>
          <w:t>thammofii@gmail.com</w:t>
        </w:r>
      </w:hyperlink>
      <w:r w:rsidR="00597B77" w:rsidRPr="00597B77">
        <w:t xml:space="preserve"> </w:t>
      </w:r>
    </w:p>
    <w:p w14:paraId="702140CC" w14:textId="77777777" w:rsidR="00597B77" w:rsidRPr="00597B77" w:rsidRDefault="00597B77" w:rsidP="002B5E08">
      <w:pPr>
        <w:spacing w:after="0" w:line="240" w:lineRule="auto"/>
      </w:pPr>
    </w:p>
    <w:p w14:paraId="46BFC772" w14:textId="39CD34C9" w:rsidR="00597B77" w:rsidRPr="00597B77" w:rsidRDefault="00597B77" w:rsidP="002B5E08">
      <w:pPr>
        <w:spacing w:after="120" w:line="240" w:lineRule="auto"/>
      </w:pPr>
      <w:r w:rsidRPr="00597B77">
        <w:t xml:space="preserve">L’objet du courriel sera « AAP THAMM OFII OS2 – </w:t>
      </w:r>
      <w:r w:rsidR="00B127A5">
        <w:t>2024</w:t>
      </w:r>
      <w:r w:rsidRPr="00597B77">
        <w:t xml:space="preserve"> – </w:t>
      </w:r>
      <w:r w:rsidR="006F1FA8">
        <w:t>0</w:t>
      </w:r>
      <w:r w:rsidR="00F70B1E">
        <w:t>8</w:t>
      </w:r>
      <w:r w:rsidR="006F1FA8" w:rsidRPr="00597B77">
        <w:t xml:space="preserve"> </w:t>
      </w:r>
      <w:r w:rsidRPr="00597B77">
        <w:t xml:space="preserve">». </w:t>
      </w:r>
    </w:p>
    <w:p w14:paraId="46534BA3" w14:textId="08951200" w:rsidR="00597B77" w:rsidRPr="00597B77" w:rsidRDefault="00597B77" w:rsidP="002B5E08">
      <w:pPr>
        <w:spacing w:after="120" w:line="240" w:lineRule="auto"/>
      </w:pPr>
      <w:r w:rsidRPr="00597B77">
        <w:t xml:space="preserve">La date limite de soumission des candidatures est fixée au </w:t>
      </w:r>
      <w:r w:rsidR="003B76A4">
        <w:t xml:space="preserve">25 </w:t>
      </w:r>
      <w:r w:rsidR="00F70B1E">
        <w:t>septembre</w:t>
      </w:r>
      <w:r w:rsidR="006F1FA8">
        <w:t xml:space="preserve"> </w:t>
      </w:r>
      <w:r w:rsidR="00B127A5">
        <w:t>2024</w:t>
      </w:r>
      <w:r w:rsidRPr="00597B77">
        <w:t xml:space="preserve"> à minuit, telle que prouvée par la date d'envoi du mail. </w:t>
      </w:r>
    </w:p>
    <w:p w14:paraId="04898349" w14:textId="77777777" w:rsidR="00597B77" w:rsidRPr="00597B77" w:rsidRDefault="00597B77" w:rsidP="002B5E08">
      <w:pPr>
        <w:keepNext/>
        <w:spacing w:after="60" w:line="240" w:lineRule="auto"/>
        <w:jc w:val="both"/>
      </w:pPr>
      <w:r w:rsidRPr="00597B77">
        <w:lastRenderedPageBreak/>
        <w:t xml:space="preserve">La candidature comprendra nécessairement : </w:t>
      </w:r>
    </w:p>
    <w:p w14:paraId="2A7E3D8B" w14:textId="77777777" w:rsidR="00597B77" w:rsidRPr="00597B77" w:rsidRDefault="00597B77" w:rsidP="002B5E08">
      <w:pPr>
        <w:keepNext/>
        <w:numPr>
          <w:ilvl w:val="0"/>
          <w:numId w:val="4"/>
        </w:numPr>
        <w:spacing w:after="0" w:line="240" w:lineRule="auto"/>
        <w:ind w:left="357" w:hanging="357"/>
        <w:jc w:val="both"/>
      </w:pPr>
      <w:r w:rsidRPr="00597B77">
        <w:t xml:space="preserve">Une lettre de motivation, </w:t>
      </w:r>
    </w:p>
    <w:p w14:paraId="480BD5E9" w14:textId="4F1657B5" w:rsidR="00597B77" w:rsidRPr="00597B77" w:rsidRDefault="00597B77" w:rsidP="002B5E08">
      <w:pPr>
        <w:keepNext/>
        <w:numPr>
          <w:ilvl w:val="0"/>
          <w:numId w:val="4"/>
        </w:numPr>
        <w:spacing w:after="0" w:line="240" w:lineRule="auto"/>
        <w:ind w:left="357" w:hanging="357"/>
        <w:jc w:val="both"/>
      </w:pPr>
      <w:r w:rsidRPr="00597B77">
        <w:t>Le Curriculum Vitae du représentant de l’acteur local principal du consortium</w:t>
      </w:r>
      <w:r w:rsidR="00F70B1E">
        <w:t xml:space="preserve"> ou du directeur du projet proposé dans la candidature</w:t>
      </w:r>
      <w:r w:rsidRPr="00597B77">
        <w:t>,</w:t>
      </w:r>
    </w:p>
    <w:p w14:paraId="091A3260" w14:textId="27014964" w:rsidR="00597B77" w:rsidRPr="00597B77" w:rsidRDefault="00597B77" w:rsidP="002B5E08">
      <w:pPr>
        <w:keepNext/>
        <w:numPr>
          <w:ilvl w:val="0"/>
          <w:numId w:val="4"/>
        </w:numPr>
        <w:spacing w:after="0" w:line="240" w:lineRule="auto"/>
        <w:ind w:left="357" w:hanging="357"/>
        <w:jc w:val="both"/>
      </w:pPr>
      <w:r w:rsidRPr="00597B77">
        <w:t>Les références de l’acteur local principal dans des missions similaires</w:t>
      </w:r>
      <w:r w:rsidR="006F1FA8">
        <w:t>,</w:t>
      </w:r>
      <w:r w:rsidRPr="00597B77">
        <w:t> </w:t>
      </w:r>
    </w:p>
    <w:p w14:paraId="4D0B4179" w14:textId="635467F9" w:rsidR="00597B77" w:rsidRPr="00597B77" w:rsidRDefault="00597B77" w:rsidP="002B5E08">
      <w:pPr>
        <w:keepNext/>
        <w:numPr>
          <w:ilvl w:val="0"/>
          <w:numId w:val="4"/>
        </w:numPr>
        <w:spacing w:after="0" w:line="240" w:lineRule="auto"/>
        <w:ind w:left="357" w:hanging="357"/>
        <w:jc w:val="both"/>
      </w:pPr>
      <w:r w:rsidRPr="00597B77">
        <w:t xml:space="preserve">La liste des autres membres </w:t>
      </w:r>
      <w:r w:rsidR="00F70B1E">
        <w:t xml:space="preserve">prévus </w:t>
      </w:r>
      <w:r w:rsidRPr="00597B77">
        <w:t xml:space="preserve">du consortium, </w:t>
      </w:r>
    </w:p>
    <w:p w14:paraId="43DBAC6D" w14:textId="77777777" w:rsidR="00597B77" w:rsidRPr="00597B77" w:rsidRDefault="00597B77" w:rsidP="002B5E08">
      <w:pPr>
        <w:keepNext/>
        <w:numPr>
          <w:ilvl w:val="0"/>
          <w:numId w:val="4"/>
        </w:numPr>
        <w:spacing w:after="40" w:line="240" w:lineRule="auto"/>
        <w:ind w:left="357" w:hanging="357"/>
        <w:jc w:val="both"/>
      </w:pPr>
      <w:r w:rsidRPr="00597B77">
        <w:t>Une note méthodologique présentant la démarche de mise en œuvre de l’accompagnement. Cette note comprendra particulièrement :</w:t>
      </w:r>
    </w:p>
    <w:p w14:paraId="5D72B9E5" w14:textId="419AC29B" w:rsidR="00597B77" w:rsidRPr="00597B77" w:rsidRDefault="00597B77" w:rsidP="002B5E08">
      <w:pPr>
        <w:widowControl w:val="0"/>
        <w:numPr>
          <w:ilvl w:val="0"/>
          <w:numId w:val="6"/>
        </w:numPr>
        <w:spacing w:after="40" w:line="240" w:lineRule="auto"/>
        <w:ind w:left="1037" w:hanging="357"/>
        <w:jc w:val="both"/>
      </w:pPr>
      <w:r w:rsidRPr="00597B77">
        <w:t xml:space="preserve">La description du rôle des différents acteurs du consortium et autres parties prenantes </w:t>
      </w:r>
      <w:r w:rsidR="00F70B1E">
        <w:t>(</w:t>
      </w:r>
      <w:r w:rsidR="00F70B1E" w:rsidRPr="00597B77">
        <w:t>services</w:t>
      </w:r>
      <w:r w:rsidR="00F70B1E">
        <w:t xml:space="preserve">, </w:t>
      </w:r>
      <w:r w:rsidR="00F70B1E" w:rsidRPr="00597B77">
        <w:t>structure organisationnelle</w:t>
      </w:r>
      <w:r w:rsidRPr="00597B77">
        <w:t>, etc.) ;</w:t>
      </w:r>
    </w:p>
    <w:p w14:paraId="1914ACB6" w14:textId="77777777" w:rsidR="00597B77" w:rsidRDefault="00597B77" w:rsidP="002B5E08">
      <w:pPr>
        <w:widowControl w:val="0"/>
        <w:numPr>
          <w:ilvl w:val="0"/>
          <w:numId w:val="6"/>
        </w:numPr>
        <w:spacing w:after="60" w:line="240" w:lineRule="auto"/>
        <w:ind w:left="1037" w:hanging="357"/>
        <w:jc w:val="both"/>
      </w:pPr>
      <w:r w:rsidRPr="00597B77">
        <w:t>Les moyens proposés pour la mise en œuvre de l’action (équipement, matériel et fournitures à acquérir ou à louer).</w:t>
      </w:r>
    </w:p>
    <w:p w14:paraId="07A640CC" w14:textId="3979B169" w:rsidR="00932DB4" w:rsidRPr="00597B77" w:rsidRDefault="00932DB4" w:rsidP="003D1CC2">
      <w:pPr>
        <w:keepNext/>
        <w:numPr>
          <w:ilvl w:val="0"/>
          <w:numId w:val="4"/>
        </w:numPr>
        <w:spacing w:after="40" w:line="240" w:lineRule="auto"/>
        <w:ind w:left="357" w:hanging="357"/>
        <w:jc w:val="both"/>
      </w:pPr>
      <w:r>
        <w:t>Le budget de l’action présenté selon modèle en annexe</w:t>
      </w:r>
      <w:r w:rsidR="00ED4C9B">
        <w:t xml:space="preserve"> 2</w:t>
      </w:r>
      <w:r w:rsidR="00442C3A">
        <w:t xml:space="preserve"> (</w:t>
      </w:r>
      <w:r w:rsidR="00442C3A" w:rsidRPr="00442C3A">
        <w:t>Il est à noter que l'annexe 2 contient un modèle à suivre pour l'élaboration du budget estimatif</w:t>
      </w:r>
      <w:r w:rsidR="00442C3A">
        <w:t>, l</w:t>
      </w:r>
      <w:r w:rsidR="00442C3A" w:rsidRPr="00442C3A">
        <w:t xml:space="preserve">es rubriques et sous-rubriques peuvent être modifiées par ajout, suppression ou modification. Le budget sera présenté en </w:t>
      </w:r>
      <w:r w:rsidR="00EE2A59">
        <w:t>dinars tunisiens,</w:t>
      </w:r>
      <w:r w:rsidR="00442C3A" w:rsidRPr="00442C3A">
        <w:t xml:space="preserve"> </w:t>
      </w:r>
      <w:r w:rsidR="00EE2A59" w:rsidRPr="00EE2A59">
        <w:t>Le montant global mis à disposition au titre du présent appel à propositions s'élève à 168.236 TND (l’équivalent à 50.000 EUR et selon le taux de chancellerie appliqué par l’OFII)</w:t>
      </w:r>
      <w:r w:rsidR="00442C3A">
        <w:t>, l</w:t>
      </w:r>
      <w:r w:rsidR="00442C3A" w:rsidRPr="00442C3A">
        <w:t xml:space="preserve">a ligne relative aux coûts indirects (7 %) correspondra à 7 % du total des coûts éligibles. Ces coûts couvriront les frais divers et pourront être présentés comme des montants dépensés, sans obligation de fournir des </w:t>
      </w:r>
      <w:r w:rsidR="00442C3A">
        <w:t>pièces justificatives</w:t>
      </w:r>
      <w:r w:rsidR="00442C3A" w:rsidRPr="00442C3A">
        <w:t>, sur simple déclaration</w:t>
      </w:r>
      <w:r w:rsidR="00442C3A">
        <w:t>)</w:t>
      </w:r>
    </w:p>
    <w:p w14:paraId="49328BEC" w14:textId="30AB285A" w:rsidR="00597B77" w:rsidRPr="00597B77" w:rsidRDefault="00597B77" w:rsidP="002B5E08">
      <w:pPr>
        <w:keepNext/>
        <w:numPr>
          <w:ilvl w:val="0"/>
          <w:numId w:val="4"/>
        </w:numPr>
        <w:spacing w:after="120" w:line="240" w:lineRule="auto"/>
        <w:jc w:val="both"/>
      </w:pPr>
      <w:r w:rsidRPr="00597B77">
        <w:t xml:space="preserve">Un calendrier </w:t>
      </w:r>
      <w:r w:rsidR="00F70B1E">
        <w:t>de l</w:t>
      </w:r>
      <w:r w:rsidRPr="00597B77">
        <w:t>’exécution de la mission.</w:t>
      </w:r>
    </w:p>
    <w:p w14:paraId="21A35CA3" w14:textId="77777777" w:rsidR="00597B77" w:rsidRDefault="00597B77" w:rsidP="002B5E08">
      <w:pPr>
        <w:spacing w:after="120" w:line="240" w:lineRule="auto"/>
        <w:jc w:val="both"/>
      </w:pPr>
      <w:r w:rsidRPr="00597B77">
        <w:t xml:space="preserve">Afin de garantir l'égalité de traitement des demandeurs, l'autorité contractante ne peut pas donner d’avis préalable sur l’éligibilité des demandeurs, d’une action ou d'activités spécifiques. </w:t>
      </w:r>
    </w:p>
    <w:p w14:paraId="313D6416" w14:textId="77777777" w:rsidR="00932DB4" w:rsidRPr="00597B77" w:rsidRDefault="00932DB4" w:rsidP="002B5E08">
      <w:pPr>
        <w:spacing w:after="120" w:line="240" w:lineRule="auto"/>
        <w:jc w:val="both"/>
      </w:pPr>
    </w:p>
    <w:p w14:paraId="2FFD58A5" w14:textId="77777777" w:rsidR="00597B77" w:rsidRPr="00597B77" w:rsidRDefault="00597B77" w:rsidP="00597B77">
      <w:pPr>
        <w:numPr>
          <w:ilvl w:val="0"/>
          <w:numId w:val="5"/>
        </w:numPr>
        <w:spacing w:after="120" w:line="240" w:lineRule="auto"/>
        <w:ind w:left="284" w:hanging="284"/>
        <w:contextualSpacing/>
        <w:rPr>
          <w:b/>
          <w:bCs/>
          <w:color w:val="05ADA0"/>
          <w:spacing w:val="20"/>
          <w:sz w:val="28"/>
          <w:szCs w:val="28"/>
        </w:rPr>
      </w:pPr>
      <w:r w:rsidRPr="00597B77">
        <w:rPr>
          <w:b/>
          <w:bCs/>
          <w:color w:val="05ADA0"/>
          <w:spacing w:val="20"/>
          <w:sz w:val="28"/>
          <w:szCs w:val="28"/>
        </w:rPr>
        <w:t>Notification de la décision de l’administration contractante</w:t>
      </w:r>
    </w:p>
    <w:p w14:paraId="253E6F9C" w14:textId="77777777" w:rsidR="00597B77" w:rsidRPr="00597B77" w:rsidRDefault="00597B77" w:rsidP="00597B77">
      <w:pPr>
        <w:spacing w:after="120" w:line="240" w:lineRule="auto"/>
        <w:jc w:val="both"/>
      </w:pPr>
      <w:r w:rsidRPr="00597B77">
        <w:t>Une phase de négociation est prévue après étude des demandes, afin de permettre aux soumissionnaires d’apporter un complément d’information ou de réviser certaines activités. Cette négociation n’est pas automatique et concernera éventuellement les demandeurs éligibles.</w:t>
      </w:r>
    </w:p>
    <w:p w14:paraId="674C79F4" w14:textId="77777777" w:rsidR="00597B77" w:rsidRPr="00597B77" w:rsidRDefault="00597B77" w:rsidP="00597B77">
      <w:pPr>
        <w:spacing w:after="120" w:line="240" w:lineRule="auto"/>
        <w:jc w:val="both"/>
      </w:pPr>
      <w:r w:rsidRPr="00597B77">
        <w:t xml:space="preserve">Le dossier qui obtiendra la meilleure note à l’issue de la phase de négociation sera retenu. </w:t>
      </w:r>
    </w:p>
    <w:p w14:paraId="7BEF6E03" w14:textId="79254D2E" w:rsidR="00597B77" w:rsidRPr="00597B77" w:rsidRDefault="00597B77" w:rsidP="00597B77">
      <w:pPr>
        <w:spacing w:after="120" w:line="240" w:lineRule="auto"/>
        <w:jc w:val="both"/>
      </w:pPr>
      <w:r w:rsidRPr="00597B77">
        <w:t xml:space="preserve">Les soumissionnaires seront avisés par </w:t>
      </w:r>
      <w:r w:rsidR="00F70B1E">
        <w:t>courriel</w:t>
      </w:r>
      <w:r w:rsidRPr="00597B77">
        <w:t xml:space="preserve"> de la décision prise par l'autorité contractante</w:t>
      </w:r>
      <w:r w:rsidR="00F70B1E">
        <w:t>.</w:t>
      </w:r>
    </w:p>
    <w:p w14:paraId="2B5C6A45" w14:textId="77777777" w:rsidR="00597B77" w:rsidRPr="00597B77" w:rsidRDefault="00597B77" w:rsidP="00597B77">
      <w:pPr>
        <w:keepNext/>
        <w:spacing w:after="120" w:line="240" w:lineRule="auto"/>
        <w:jc w:val="both"/>
        <w:rPr>
          <w:b/>
          <w:color w:val="05ADA0"/>
        </w:rPr>
      </w:pPr>
    </w:p>
    <w:p w14:paraId="1365923D" w14:textId="77777777" w:rsidR="00597B77" w:rsidRPr="00597B77" w:rsidRDefault="00597B77" w:rsidP="00597B77">
      <w:pPr>
        <w:keepNext/>
        <w:spacing w:after="120" w:line="240" w:lineRule="auto"/>
        <w:jc w:val="both"/>
        <w:rPr>
          <w:b/>
          <w:color w:val="05ADA0"/>
        </w:rPr>
      </w:pPr>
      <w:r w:rsidRPr="00597B77">
        <w:rPr>
          <w:b/>
          <w:color w:val="05ADA0"/>
        </w:rPr>
        <w:t>Calendrier :</w:t>
      </w:r>
    </w:p>
    <w:p w14:paraId="3AA7F857" w14:textId="77777777" w:rsidR="00597B77" w:rsidRPr="00597B77" w:rsidRDefault="00597B77" w:rsidP="00597B77">
      <w:pPr>
        <w:contextualSpacing/>
        <w:jc w:val="both"/>
        <w:outlineLvl w:val="1"/>
        <w:rPr>
          <w:b/>
          <w:sz w:val="21"/>
          <w:szCs w:val="21"/>
          <w:highlight w:val="yellow"/>
        </w:rPr>
      </w:pPr>
    </w:p>
    <w:tbl>
      <w:tblPr>
        <w:tblStyle w:val="Grilledutableau"/>
        <w:tblW w:w="0" w:type="auto"/>
        <w:tblLook w:val="04A0" w:firstRow="1" w:lastRow="0" w:firstColumn="1" w:lastColumn="0" w:noHBand="0" w:noVBand="1"/>
      </w:tblPr>
      <w:tblGrid>
        <w:gridCol w:w="4389"/>
        <w:gridCol w:w="3261"/>
        <w:gridCol w:w="1410"/>
      </w:tblGrid>
      <w:tr w:rsidR="00597B77" w:rsidRPr="00597B77" w14:paraId="356B0294" w14:textId="77777777" w:rsidTr="00A405C4">
        <w:trPr>
          <w:tblHeader/>
        </w:trPr>
        <w:tc>
          <w:tcPr>
            <w:tcW w:w="4389" w:type="dxa"/>
          </w:tcPr>
          <w:p w14:paraId="58EEF4B3" w14:textId="77777777" w:rsidR="00597B77" w:rsidRPr="00597B77" w:rsidRDefault="00597B77" w:rsidP="00597B77">
            <w:pPr>
              <w:spacing w:before="60" w:after="60"/>
              <w:jc w:val="both"/>
              <w:rPr>
                <w:b/>
                <w:highlight w:val="yellow"/>
              </w:rPr>
            </w:pPr>
          </w:p>
        </w:tc>
        <w:tc>
          <w:tcPr>
            <w:tcW w:w="3261" w:type="dxa"/>
          </w:tcPr>
          <w:p w14:paraId="622E61B9" w14:textId="77777777" w:rsidR="00597B77" w:rsidRPr="00597B77" w:rsidRDefault="00597B77" w:rsidP="00597B77">
            <w:pPr>
              <w:spacing w:before="60" w:after="60"/>
              <w:jc w:val="center"/>
            </w:pPr>
            <w:r w:rsidRPr="00597B77">
              <w:t>Date</w:t>
            </w:r>
          </w:p>
        </w:tc>
        <w:tc>
          <w:tcPr>
            <w:tcW w:w="1410" w:type="dxa"/>
          </w:tcPr>
          <w:p w14:paraId="2867E939" w14:textId="77777777" w:rsidR="00597B77" w:rsidRPr="00597B77" w:rsidRDefault="00597B77" w:rsidP="00597B77">
            <w:pPr>
              <w:spacing w:before="60" w:after="60"/>
              <w:jc w:val="center"/>
            </w:pPr>
            <w:r w:rsidRPr="00597B77">
              <w:t>Heure</w:t>
            </w:r>
          </w:p>
        </w:tc>
      </w:tr>
      <w:tr w:rsidR="00597B77" w:rsidRPr="00597B77" w14:paraId="309CD42A" w14:textId="77777777" w:rsidTr="00A405C4">
        <w:tc>
          <w:tcPr>
            <w:tcW w:w="4389" w:type="dxa"/>
            <w:shd w:val="clear" w:color="auto" w:fill="D9E2F3" w:themeFill="accent1" w:themeFillTint="33"/>
          </w:tcPr>
          <w:p w14:paraId="28784D51" w14:textId="77777777" w:rsidR="00597B77" w:rsidRPr="00597B77" w:rsidRDefault="00597B77" w:rsidP="00597B77">
            <w:pPr>
              <w:spacing w:before="60" w:after="60"/>
              <w:jc w:val="both"/>
            </w:pPr>
            <w:r w:rsidRPr="00597B77">
              <w:t xml:space="preserve">Date limite de soumission des candidatures  </w:t>
            </w:r>
          </w:p>
        </w:tc>
        <w:tc>
          <w:tcPr>
            <w:tcW w:w="3261" w:type="dxa"/>
            <w:shd w:val="clear" w:color="auto" w:fill="D9E2F3" w:themeFill="accent1" w:themeFillTint="33"/>
          </w:tcPr>
          <w:p w14:paraId="2A3AE8A1" w14:textId="59E03CE0" w:rsidR="00597B77" w:rsidRPr="00597B77" w:rsidRDefault="003B76A4" w:rsidP="00597B77">
            <w:pPr>
              <w:spacing w:before="60" w:after="60"/>
              <w:jc w:val="center"/>
              <w:rPr>
                <w:b/>
              </w:rPr>
            </w:pPr>
            <w:r>
              <w:rPr>
                <w:b/>
              </w:rPr>
              <w:t>25</w:t>
            </w:r>
            <w:r w:rsidR="00597B77" w:rsidRPr="00660E75">
              <w:rPr>
                <w:b/>
              </w:rPr>
              <w:t>/</w:t>
            </w:r>
            <w:r w:rsidR="00AF1A4C">
              <w:rPr>
                <w:b/>
              </w:rPr>
              <w:t>09</w:t>
            </w:r>
            <w:r w:rsidR="00597B77" w:rsidRPr="00660E75">
              <w:rPr>
                <w:b/>
              </w:rPr>
              <w:t>/</w:t>
            </w:r>
            <w:r w:rsidR="00B127A5">
              <w:rPr>
                <w:b/>
              </w:rPr>
              <w:t>2024</w:t>
            </w:r>
          </w:p>
        </w:tc>
        <w:tc>
          <w:tcPr>
            <w:tcW w:w="1410" w:type="dxa"/>
            <w:shd w:val="clear" w:color="auto" w:fill="D9E2F3" w:themeFill="accent1" w:themeFillTint="33"/>
          </w:tcPr>
          <w:p w14:paraId="30FB37EA" w14:textId="213F2EDC" w:rsidR="00597B77" w:rsidRPr="00597B77" w:rsidRDefault="00660E75" w:rsidP="00597B77">
            <w:pPr>
              <w:spacing w:before="60" w:after="60"/>
              <w:jc w:val="center"/>
              <w:rPr>
                <w:b/>
              </w:rPr>
            </w:pPr>
            <w:r>
              <w:rPr>
                <w:b/>
              </w:rPr>
              <w:t>Minuit</w:t>
            </w:r>
          </w:p>
        </w:tc>
      </w:tr>
      <w:tr w:rsidR="00597B77" w:rsidRPr="00597B77" w14:paraId="543FB8C6" w14:textId="77777777" w:rsidTr="00A405C4">
        <w:tc>
          <w:tcPr>
            <w:tcW w:w="4389" w:type="dxa"/>
          </w:tcPr>
          <w:p w14:paraId="0B842607" w14:textId="0A32D9BA" w:rsidR="00597B77" w:rsidRPr="00597B77" w:rsidRDefault="00597B77" w:rsidP="00597B77">
            <w:pPr>
              <w:spacing w:before="60" w:after="60"/>
              <w:jc w:val="both"/>
            </w:pPr>
            <w:r w:rsidRPr="00597B77">
              <w:t>Notification de l’éligibilité et éventuelle phase de négociation</w:t>
            </w:r>
          </w:p>
        </w:tc>
        <w:tc>
          <w:tcPr>
            <w:tcW w:w="3261" w:type="dxa"/>
          </w:tcPr>
          <w:p w14:paraId="67B39B0E" w14:textId="19F26B4D" w:rsidR="00597B77" w:rsidRPr="00660E75" w:rsidRDefault="00AF1A4C" w:rsidP="00597B77">
            <w:pPr>
              <w:spacing w:before="60" w:after="60"/>
              <w:jc w:val="center"/>
              <w:rPr>
                <w:b/>
              </w:rPr>
            </w:pPr>
            <w:r>
              <w:rPr>
                <w:b/>
              </w:rPr>
              <w:t>Fin de la semaine du</w:t>
            </w:r>
            <w:r w:rsidR="00660E75" w:rsidRPr="00660E75">
              <w:rPr>
                <w:b/>
              </w:rPr>
              <w:t xml:space="preserve"> </w:t>
            </w:r>
            <w:r>
              <w:rPr>
                <w:b/>
              </w:rPr>
              <w:t>23</w:t>
            </w:r>
            <w:r w:rsidR="00597B77" w:rsidRPr="00660E75">
              <w:rPr>
                <w:b/>
              </w:rPr>
              <w:t>/</w:t>
            </w:r>
            <w:r>
              <w:rPr>
                <w:b/>
              </w:rPr>
              <w:t>09</w:t>
            </w:r>
            <w:r w:rsidR="00597B77" w:rsidRPr="00660E75">
              <w:rPr>
                <w:b/>
              </w:rPr>
              <w:t>/</w:t>
            </w:r>
            <w:r w:rsidR="00B127A5">
              <w:rPr>
                <w:b/>
              </w:rPr>
              <w:t>2024</w:t>
            </w:r>
          </w:p>
        </w:tc>
        <w:tc>
          <w:tcPr>
            <w:tcW w:w="1410" w:type="dxa"/>
          </w:tcPr>
          <w:p w14:paraId="705050FC" w14:textId="040B24D8" w:rsidR="00597B77" w:rsidRPr="00597B77" w:rsidRDefault="00597B77" w:rsidP="00597B77">
            <w:pPr>
              <w:spacing w:before="60" w:after="60"/>
              <w:jc w:val="center"/>
              <w:rPr>
                <w:b/>
              </w:rPr>
            </w:pPr>
          </w:p>
        </w:tc>
      </w:tr>
    </w:tbl>
    <w:p w14:paraId="1F46BECF" w14:textId="77777777" w:rsidR="00597B77" w:rsidRPr="00597B77" w:rsidRDefault="00597B77" w:rsidP="00597B77">
      <w:pPr>
        <w:jc w:val="both"/>
        <w:rPr>
          <w:b/>
          <w:sz w:val="21"/>
          <w:szCs w:val="21"/>
        </w:rPr>
      </w:pPr>
    </w:p>
    <w:p w14:paraId="7812C14B" w14:textId="77777777" w:rsidR="00597B77" w:rsidRPr="00597B77" w:rsidRDefault="00597B77" w:rsidP="00597B77">
      <w:pPr>
        <w:keepNext/>
        <w:spacing w:after="120" w:line="240" w:lineRule="auto"/>
        <w:jc w:val="both"/>
        <w:rPr>
          <w:rFonts w:ascii="Calibri" w:hAnsi="Calibri"/>
          <w:b/>
          <w:color w:val="05ADA0"/>
          <w:sz w:val="28"/>
          <w:szCs w:val="28"/>
        </w:rPr>
      </w:pPr>
      <w:r w:rsidRPr="00597B77">
        <w:t>À la suite de la décision d’attribution d’une subvention, le(s) bénéficiaire(s) se verront proposer un contrat basé sur le modèle de contrat de subvention de l'autorité contractante, pour un démarrage des activités dans un délai maximum d’un mois à compter de la signature du contrat.</w:t>
      </w:r>
    </w:p>
    <w:p w14:paraId="2B0575F5" w14:textId="74520EEB" w:rsidR="00597B77" w:rsidRPr="00597B77" w:rsidRDefault="00597B77" w:rsidP="002B5E08">
      <w:pPr>
        <w:numPr>
          <w:ilvl w:val="0"/>
          <w:numId w:val="5"/>
        </w:numPr>
        <w:spacing w:after="120" w:line="240" w:lineRule="auto"/>
        <w:ind w:left="567"/>
        <w:contextualSpacing/>
        <w:rPr>
          <w:rFonts w:ascii="Calibri" w:hAnsi="Calibri"/>
          <w:b/>
          <w:color w:val="05ADA0"/>
          <w:sz w:val="28"/>
          <w:szCs w:val="28"/>
        </w:rPr>
      </w:pPr>
      <w:r w:rsidRPr="00597B77">
        <w:rPr>
          <w:rFonts w:ascii="Calibri" w:hAnsi="Calibri"/>
          <w:b/>
          <w:color w:val="05ADA0"/>
          <w:sz w:val="28"/>
          <w:szCs w:val="28"/>
        </w:rPr>
        <w:t>V</w:t>
      </w:r>
      <w:r w:rsidR="002B5E08">
        <w:rPr>
          <w:rFonts w:ascii="Calibri" w:hAnsi="Calibri"/>
          <w:b/>
          <w:color w:val="05ADA0"/>
          <w:sz w:val="28"/>
          <w:szCs w:val="28"/>
        </w:rPr>
        <w:t>isibilité</w:t>
      </w:r>
    </w:p>
    <w:p w14:paraId="0B8AF3F4" w14:textId="77777777" w:rsidR="00597B77" w:rsidRPr="00597B77" w:rsidRDefault="00597B77" w:rsidP="00597B77">
      <w:pPr>
        <w:spacing w:after="120"/>
        <w:jc w:val="both"/>
      </w:pPr>
      <w:r w:rsidRPr="00597B77">
        <w:t xml:space="preserve">Les demandeurs doivent prendre toutes les mesures nécessaires pour assurer la visibilité du financement par l’Union européenne ainsi que la visibilité de l’administration contractante (l’OFII), et celle du programme THAMM. </w:t>
      </w:r>
    </w:p>
    <w:p w14:paraId="6CBD87BE" w14:textId="77777777" w:rsidR="00597B77" w:rsidRPr="00597B77" w:rsidRDefault="00597B77" w:rsidP="00597B77">
      <w:pPr>
        <w:spacing w:after="120"/>
        <w:jc w:val="both"/>
      </w:pPr>
      <w:r w:rsidRPr="00597B77">
        <w:lastRenderedPageBreak/>
        <w:t xml:space="preserve">Les demandeurs doivent se référer aux règles de communication et de visibilité pour les actions extérieures de l'UE fixées par la Commission européenne, qui peuvent être consultées à l'adresse suivante : </w:t>
      </w:r>
      <w:hyperlink r:id="rId17" w:history="1">
        <w:r w:rsidRPr="00597B77">
          <w:rPr>
            <w:color w:val="0563C1" w:themeColor="hyperlink"/>
            <w:u w:val="single"/>
          </w:rPr>
          <w:t>https://ec.europa.eu/info/funding-tenders/managing-your-project/communicating-and-raising-eu-visibility_fr</w:t>
        </w:r>
      </w:hyperlink>
      <w:r w:rsidRPr="00597B77">
        <w:t xml:space="preserve">. </w:t>
      </w:r>
    </w:p>
    <w:p w14:paraId="209A6F37" w14:textId="77777777" w:rsidR="00BB7EE6" w:rsidRDefault="00BB7EE6">
      <w:pPr>
        <w:sectPr w:rsidR="00BB7EE6" w:rsidSect="006540CB">
          <w:footerReference w:type="default" r:id="rId18"/>
          <w:type w:val="continuous"/>
          <w:pgSz w:w="11906" w:h="16838"/>
          <w:pgMar w:top="1134" w:right="1418" w:bottom="993" w:left="1418" w:header="709" w:footer="709" w:gutter="0"/>
          <w:pgNumType w:start="2"/>
          <w:cols w:space="708"/>
          <w:docGrid w:linePitch="360"/>
        </w:sectPr>
      </w:pPr>
    </w:p>
    <w:p w14:paraId="3E0D7564" w14:textId="5FA948E0" w:rsidR="00053C8F" w:rsidRDefault="00053C8F"/>
    <w:p w14:paraId="7AF70674" w14:textId="77777777" w:rsidR="00BB7EE6" w:rsidRDefault="00BB7EE6" w:rsidP="00BB7EE6">
      <w:pPr>
        <w:jc w:val="center"/>
        <w:rPr>
          <w:b/>
          <w:bCs/>
          <w:sz w:val="48"/>
          <w:szCs w:val="48"/>
        </w:rPr>
      </w:pPr>
    </w:p>
    <w:p w14:paraId="3FC2E2F2" w14:textId="3A912AF7" w:rsidR="00BB7EE6" w:rsidRPr="00BB7EE6" w:rsidRDefault="00BB7EE6" w:rsidP="00BB7EE6">
      <w:pPr>
        <w:jc w:val="center"/>
      </w:pPr>
      <w:r w:rsidRPr="00BB7EE6">
        <w:rPr>
          <w:b/>
          <w:bCs/>
          <w:sz w:val="48"/>
          <w:szCs w:val="48"/>
        </w:rPr>
        <w:t>Annexe</w:t>
      </w:r>
      <w:r w:rsidR="00AF1A4C">
        <w:rPr>
          <w:b/>
          <w:bCs/>
          <w:sz w:val="48"/>
          <w:szCs w:val="48"/>
        </w:rPr>
        <w:t>s</w:t>
      </w:r>
    </w:p>
    <w:p w14:paraId="543863C7" w14:textId="77777777" w:rsidR="00BB7EE6" w:rsidRPr="00BB7EE6" w:rsidRDefault="00BB7EE6" w:rsidP="00BB7EE6"/>
    <w:p w14:paraId="6E267922" w14:textId="77777777" w:rsidR="00BB7EE6" w:rsidRPr="00BB7EE6" w:rsidRDefault="00BB7EE6" w:rsidP="00BB7EE6"/>
    <w:p w14:paraId="479017C8" w14:textId="77777777" w:rsidR="00BB7EE6" w:rsidRPr="00BB7EE6" w:rsidRDefault="00BB7EE6" w:rsidP="00BB7EE6"/>
    <w:p w14:paraId="113EB88F" w14:textId="77777777" w:rsidR="00BB7EE6" w:rsidRPr="00BB7EE6" w:rsidRDefault="00BB7EE6" w:rsidP="00BB7EE6"/>
    <w:p w14:paraId="288DD01D" w14:textId="77777777" w:rsidR="00BB7EE6" w:rsidRPr="00BB7EE6" w:rsidRDefault="00BB7EE6" w:rsidP="00BB7EE6"/>
    <w:p w14:paraId="370DB5CA" w14:textId="77777777" w:rsidR="00BB7EE6" w:rsidRPr="00BB7EE6" w:rsidRDefault="00BB7EE6" w:rsidP="00BB7EE6"/>
    <w:p w14:paraId="43C37C1F" w14:textId="77777777" w:rsidR="00BB7EE6" w:rsidRPr="00BB7EE6" w:rsidRDefault="00BB7EE6" w:rsidP="00BB7EE6"/>
    <w:p w14:paraId="1300C51F" w14:textId="77777777" w:rsidR="00BB7EE6" w:rsidRPr="00BB7EE6" w:rsidRDefault="00BB7EE6" w:rsidP="00BB7EE6"/>
    <w:p w14:paraId="7E26EB95" w14:textId="77777777" w:rsidR="00BB7EE6" w:rsidRPr="00BB7EE6" w:rsidRDefault="00BB7EE6" w:rsidP="00BB7EE6"/>
    <w:p w14:paraId="54128300" w14:textId="77777777" w:rsidR="00BB7EE6" w:rsidRPr="00BB7EE6" w:rsidRDefault="00BB7EE6" w:rsidP="00BB7EE6"/>
    <w:p w14:paraId="4555AB59" w14:textId="77777777" w:rsidR="00BB7EE6" w:rsidRPr="00BB7EE6" w:rsidRDefault="00BB7EE6" w:rsidP="00BB7EE6"/>
    <w:p w14:paraId="1DA8E098" w14:textId="77777777" w:rsidR="00BB7EE6" w:rsidRPr="00BB7EE6" w:rsidRDefault="00BB7EE6" w:rsidP="00BB7EE6"/>
    <w:p w14:paraId="56043A76" w14:textId="77777777" w:rsidR="00BB7EE6" w:rsidRPr="00BB7EE6" w:rsidRDefault="00BB7EE6" w:rsidP="00BB7EE6"/>
    <w:p w14:paraId="6E5043DE" w14:textId="77777777" w:rsidR="00BB7EE6" w:rsidRPr="00BB7EE6" w:rsidRDefault="00BB7EE6" w:rsidP="00BB7EE6"/>
    <w:p w14:paraId="334DDA6D" w14:textId="77777777" w:rsidR="00BB7EE6" w:rsidRPr="00BB7EE6" w:rsidRDefault="00BB7EE6" w:rsidP="00BB7EE6"/>
    <w:p w14:paraId="32EBEA0A" w14:textId="77777777" w:rsidR="00BB7EE6" w:rsidRPr="00BB7EE6" w:rsidRDefault="00BB7EE6" w:rsidP="00BB7EE6"/>
    <w:p w14:paraId="4D17E7AC" w14:textId="77777777" w:rsidR="00BB7EE6" w:rsidRPr="00BB7EE6" w:rsidRDefault="00BB7EE6" w:rsidP="00BB7EE6"/>
    <w:p w14:paraId="3B36550E" w14:textId="77777777" w:rsidR="00BB7EE6" w:rsidRPr="00BB7EE6" w:rsidRDefault="00BB7EE6" w:rsidP="00BB7EE6">
      <w:pPr>
        <w:jc w:val="right"/>
      </w:pPr>
    </w:p>
    <w:p w14:paraId="2E2D4EAD" w14:textId="77777777" w:rsidR="00BB7EE6" w:rsidRPr="00BB7EE6" w:rsidRDefault="00BB7EE6" w:rsidP="00BB7EE6"/>
    <w:p w14:paraId="171AD0D6" w14:textId="2E69DC18" w:rsidR="00BB7EE6" w:rsidRPr="00BB7EE6" w:rsidRDefault="00BB7EE6" w:rsidP="00BB7EE6">
      <w:pPr>
        <w:sectPr w:rsidR="00BB7EE6" w:rsidRPr="00BB7EE6" w:rsidSect="00235FFD">
          <w:footerReference w:type="default" r:id="rId19"/>
          <w:pgSz w:w="11906" w:h="16838"/>
          <w:pgMar w:top="1134" w:right="1418" w:bottom="993" w:left="1418" w:header="709" w:footer="709" w:gutter="0"/>
          <w:cols w:space="708"/>
          <w:docGrid w:linePitch="360"/>
        </w:sectPr>
      </w:pPr>
    </w:p>
    <w:p w14:paraId="3A98F983" w14:textId="77777777" w:rsidR="00A62D0A" w:rsidRPr="00A62D0A" w:rsidRDefault="00A62D0A" w:rsidP="00A62D0A">
      <w:r w:rsidRPr="00A62D0A">
        <w:rPr>
          <w:rFonts w:ascii="Times New Roman"/>
          <w:noProof/>
          <w:sz w:val="25"/>
          <w:lang w:eastAsia="fr-FR"/>
        </w:rPr>
        <w:lastRenderedPageBreak/>
        <mc:AlternateContent>
          <mc:Choice Requires="wps">
            <w:drawing>
              <wp:anchor distT="45720" distB="45720" distL="114300" distR="114300" simplePos="0" relativeHeight="251660288" behindDoc="0" locked="0" layoutInCell="1" allowOverlap="1" wp14:anchorId="275EDAC0" wp14:editId="7CFAB8B6">
                <wp:simplePos x="0" y="0"/>
                <wp:positionH relativeFrom="column">
                  <wp:posOffset>8096250</wp:posOffset>
                </wp:positionH>
                <wp:positionV relativeFrom="paragraph">
                  <wp:posOffset>528320</wp:posOffset>
                </wp:positionV>
                <wp:extent cx="755650" cy="355600"/>
                <wp:effectExtent l="0" t="0" r="635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55600"/>
                        </a:xfrm>
                        <a:prstGeom prst="rect">
                          <a:avLst/>
                        </a:prstGeom>
                        <a:solidFill>
                          <a:srgbClr val="FFFFFF"/>
                        </a:solidFill>
                        <a:ln w="9525">
                          <a:noFill/>
                          <a:miter lim="800000"/>
                          <a:headEnd/>
                          <a:tailEnd/>
                        </a:ln>
                      </wps:spPr>
                      <wps:txbx>
                        <w:txbxContent>
                          <w:p w14:paraId="2B60350C" w14:textId="77777777" w:rsidR="00A62D0A" w:rsidRDefault="00A62D0A" w:rsidP="00A62D0A">
                            <w:r>
                              <w:rPr>
                                <w:sz w:val="14"/>
                                <w:szCs w:val="14"/>
                              </w:rPr>
                              <w:t>Opérateur de mise en œuvre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275EDAC0" id="_x0000_t202" coordsize="21600,21600" o:spt="202" path="m,l,21600r21600,l21600,xe">
                <v:stroke joinstyle="miter"/>
                <v:path gradientshapeok="t" o:connecttype="rect"/>
              </v:shapetype>
              <v:shape id="Zone de texte 2" o:spid="_x0000_s1026" type="#_x0000_t202" style="position:absolute;margin-left:637.5pt;margin-top:41.6pt;width:59.5pt;height: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" stroked="f">
                <v:textbox>
                  <w:txbxContent>
                    <w:p w14:paraId="2B60350C" w14:textId="77777777" w:rsidR="00A62D0A" w:rsidRDefault="00A62D0A" w:rsidP="00A62D0A">
                      <w:r>
                        <w:rPr>
                          <w:sz w:val="14"/>
                          <w:szCs w:val="14"/>
                        </w:rPr>
                        <w:t>Opérateur de mise en œuvre</w:t>
                      </w:r>
                    </w:p>
                  </w:txbxContent>
                </v:textbox>
                <w10:wrap type="square"/>
              </v:shape>
            </w:pict>
          </mc:Fallback>
        </mc:AlternateContent>
      </w:r>
      <w:r w:rsidRPr="00A62D0A">
        <w:rPr>
          <w:rFonts w:ascii="Times New Roman"/>
          <w:noProof/>
          <w:sz w:val="25"/>
          <w:lang w:eastAsia="fr-FR"/>
        </w:rPr>
        <mc:AlternateContent>
          <mc:Choice Requires="wps">
            <w:drawing>
              <wp:anchor distT="45720" distB="45720" distL="114300" distR="114300" simplePos="0" relativeHeight="251659264" behindDoc="0" locked="0" layoutInCell="1" allowOverlap="1" wp14:anchorId="398D0A77" wp14:editId="72D743E1">
                <wp:simplePos x="0" y="0"/>
                <wp:positionH relativeFrom="column">
                  <wp:posOffset>-44450</wp:posOffset>
                </wp:positionH>
                <wp:positionV relativeFrom="paragraph">
                  <wp:posOffset>572770</wp:posOffset>
                </wp:positionV>
                <wp:extent cx="762000" cy="42545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25450"/>
                        </a:xfrm>
                        <a:prstGeom prst="rect">
                          <a:avLst/>
                        </a:prstGeom>
                        <a:solidFill>
                          <a:srgbClr val="FFFFFF"/>
                        </a:solidFill>
                        <a:ln w="9525">
                          <a:noFill/>
                          <a:miter lim="800000"/>
                          <a:headEnd/>
                          <a:tailEnd/>
                        </a:ln>
                      </wps:spPr>
                      <wps:txbx>
                        <w:txbxContent>
                          <w:p w14:paraId="24DFD91D" w14:textId="77777777" w:rsidR="00A62D0A" w:rsidRDefault="00A62D0A" w:rsidP="00A62D0A">
                            <w:r w:rsidRPr="002F3FFD">
                              <w:rPr>
                                <w:sz w:val="14"/>
                                <w:szCs w:val="14"/>
                              </w:rPr>
                              <w:t>Projet financé par</w:t>
                            </w:r>
                            <w:r>
                              <w:rPr>
                                <w:sz w:val="14"/>
                                <w:szCs w:val="14"/>
                              </w:rPr>
                              <w:t xml:space="preserve"> </w:t>
                            </w:r>
                            <w:r w:rsidRPr="002F3FFD">
                              <w:rPr>
                                <w:sz w:val="14"/>
                                <w:szCs w:val="14"/>
                              </w:rPr>
                              <w:t>l’Union européenne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98D0A77" id="_x0000_s1027" type="#_x0000_t202" style="position:absolute;margin-left:-3.5pt;margin-top:45.1pt;width:60pt;height: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" stroked="f">
                <v:textbox>
                  <w:txbxContent>
                    <w:p w14:paraId="24DFD91D" w14:textId="77777777" w:rsidR="00A62D0A" w:rsidRDefault="00A62D0A" w:rsidP="00A62D0A">
                      <w:r w:rsidRPr="002F3FFD">
                        <w:rPr>
                          <w:sz w:val="14"/>
                          <w:szCs w:val="14"/>
                        </w:rPr>
                        <w:t>Projet financé par</w:t>
                      </w:r>
                      <w:r>
                        <w:rPr>
                          <w:sz w:val="14"/>
                          <w:szCs w:val="14"/>
                        </w:rPr>
                        <w:t xml:space="preserve"> </w:t>
                      </w:r>
                      <w:r w:rsidRPr="002F3FFD">
                        <w:rPr>
                          <w:sz w:val="14"/>
                          <w:szCs w:val="14"/>
                        </w:rPr>
                        <w:t>l’Union européenne</w:t>
                      </w:r>
                    </w:p>
                  </w:txbxContent>
                </v:textbox>
                <w10:wrap type="square"/>
              </v:shape>
            </w:pict>
          </mc:Fallback>
        </mc:AlternateContent>
      </w:r>
      <w:r w:rsidRPr="00A62D0A">
        <w:rPr>
          <w:noProof/>
          <w:sz w:val="16"/>
          <w:szCs w:val="16"/>
          <w:lang w:eastAsia="fr-FR"/>
        </w:rPr>
        <w:drawing>
          <wp:inline distT="0" distB="0" distL="0" distR="0" wp14:anchorId="475407F9" wp14:editId="75F916AF">
            <wp:extent cx="741526" cy="432079"/>
            <wp:effectExtent l="0" t="0" r="1905"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r w:rsidRPr="00A62D0A">
        <w:t xml:space="preserve">                                                                                                                                                                                                                                         </w:t>
      </w:r>
      <w:r w:rsidRPr="00A62D0A">
        <w:rPr>
          <w:noProof/>
          <w:sz w:val="16"/>
          <w:szCs w:val="16"/>
          <w:lang w:eastAsia="fr-FR"/>
        </w:rPr>
        <w:drawing>
          <wp:inline distT="0" distB="0" distL="0" distR="0" wp14:anchorId="311C7D02" wp14:editId="2CF47F62">
            <wp:extent cx="609600" cy="46609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691" cy="468453"/>
                    </a:xfrm>
                    <a:prstGeom prst="rect">
                      <a:avLst/>
                    </a:prstGeom>
                  </pic:spPr>
                </pic:pic>
              </a:graphicData>
            </a:graphic>
          </wp:inline>
        </w:drawing>
      </w:r>
    </w:p>
    <w:p w14:paraId="19A8F77A" w14:textId="77777777" w:rsidR="00A62D0A" w:rsidRPr="00A62D0A" w:rsidRDefault="00A62D0A" w:rsidP="00A62D0A">
      <w:pPr>
        <w:tabs>
          <w:tab w:val="left" w:pos="13372"/>
        </w:tabs>
        <w:spacing w:before="52"/>
      </w:pPr>
    </w:p>
    <w:p w14:paraId="022AB17B" w14:textId="77777777" w:rsidR="00A62D0A" w:rsidRPr="00A62D0A" w:rsidRDefault="00A62D0A" w:rsidP="00A62D0A">
      <w:pPr>
        <w:tabs>
          <w:tab w:val="left" w:pos="13372"/>
        </w:tabs>
        <w:spacing w:before="52"/>
      </w:pPr>
    </w:p>
    <w:p w14:paraId="3AE76AF7" w14:textId="77777777" w:rsidR="00A62D0A" w:rsidRPr="00A62D0A" w:rsidRDefault="00A62D0A" w:rsidP="00A62D0A">
      <w:pPr>
        <w:tabs>
          <w:tab w:val="left" w:pos="13372"/>
        </w:tabs>
        <w:spacing w:before="52"/>
        <w:rPr>
          <w:b/>
          <w:sz w:val="24"/>
        </w:rPr>
      </w:pPr>
      <w:r w:rsidRPr="00A62D0A">
        <w:rPr>
          <w:noProof/>
          <w:lang w:eastAsia="fr-FR"/>
        </w:rPr>
        <mc:AlternateContent>
          <mc:Choice Requires="wps">
            <w:drawing>
              <wp:anchor distT="0" distB="0" distL="114300" distR="114300" simplePos="0" relativeHeight="251661312" behindDoc="0" locked="0" layoutInCell="1" allowOverlap="1" wp14:anchorId="3AC79B48" wp14:editId="169CFA57">
                <wp:simplePos x="0" y="0"/>
                <wp:positionH relativeFrom="page">
                  <wp:posOffset>900430</wp:posOffset>
                </wp:positionH>
                <wp:positionV relativeFrom="paragraph">
                  <wp:posOffset>194945</wp:posOffset>
                </wp:positionV>
                <wp:extent cx="8892540" cy="10795"/>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25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29F3027B" id="Rectangle 5" o:spid="_x0000_s1026" style="position:absolute;margin-left:70.9pt;margin-top:15.35pt;width:700.2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" fillcolor="black" stroked="f">
                <w10:wrap anchorx="page"/>
              </v:rect>
            </w:pict>
          </mc:Fallback>
        </mc:AlternateContent>
      </w:r>
      <w:r w:rsidRPr="00A62D0A">
        <w:rPr>
          <w:b/>
          <w:sz w:val="24"/>
        </w:rPr>
        <w:t xml:space="preserve">     C</w:t>
      </w:r>
      <w:r w:rsidRPr="00A62D0A">
        <w:rPr>
          <w:b/>
          <w:sz w:val="19"/>
        </w:rPr>
        <w:t>ADRE</w:t>
      </w:r>
      <w:r w:rsidRPr="00A62D0A">
        <w:rPr>
          <w:b/>
          <w:spacing w:val="-2"/>
          <w:sz w:val="19"/>
        </w:rPr>
        <w:t xml:space="preserve"> </w:t>
      </w:r>
      <w:r w:rsidRPr="00A62D0A">
        <w:rPr>
          <w:b/>
          <w:sz w:val="19"/>
        </w:rPr>
        <w:t xml:space="preserve">LOGIQUE                                                                                                                                                                                                                                                                                 </w:t>
      </w:r>
      <w:r w:rsidRPr="00A62D0A">
        <w:rPr>
          <w:b/>
          <w:sz w:val="24"/>
        </w:rPr>
        <w:t>A</w:t>
      </w:r>
      <w:r w:rsidRPr="00A62D0A">
        <w:rPr>
          <w:b/>
          <w:sz w:val="19"/>
        </w:rPr>
        <w:t>NNEXE</w:t>
      </w:r>
      <w:r w:rsidRPr="00A62D0A">
        <w:rPr>
          <w:b/>
          <w:spacing w:val="-1"/>
          <w:sz w:val="19"/>
        </w:rPr>
        <w:t xml:space="preserve"> </w:t>
      </w:r>
      <w:r w:rsidRPr="00A62D0A">
        <w:rPr>
          <w:b/>
          <w:sz w:val="24"/>
        </w:rPr>
        <w:t>01</w:t>
      </w:r>
    </w:p>
    <w:p w14:paraId="5AFF50CF" w14:textId="77777777" w:rsidR="00A62D0A" w:rsidRPr="00A62D0A" w:rsidRDefault="00A62D0A" w:rsidP="00A62D0A">
      <w:pPr>
        <w:widowControl w:val="0"/>
        <w:autoSpaceDE w:val="0"/>
        <w:autoSpaceDN w:val="0"/>
        <w:spacing w:before="56" w:after="0" w:line="240" w:lineRule="auto"/>
        <w:ind w:left="5402" w:right="5420"/>
        <w:jc w:val="center"/>
        <w:rPr>
          <w:rFonts w:ascii="Calibri" w:eastAsia="Calibri" w:hAnsi="Calibri" w:cs="Calibri"/>
          <w:b/>
          <w:bCs/>
        </w:rPr>
      </w:pPr>
      <w:r w:rsidRPr="00A62D0A">
        <w:rPr>
          <w:rFonts w:ascii="Calibri" w:eastAsia="Calibri" w:hAnsi="Calibri" w:cs="Calibri"/>
          <w:b/>
          <w:bCs/>
        </w:rPr>
        <w:t>ANNEXE</w:t>
      </w:r>
      <w:r w:rsidRPr="00A62D0A">
        <w:rPr>
          <w:rFonts w:ascii="Calibri" w:eastAsia="Calibri" w:hAnsi="Calibri" w:cs="Calibri"/>
          <w:b/>
          <w:bCs/>
          <w:spacing w:val="-3"/>
        </w:rPr>
        <w:t xml:space="preserve"> </w:t>
      </w:r>
      <w:r w:rsidRPr="00A62D0A">
        <w:rPr>
          <w:rFonts w:ascii="Calibri" w:eastAsia="Calibri" w:hAnsi="Calibri" w:cs="Calibri"/>
          <w:b/>
          <w:bCs/>
        </w:rPr>
        <w:t>1 -</w:t>
      </w:r>
      <w:r w:rsidRPr="00A62D0A">
        <w:rPr>
          <w:rFonts w:ascii="Calibri" w:eastAsia="Calibri" w:hAnsi="Calibri" w:cs="Calibri"/>
          <w:b/>
          <w:bCs/>
          <w:spacing w:val="-4"/>
        </w:rPr>
        <w:t xml:space="preserve"> </w:t>
      </w:r>
      <w:r w:rsidRPr="00A62D0A">
        <w:rPr>
          <w:rFonts w:ascii="Calibri" w:eastAsia="Calibri" w:hAnsi="Calibri" w:cs="Calibri"/>
          <w:b/>
          <w:bCs/>
        </w:rPr>
        <w:t>CADRE</w:t>
      </w:r>
      <w:r w:rsidRPr="00A62D0A">
        <w:rPr>
          <w:rFonts w:ascii="Calibri" w:eastAsia="Calibri" w:hAnsi="Calibri" w:cs="Calibri"/>
          <w:b/>
          <w:bCs/>
          <w:spacing w:val="-1"/>
        </w:rPr>
        <w:t xml:space="preserve"> </w:t>
      </w:r>
      <w:r w:rsidRPr="00A62D0A">
        <w:rPr>
          <w:rFonts w:ascii="Calibri" w:eastAsia="Calibri" w:hAnsi="Calibri" w:cs="Calibri"/>
          <w:b/>
          <w:bCs/>
        </w:rPr>
        <w:t>LOGIQUE DU</w:t>
      </w:r>
      <w:r w:rsidRPr="00A62D0A">
        <w:rPr>
          <w:rFonts w:ascii="Calibri" w:eastAsia="Calibri" w:hAnsi="Calibri" w:cs="Calibri"/>
          <w:b/>
          <w:bCs/>
          <w:spacing w:val="-1"/>
        </w:rPr>
        <w:t xml:space="preserve"> </w:t>
      </w:r>
      <w:r w:rsidRPr="00A62D0A">
        <w:rPr>
          <w:rFonts w:ascii="Calibri" w:eastAsia="Calibri" w:hAnsi="Calibri" w:cs="Calibri"/>
          <w:b/>
          <w:bCs/>
        </w:rPr>
        <w:t>PROJET</w:t>
      </w:r>
    </w:p>
    <w:p w14:paraId="0FCC0632" w14:textId="77777777" w:rsidR="00A62D0A" w:rsidRPr="00A62D0A" w:rsidRDefault="00A62D0A" w:rsidP="00A62D0A">
      <w:pPr>
        <w:widowControl w:val="0"/>
        <w:autoSpaceDE w:val="0"/>
        <w:autoSpaceDN w:val="0"/>
        <w:spacing w:before="6" w:after="0" w:line="240" w:lineRule="auto"/>
        <w:rPr>
          <w:rFonts w:ascii="Calibri" w:eastAsia="Calibri" w:hAnsi="Calibri" w:cs="Calibri"/>
          <w:b/>
          <w:sz w:val="19"/>
        </w:rPr>
      </w:pPr>
    </w:p>
    <w:p w14:paraId="21165C58" w14:textId="77777777" w:rsidR="00A62D0A" w:rsidRPr="00A62D0A" w:rsidRDefault="00A62D0A" w:rsidP="00A62D0A">
      <w:pPr>
        <w:widowControl w:val="0"/>
        <w:autoSpaceDE w:val="0"/>
        <w:autoSpaceDN w:val="0"/>
        <w:spacing w:after="0" w:line="240" w:lineRule="auto"/>
        <w:ind w:left="218" w:right="229"/>
        <w:rPr>
          <w:rFonts w:ascii="Calibri" w:eastAsia="Calibri" w:hAnsi="Calibri" w:cs="Calibri"/>
        </w:rPr>
      </w:pPr>
      <w:r w:rsidRPr="00A62D0A">
        <w:rPr>
          <w:rFonts w:ascii="Calibri" w:eastAsia="Calibri" w:hAnsi="Calibri" w:cs="Calibri"/>
        </w:rPr>
        <w:t>Le cadre logique du projet évoluera au long du projet : des nouvelles lignes peuvent être ajoutées pour lister les activités, ainsi que de nouvelles colonnes</w:t>
      </w:r>
      <w:r w:rsidRPr="00A62D0A">
        <w:rPr>
          <w:rFonts w:ascii="Calibri" w:eastAsia="Calibri" w:hAnsi="Calibri" w:cs="Calibri"/>
          <w:spacing w:val="1"/>
        </w:rPr>
        <w:t xml:space="preserve"> </w:t>
      </w:r>
      <w:r w:rsidRPr="00A62D0A">
        <w:rPr>
          <w:rFonts w:ascii="Calibri" w:eastAsia="Calibri" w:hAnsi="Calibri" w:cs="Calibri"/>
        </w:rPr>
        <w:t>pour</w:t>
      </w:r>
      <w:r w:rsidRPr="00A62D0A">
        <w:rPr>
          <w:rFonts w:ascii="Calibri" w:eastAsia="Calibri" w:hAnsi="Calibri" w:cs="Calibri"/>
          <w:spacing w:val="-2"/>
        </w:rPr>
        <w:t xml:space="preserve"> </w:t>
      </w:r>
      <w:r w:rsidRPr="00A62D0A">
        <w:rPr>
          <w:rFonts w:ascii="Calibri" w:eastAsia="Calibri" w:hAnsi="Calibri" w:cs="Calibri"/>
        </w:rPr>
        <w:t>les</w:t>
      </w:r>
      <w:r w:rsidRPr="00A62D0A">
        <w:rPr>
          <w:rFonts w:ascii="Calibri" w:eastAsia="Calibri" w:hAnsi="Calibri" w:cs="Calibri"/>
          <w:spacing w:val="-3"/>
        </w:rPr>
        <w:t xml:space="preserve"> </w:t>
      </w:r>
      <w:r w:rsidRPr="00A62D0A">
        <w:rPr>
          <w:rFonts w:ascii="Calibri" w:eastAsia="Calibri" w:hAnsi="Calibri" w:cs="Calibri"/>
        </w:rPr>
        <w:t>objectifs</w:t>
      </w:r>
      <w:r w:rsidRPr="00A62D0A">
        <w:rPr>
          <w:rFonts w:ascii="Calibri" w:eastAsia="Calibri" w:hAnsi="Calibri" w:cs="Calibri"/>
          <w:spacing w:val="-1"/>
        </w:rPr>
        <w:t xml:space="preserve"> </w:t>
      </w:r>
      <w:r w:rsidRPr="00A62D0A">
        <w:rPr>
          <w:rFonts w:ascii="Calibri" w:eastAsia="Calibri" w:hAnsi="Calibri" w:cs="Calibri"/>
        </w:rPr>
        <w:t>intermédiaires</w:t>
      </w:r>
      <w:r w:rsidRPr="00A62D0A">
        <w:rPr>
          <w:rFonts w:ascii="Calibri" w:eastAsia="Calibri" w:hAnsi="Calibri" w:cs="Calibri"/>
          <w:spacing w:val="-2"/>
        </w:rPr>
        <w:t xml:space="preserve"> </w:t>
      </w:r>
      <w:r w:rsidRPr="00A62D0A">
        <w:rPr>
          <w:rFonts w:ascii="Calibri" w:eastAsia="Calibri" w:hAnsi="Calibri" w:cs="Calibri"/>
        </w:rPr>
        <w:t>jalonnant</w:t>
      </w:r>
      <w:r w:rsidRPr="00A62D0A">
        <w:rPr>
          <w:rFonts w:ascii="Calibri" w:eastAsia="Calibri" w:hAnsi="Calibri" w:cs="Calibri"/>
          <w:spacing w:val="-1"/>
        </w:rPr>
        <w:t xml:space="preserve"> </w:t>
      </w:r>
      <w:r w:rsidRPr="00A62D0A">
        <w:rPr>
          <w:rFonts w:ascii="Calibri" w:eastAsia="Calibri" w:hAnsi="Calibri" w:cs="Calibri"/>
        </w:rPr>
        <w:t>le</w:t>
      </w:r>
      <w:r w:rsidRPr="00A62D0A">
        <w:rPr>
          <w:rFonts w:ascii="Calibri" w:eastAsia="Calibri" w:hAnsi="Calibri" w:cs="Calibri"/>
          <w:spacing w:val="-1"/>
        </w:rPr>
        <w:t xml:space="preserve"> </w:t>
      </w:r>
      <w:r w:rsidRPr="00A62D0A">
        <w:rPr>
          <w:rFonts w:ascii="Calibri" w:eastAsia="Calibri" w:hAnsi="Calibri" w:cs="Calibri"/>
        </w:rPr>
        <w:t>projet,</w:t>
      </w:r>
      <w:r w:rsidRPr="00A62D0A">
        <w:rPr>
          <w:rFonts w:ascii="Calibri" w:eastAsia="Calibri" w:hAnsi="Calibri" w:cs="Calibri"/>
          <w:spacing w:val="-1"/>
        </w:rPr>
        <w:t xml:space="preserve"> </w:t>
      </w:r>
      <w:r w:rsidRPr="00A62D0A">
        <w:rPr>
          <w:rFonts w:ascii="Calibri" w:eastAsia="Calibri" w:hAnsi="Calibri" w:cs="Calibri"/>
        </w:rPr>
        <w:t>afin</w:t>
      </w:r>
      <w:r w:rsidRPr="00A62D0A">
        <w:rPr>
          <w:rFonts w:ascii="Calibri" w:eastAsia="Calibri" w:hAnsi="Calibri" w:cs="Calibri"/>
          <w:spacing w:val="-4"/>
        </w:rPr>
        <w:t xml:space="preserve"> </w:t>
      </w:r>
      <w:r w:rsidRPr="00A62D0A">
        <w:rPr>
          <w:rFonts w:ascii="Calibri" w:eastAsia="Calibri" w:hAnsi="Calibri" w:cs="Calibri"/>
        </w:rPr>
        <w:t>d'évaluer</w:t>
      </w:r>
      <w:r w:rsidRPr="00A62D0A">
        <w:rPr>
          <w:rFonts w:ascii="Calibri" w:eastAsia="Calibri" w:hAnsi="Calibri" w:cs="Calibri"/>
          <w:spacing w:val="-1"/>
        </w:rPr>
        <w:t xml:space="preserve"> </w:t>
      </w:r>
      <w:r w:rsidRPr="00A62D0A">
        <w:rPr>
          <w:rFonts w:ascii="Calibri" w:eastAsia="Calibri" w:hAnsi="Calibri" w:cs="Calibri"/>
        </w:rPr>
        <w:t>la</w:t>
      </w:r>
      <w:r w:rsidRPr="00A62D0A">
        <w:rPr>
          <w:rFonts w:ascii="Calibri" w:eastAsia="Calibri" w:hAnsi="Calibri" w:cs="Calibri"/>
          <w:spacing w:val="-4"/>
        </w:rPr>
        <w:t xml:space="preserve"> </w:t>
      </w:r>
      <w:r w:rsidRPr="00A62D0A">
        <w:rPr>
          <w:rFonts w:ascii="Calibri" w:eastAsia="Calibri" w:hAnsi="Calibri" w:cs="Calibri"/>
        </w:rPr>
        <w:t>réalisation</w:t>
      </w:r>
      <w:r w:rsidRPr="00A62D0A">
        <w:rPr>
          <w:rFonts w:ascii="Calibri" w:eastAsia="Calibri" w:hAnsi="Calibri" w:cs="Calibri"/>
          <w:spacing w:val="-4"/>
        </w:rPr>
        <w:t xml:space="preserve"> </w:t>
      </w:r>
      <w:r w:rsidRPr="00A62D0A">
        <w:rPr>
          <w:rFonts w:ascii="Calibri" w:eastAsia="Calibri" w:hAnsi="Calibri" w:cs="Calibri"/>
        </w:rPr>
        <w:t>des</w:t>
      </w:r>
      <w:r w:rsidRPr="00A62D0A">
        <w:rPr>
          <w:rFonts w:ascii="Calibri" w:eastAsia="Calibri" w:hAnsi="Calibri" w:cs="Calibri"/>
          <w:spacing w:val="-1"/>
        </w:rPr>
        <w:t xml:space="preserve"> </w:t>
      </w:r>
      <w:r w:rsidRPr="00A62D0A">
        <w:rPr>
          <w:rFonts w:ascii="Calibri" w:eastAsia="Calibri" w:hAnsi="Calibri" w:cs="Calibri"/>
        </w:rPr>
        <w:t>résultats (voir</w:t>
      </w:r>
      <w:r w:rsidRPr="00A62D0A">
        <w:rPr>
          <w:rFonts w:ascii="Calibri" w:eastAsia="Calibri" w:hAnsi="Calibri" w:cs="Calibri"/>
          <w:spacing w:val="-1"/>
        </w:rPr>
        <w:t xml:space="preserve"> </w:t>
      </w:r>
      <w:r w:rsidRPr="00A62D0A">
        <w:rPr>
          <w:rFonts w:ascii="Calibri" w:eastAsia="Calibri" w:hAnsi="Calibri" w:cs="Calibri"/>
        </w:rPr>
        <w:t>"valeur</w:t>
      </w:r>
      <w:r w:rsidRPr="00A62D0A">
        <w:rPr>
          <w:rFonts w:ascii="Calibri" w:eastAsia="Calibri" w:hAnsi="Calibri" w:cs="Calibri"/>
          <w:spacing w:val="-2"/>
        </w:rPr>
        <w:t xml:space="preserve"> </w:t>
      </w:r>
      <w:r w:rsidRPr="00A62D0A">
        <w:rPr>
          <w:rFonts w:ascii="Calibri" w:eastAsia="Calibri" w:hAnsi="Calibri" w:cs="Calibri"/>
        </w:rPr>
        <w:t>actuelle"),</w:t>
      </w:r>
      <w:r w:rsidRPr="00A62D0A">
        <w:rPr>
          <w:rFonts w:ascii="Calibri" w:eastAsia="Calibri" w:hAnsi="Calibri" w:cs="Calibri"/>
          <w:spacing w:val="3"/>
        </w:rPr>
        <w:t xml:space="preserve"> </w:t>
      </w:r>
      <w:r w:rsidRPr="00A62D0A">
        <w:rPr>
          <w:rFonts w:ascii="Calibri" w:eastAsia="Calibri" w:hAnsi="Calibri" w:cs="Calibri"/>
        </w:rPr>
        <w:t>telle</w:t>
      </w:r>
      <w:r w:rsidRPr="00A62D0A">
        <w:rPr>
          <w:rFonts w:ascii="Calibri" w:eastAsia="Calibri" w:hAnsi="Calibri" w:cs="Calibri"/>
          <w:spacing w:val="-1"/>
        </w:rPr>
        <w:t xml:space="preserve"> </w:t>
      </w:r>
      <w:r w:rsidRPr="00A62D0A">
        <w:rPr>
          <w:rFonts w:ascii="Calibri" w:eastAsia="Calibri" w:hAnsi="Calibri" w:cs="Calibri"/>
        </w:rPr>
        <w:t>que</w:t>
      </w:r>
      <w:r w:rsidRPr="00A62D0A">
        <w:rPr>
          <w:rFonts w:ascii="Calibri" w:eastAsia="Calibri" w:hAnsi="Calibri" w:cs="Calibri"/>
          <w:spacing w:val="-4"/>
        </w:rPr>
        <w:t xml:space="preserve"> </w:t>
      </w:r>
      <w:r w:rsidRPr="00A62D0A">
        <w:rPr>
          <w:rFonts w:ascii="Calibri" w:eastAsia="Calibri" w:hAnsi="Calibri" w:cs="Calibri"/>
        </w:rPr>
        <w:t>mesurée par</w:t>
      </w:r>
      <w:r w:rsidRPr="00A62D0A">
        <w:rPr>
          <w:rFonts w:ascii="Calibri" w:eastAsia="Calibri" w:hAnsi="Calibri" w:cs="Calibri"/>
          <w:spacing w:val="-1"/>
        </w:rPr>
        <w:t xml:space="preserve"> </w:t>
      </w:r>
      <w:r w:rsidRPr="00A62D0A">
        <w:rPr>
          <w:rFonts w:ascii="Calibri" w:eastAsia="Calibri" w:hAnsi="Calibri" w:cs="Calibri"/>
        </w:rPr>
        <w:t>des</w:t>
      </w:r>
      <w:r w:rsidRPr="00A62D0A">
        <w:rPr>
          <w:rFonts w:ascii="Calibri" w:eastAsia="Calibri" w:hAnsi="Calibri" w:cs="Calibri"/>
          <w:spacing w:val="-4"/>
        </w:rPr>
        <w:t xml:space="preserve"> </w:t>
      </w:r>
      <w:r w:rsidRPr="00A62D0A">
        <w:rPr>
          <w:rFonts w:ascii="Calibri" w:eastAsia="Calibri" w:hAnsi="Calibri" w:cs="Calibri"/>
        </w:rPr>
        <w:t>indicateurs.</w:t>
      </w:r>
    </w:p>
    <w:p w14:paraId="71E16DF0" w14:textId="77777777" w:rsidR="00A62D0A" w:rsidRPr="00A62D0A" w:rsidRDefault="00A62D0A" w:rsidP="00A62D0A"/>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3"/>
        <w:gridCol w:w="2611"/>
        <w:gridCol w:w="2612"/>
        <w:gridCol w:w="2281"/>
        <w:gridCol w:w="2612"/>
        <w:gridCol w:w="2206"/>
      </w:tblGrid>
      <w:tr w:rsidR="00A62D0A" w:rsidRPr="00932DB4" w14:paraId="58E2E5BC" w14:textId="77777777" w:rsidTr="00A405C4">
        <w:trPr>
          <w:trHeight w:val="1268"/>
        </w:trPr>
        <w:tc>
          <w:tcPr>
            <w:tcW w:w="1883" w:type="dxa"/>
          </w:tcPr>
          <w:p w14:paraId="70438573" w14:textId="77777777" w:rsidR="00A62D0A" w:rsidRPr="00932DB4" w:rsidRDefault="00A62D0A" w:rsidP="00A62D0A">
            <w:pPr>
              <w:rPr>
                <w:rFonts w:ascii="Times New Roman" w:eastAsia="Calibri" w:hAnsi="Calibri" w:cs="Calibri"/>
                <w:lang w:val="fr-FR"/>
              </w:rPr>
            </w:pPr>
          </w:p>
        </w:tc>
        <w:tc>
          <w:tcPr>
            <w:tcW w:w="2611" w:type="dxa"/>
          </w:tcPr>
          <w:p w14:paraId="696370F4" w14:textId="77777777" w:rsidR="00A62D0A" w:rsidRPr="003D1CC2" w:rsidRDefault="00A62D0A" w:rsidP="00A62D0A">
            <w:pPr>
              <w:ind w:left="107" w:right="550"/>
              <w:rPr>
                <w:rFonts w:ascii="Calibri" w:eastAsia="Calibri" w:hAnsi="Calibri" w:cs="Calibri"/>
                <w:b/>
                <w:lang w:val="fr-FR"/>
              </w:rPr>
            </w:pPr>
            <w:r w:rsidRPr="00932DB4">
              <w:rPr>
                <w:rFonts w:ascii="Calibri" w:eastAsia="Calibri" w:hAnsi="Calibri" w:cs="Calibri"/>
                <w:b/>
              </w:rPr>
              <w:t>Résultats</w:t>
            </w:r>
          </w:p>
        </w:tc>
        <w:tc>
          <w:tcPr>
            <w:tcW w:w="2612" w:type="dxa"/>
          </w:tcPr>
          <w:p w14:paraId="26F13B4D" w14:textId="77777777" w:rsidR="00A62D0A" w:rsidRPr="003D1CC2" w:rsidRDefault="00A62D0A" w:rsidP="00A62D0A">
            <w:pPr>
              <w:spacing w:line="268" w:lineRule="exact"/>
              <w:ind w:left="108"/>
              <w:rPr>
                <w:rFonts w:ascii="Calibri" w:eastAsia="Calibri" w:hAnsi="Calibri" w:cs="Calibri"/>
                <w:b/>
                <w:lang w:val="fr-FR"/>
              </w:rPr>
            </w:pPr>
            <w:r w:rsidRPr="00932DB4">
              <w:rPr>
                <w:rFonts w:ascii="Calibri" w:eastAsia="Calibri" w:hAnsi="Calibri" w:cs="Calibri"/>
                <w:b/>
              </w:rPr>
              <w:t xml:space="preserve">Indicateurs (nature) </w:t>
            </w:r>
          </w:p>
        </w:tc>
        <w:tc>
          <w:tcPr>
            <w:tcW w:w="2281" w:type="dxa"/>
          </w:tcPr>
          <w:p w14:paraId="0F7CB9B7" w14:textId="77777777" w:rsidR="00A62D0A" w:rsidRPr="003D1CC2" w:rsidRDefault="00A62D0A" w:rsidP="00A62D0A">
            <w:pPr>
              <w:ind w:left="108" w:right="179"/>
              <w:rPr>
                <w:rFonts w:ascii="Calibri" w:eastAsia="Calibri" w:hAnsi="Calibri" w:cs="Calibri"/>
                <w:b/>
                <w:lang w:val="fr-FR"/>
              </w:rPr>
            </w:pPr>
            <w:r w:rsidRPr="00932DB4">
              <w:rPr>
                <w:rFonts w:ascii="Calibri" w:eastAsia="Calibri" w:hAnsi="Calibri" w:cs="Calibri"/>
                <w:b/>
              </w:rPr>
              <w:t>Cible (valeur /nombre)</w:t>
            </w:r>
          </w:p>
        </w:tc>
        <w:tc>
          <w:tcPr>
            <w:tcW w:w="2612" w:type="dxa"/>
          </w:tcPr>
          <w:p w14:paraId="3EED528F" w14:textId="77777777" w:rsidR="00A62D0A" w:rsidRPr="00932DB4" w:rsidRDefault="00A62D0A" w:rsidP="00A62D0A">
            <w:pPr>
              <w:ind w:left="108" w:right="143"/>
              <w:rPr>
                <w:rFonts w:ascii="Calibri" w:eastAsia="Calibri" w:hAnsi="Calibri" w:cs="Calibri"/>
                <w:b/>
                <w:lang w:val="fr-FR"/>
              </w:rPr>
            </w:pPr>
            <w:r w:rsidRPr="00932DB4">
              <w:rPr>
                <w:rFonts w:ascii="Calibri" w:eastAsia="Calibri" w:hAnsi="Calibri" w:cs="Calibri"/>
                <w:b/>
                <w:lang w:val="fr-FR"/>
              </w:rPr>
              <w:t>Sources et moyens</w:t>
            </w:r>
            <w:r w:rsidRPr="00932DB4">
              <w:rPr>
                <w:rFonts w:ascii="Calibri" w:eastAsia="Calibri" w:hAnsi="Calibri" w:cs="Calibri"/>
                <w:b/>
                <w:spacing w:val="-47"/>
                <w:lang w:val="fr-FR"/>
              </w:rPr>
              <w:t xml:space="preserve">               </w:t>
            </w:r>
            <w:r w:rsidRPr="00932DB4">
              <w:rPr>
                <w:rFonts w:ascii="Calibri" w:eastAsia="Calibri" w:hAnsi="Calibri" w:cs="Calibri"/>
                <w:b/>
                <w:lang w:val="fr-FR"/>
              </w:rPr>
              <w:t>de</w:t>
            </w:r>
            <w:r w:rsidRPr="00932DB4">
              <w:rPr>
                <w:rFonts w:ascii="Calibri" w:eastAsia="Calibri" w:hAnsi="Calibri" w:cs="Calibri"/>
                <w:b/>
                <w:spacing w:val="-1"/>
                <w:lang w:val="fr-FR"/>
              </w:rPr>
              <w:t xml:space="preserve"> </w:t>
            </w:r>
            <w:r w:rsidRPr="00932DB4">
              <w:rPr>
                <w:rFonts w:ascii="Calibri" w:eastAsia="Calibri" w:hAnsi="Calibri" w:cs="Calibri"/>
                <w:b/>
                <w:lang w:val="fr-FR"/>
              </w:rPr>
              <w:t>vérification</w:t>
            </w:r>
          </w:p>
        </w:tc>
        <w:tc>
          <w:tcPr>
            <w:tcW w:w="2206" w:type="dxa"/>
          </w:tcPr>
          <w:p w14:paraId="318510D1" w14:textId="77777777" w:rsidR="00A62D0A" w:rsidRPr="003D1CC2" w:rsidRDefault="00A62D0A" w:rsidP="00A62D0A">
            <w:pPr>
              <w:spacing w:line="268" w:lineRule="exact"/>
              <w:ind w:left="108"/>
              <w:rPr>
                <w:rFonts w:ascii="Calibri" w:eastAsia="Calibri" w:hAnsi="Calibri" w:cs="Calibri"/>
                <w:b/>
                <w:lang w:val="fr-FR"/>
              </w:rPr>
            </w:pPr>
            <w:r w:rsidRPr="00932DB4">
              <w:rPr>
                <w:rFonts w:ascii="Calibri" w:eastAsia="Calibri" w:hAnsi="Calibri" w:cs="Calibri"/>
                <w:b/>
              </w:rPr>
              <w:t>Hypothèses</w:t>
            </w:r>
          </w:p>
        </w:tc>
      </w:tr>
      <w:tr w:rsidR="00A62D0A" w:rsidRPr="00932DB4" w14:paraId="746ECF9B" w14:textId="77777777" w:rsidTr="00A405C4">
        <w:trPr>
          <w:trHeight w:val="334"/>
        </w:trPr>
        <w:tc>
          <w:tcPr>
            <w:tcW w:w="1883" w:type="dxa"/>
            <w:vMerge w:val="restart"/>
            <w:textDirection w:val="btLr"/>
          </w:tcPr>
          <w:p w14:paraId="139445E6" w14:textId="77777777" w:rsidR="00A62D0A" w:rsidRPr="003D1CC2" w:rsidRDefault="00A62D0A" w:rsidP="00A62D0A">
            <w:pPr>
              <w:spacing w:before="112"/>
              <w:ind w:left="113"/>
              <w:jc w:val="right"/>
              <w:rPr>
                <w:rFonts w:ascii="Calibri" w:eastAsia="Calibri" w:hAnsi="Calibri" w:cs="Calibri"/>
                <w:b/>
                <w:u w:val="single"/>
                <w:lang w:val="fr-FR"/>
              </w:rPr>
            </w:pPr>
          </w:p>
          <w:p w14:paraId="3A4A51E9" w14:textId="77777777" w:rsidR="00A62D0A" w:rsidRPr="003D1CC2" w:rsidRDefault="00A62D0A" w:rsidP="00A62D0A">
            <w:pPr>
              <w:spacing w:before="112"/>
              <w:ind w:left="113"/>
              <w:jc w:val="center"/>
              <w:rPr>
                <w:rFonts w:ascii="Calibri" w:eastAsia="Calibri" w:hAnsi="Calibri" w:cs="Calibri"/>
                <w:b/>
                <w:u w:val="single"/>
                <w:lang w:val="fr-FR"/>
              </w:rPr>
            </w:pPr>
            <w:r w:rsidRPr="00932DB4">
              <w:rPr>
                <w:rFonts w:ascii="Calibri" w:eastAsia="Calibri" w:hAnsi="Calibri" w:cs="Calibri"/>
                <w:b/>
                <w:u w:val="single"/>
              </w:rPr>
              <w:t>Objectif général</w:t>
            </w:r>
          </w:p>
          <w:p w14:paraId="50352AD0" w14:textId="77777777" w:rsidR="00A62D0A" w:rsidRPr="003D1CC2" w:rsidRDefault="00A62D0A" w:rsidP="00A62D0A">
            <w:pPr>
              <w:spacing w:before="112"/>
              <w:ind w:left="113"/>
              <w:jc w:val="right"/>
              <w:rPr>
                <w:rFonts w:ascii="Calibri" w:eastAsia="Calibri" w:hAnsi="Calibri" w:cs="Calibri"/>
                <w:b/>
                <w:lang w:val="fr-FR"/>
              </w:rPr>
            </w:pPr>
            <w:r w:rsidRPr="00932DB4">
              <w:rPr>
                <w:rFonts w:ascii="Calibri" w:eastAsia="Calibri" w:hAnsi="Calibri" w:cs="Calibri"/>
                <w:b/>
                <w:u w:val="single"/>
              </w:rPr>
              <w:t xml:space="preserve"> </w:t>
            </w:r>
          </w:p>
        </w:tc>
        <w:tc>
          <w:tcPr>
            <w:tcW w:w="2611" w:type="dxa"/>
            <w:tcBorders>
              <w:bottom w:val="nil"/>
            </w:tcBorders>
          </w:tcPr>
          <w:p w14:paraId="22B85F3B" w14:textId="77777777" w:rsidR="00A62D0A" w:rsidRPr="003D1CC2" w:rsidRDefault="00A62D0A" w:rsidP="00A62D0A">
            <w:pPr>
              <w:spacing w:line="263" w:lineRule="exact"/>
              <w:rPr>
                <w:rFonts w:ascii="Calibri" w:eastAsia="Calibri" w:hAnsi="Calibri" w:cs="Calibri"/>
                <w:lang w:val="fr-FR"/>
              </w:rPr>
            </w:pPr>
          </w:p>
        </w:tc>
        <w:tc>
          <w:tcPr>
            <w:tcW w:w="2612" w:type="dxa"/>
            <w:tcBorders>
              <w:bottom w:val="nil"/>
            </w:tcBorders>
          </w:tcPr>
          <w:p w14:paraId="162A22F8" w14:textId="77777777" w:rsidR="00A62D0A" w:rsidRPr="003D1CC2" w:rsidRDefault="00A62D0A" w:rsidP="00A62D0A">
            <w:pPr>
              <w:spacing w:line="263" w:lineRule="exact"/>
              <w:rPr>
                <w:rFonts w:ascii="Calibri" w:eastAsia="Calibri" w:hAnsi="Calibri" w:cs="Calibri"/>
                <w:lang w:val="fr-FR"/>
              </w:rPr>
            </w:pPr>
          </w:p>
        </w:tc>
        <w:tc>
          <w:tcPr>
            <w:tcW w:w="2281" w:type="dxa"/>
            <w:tcBorders>
              <w:bottom w:val="nil"/>
            </w:tcBorders>
          </w:tcPr>
          <w:p w14:paraId="698C30F9" w14:textId="77777777" w:rsidR="00A62D0A" w:rsidRPr="003D1CC2" w:rsidRDefault="00A62D0A" w:rsidP="00A62D0A">
            <w:pPr>
              <w:spacing w:line="263" w:lineRule="exact"/>
              <w:rPr>
                <w:rFonts w:ascii="Calibri" w:eastAsia="Calibri" w:hAnsi="Calibri" w:cs="Calibri"/>
                <w:i/>
                <w:lang w:val="fr-FR"/>
              </w:rPr>
            </w:pPr>
          </w:p>
        </w:tc>
        <w:tc>
          <w:tcPr>
            <w:tcW w:w="2612" w:type="dxa"/>
            <w:tcBorders>
              <w:bottom w:val="nil"/>
            </w:tcBorders>
          </w:tcPr>
          <w:p w14:paraId="423FB917" w14:textId="77777777" w:rsidR="00A62D0A" w:rsidRPr="003D1CC2" w:rsidRDefault="00A62D0A" w:rsidP="00A62D0A">
            <w:pPr>
              <w:spacing w:line="263" w:lineRule="exact"/>
              <w:rPr>
                <w:rFonts w:ascii="Calibri" w:eastAsia="Calibri" w:hAnsi="Calibri" w:cs="Calibri"/>
                <w:lang w:val="fr-FR"/>
              </w:rPr>
            </w:pPr>
          </w:p>
        </w:tc>
        <w:tc>
          <w:tcPr>
            <w:tcW w:w="2206" w:type="dxa"/>
            <w:tcBorders>
              <w:bottom w:val="nil"/>
            </w:tcBorders>
          </w:tcPr>
          <w:p w14:paraId="21AC9221" w14:textId="77777777" w:rsidR="00A62D0A" w:rsidRPr="003D1CC2" w:rsidRDefault="00A62D0A" w:rsidP="00A62D0A">
            <w:pPr>
              <w:spacing w:line="263" w:lineRule="exact"/>
              <w:ind w:left="108"/>
              <w:rPr>
                <w:rFonts w:ascii="Calibri" w:eastAsia="Calibri" w:hAnsi="Calibri" w:cs="Calibri"/>
                <w:lang w:val="fr-FR"/>
              </w:rPr>
            </w:pPr>
          </w:p>
        </w:tc>
      </w:tr>
      <w:tr w:rsidR="00A62D0A" w:rsidRPr="00932DB4" w14:paraId="536A9F5B" w14:textId="77777777" w:rsidTr="00A405C4">
        <w:trPr>
          <w:trHeight w:val="304"/>
        </w:trPr>
        <w:tc>
          <w:tcPr>
            <w:tcW w:w="1883" w:type="dxa"/>
            <w:vMerge/>
            <w:tcBorders>
              <w:top w:val="nil"/>
            </w:tcBorders>
            <w:textDirection w:val="btLr"/>
          </w:tcPr>
          <w:p w14:paraId="5A1F626C" w14:textId="77777777" w:rsidR="00A62D0A" w:rsidRPr="003D1CC2" w:rsidRDefault="00A62D0A" w:rsidP="00A62D0A">
            <w:pPr>
              <w:rPr>
                <w:sz w:val="2"/>
                <w:szCs w:val="2"/>
                <w:lang w:val="fr-FR"/>
              </w:rPr>
            </w:pPr>
          </w:p>
        </w:tc>
        <w:tc>
          <w:tcPr>
            <w:tcW w:w="2611" w:type="dxa"/>
            <w:tcBorders>
              <w:top w:val="nil"/>
              <w:bottom w:val="nil"/>
            </w:tcBorders>
          </w:tcPr>
          <w:p w14:paraId="010F9F7B"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4F65E7C8"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1379C30B"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413C44B4"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402480B6" w14:textId="77777777" w:rsidR="00A62D0A" w:rsidRPr="003D1CC2" w:rsidRDefault="00A62D0A" w:rsidP="00A62D0A">
            <w:pPr>
              <w:spacing w:line="239" w:lineRule="exact"/>
              <w:ind w:left="108"/>
              <w:rPr>
                <w:rFonts w:ascii="Calibri" w:eastAsia="Calibri" w:hAnsi="Calibri" w:cs="Calibri"/>
                <w:lang w:val="fr-FR"/>
              </w:rPr>
            </w:pPr>
          </w:p>
        </w:tc>
      </w:tr>
      <w:tr w:rsidR="00A62D0A" w:rsidRPr="00932DB4" w14:paraId="6654EA02" w14:textId="77777777" w:rsidTr="00A405C4">
        <w:trPr>
          <w:trHeight w:val="304"/>
        </w:trPr>
        <w:tc>
          <w:tcPr>
            <w:tcW w:w="1883" w:type="dxa"/>
            <w:vMerge/>
            <w:tcBorders>
              <w:top w:val="nil"/>
            </w:tcBorders>
            <w:textDirection w:val="btLr"/>
          </w:tcPr>
          <w:p w14:paraId="3C704CB6" w14:textId="77777777" w:rsidR="00A62D0A" w:rsidRPr="003D1CC2" w:rsidRDefault="00A62D0A" w:rsidP="00A62D0A">
            <w:pPr>
              <w:rPr>
                <w:sz w:val="2"/>
                <w:szCs w:val="2"/>
                <w:lang w:val="fr-FR"/>
              </w:rPr>
            </w:pPr>
          </w:p>
        </w:tc>
        <w:tc>
          <w:tcPr>
            <w:tcW w:w="2611" w:type="dxa"/>
            <w:tcBorders>
              <w:top w:val="nil"/>
              <w:bottom w:val="nil"/>
            </w:tcBorders>
          </w:tcPr>
          <w:p w14:paraId="3B3BB61D"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7CC641C3"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5CD5BDC4"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0EDDDFA6"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70D995CE" w14:textId="77777777" w:rsidR="00A62D0A" w:rsidRPr="003D1CC2" w:rsidRDefault="00A62D0A" w:rsidP="00A62D0A">
            <w:pPr>
              <w:spacing w:line="239" w:lineRule="exact"/>
              <w:ind w:left="108"/>
              <w:rPr>
                <w:rFonts w:ascii="Calibri" w:eastAsia="Calibri" w:hAnsi="Calibri" w:cs="Calibri"/>
                <w:lang w:val="fr-FR"/>
              </w:rPr>
            </w:pPr>
          </w:p>
        </w:tc>
      </w:tr>
      <w:tr w:rsidR="00A62D0A" w:rsidRPr="00932DB4" w14:paraId="60006CFD" w14:textId="77777777" w:rsidTr="00A405C4">
        <w:trPr>
          <w:trHeight w:val="304"/>
        </w:trPr>
        <w:tc>
          <w:tcPr>
            <w:tcW w:w="1883" w:type="dxa"/>
            <w:vMerge/>
            <w:tcBorders>
              <w:top w:val="nil"/>
            </w:tcBorders>
            <w:textDirection w:val="btLr"/>
          </w:tcPr>
          <w:p w14:paraId="62A23766" w14:textId="77777777" w:rsidR="00A62D0A" w:rsidRPr="003D1CC2" w:rsidRDefault="00A62D0A" w:rsidP="00A62D0A">
            <w:pPr>
              <w:rPr>
                <w:sz w:val="2"/>
                <w:szCs w:val="2"/>
                <w:lang w:val="fr-FR"/>
              </w:rPr>
            </w:pPr>
          </w:p>
        </w:tc>
        <w:tc>
          <w:tcPr>
            <w:tcW w:w="2611" w:type="dxa"/>
            <w:tcBorders>
              <w:top w:val="nil"/>
              <w:bottom w:val="nil"/>
            </w:tcBorders>
          </w:tcPr>
          <w:p w14:paraId="04343ABF"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62BE5A12"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3B925695"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78105723"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25EBBEB8" w14:textId="77777777" w:rsidR="00A62D0A" w:rsidRPr="003D1CC2" w:rsidRDefault="00A62D0A" w:rsidP="00A62D0A">
            <w:pPr>
              <w:spacing w:line="239" w:lineRule="exact"/>
              <w:ind w:left="108"/>
              <w:rPr>
                <w:rFonts w:ascii="Calibri" w:eastAsia="Calibri" w:hAnsi="Calibri" w:cs="Calibri"/>
                <w:lang w:val="fr-FR"/>
              </w:rPr>
            </w:pPr>
          </w:p>
        </w:tc>
      </w:tr>
      <w:tr w:rsidR="00A62D0A" w:rsidRPr="00932DB4" w14:paraId="733640AD" w14:textId="77777777" w:rsidTr="00A405C4">
        <w:trPr>
          <w:trHeight w:val="304"/>
        </w:trPr>
        <w:tc>
          <w:tcPr>
            <w:tcW w:w="1883" w:type="dxa"/>
            <w:vMerge/>
            <w:tcBorders>
              <w:top w:val="nil"/>
            </w:tcBorders>
            <w:textDirection w:val="btLr"/>
          </w:tcPr>
          <w:p w14:paraId="0B61FF14" w14:textId="77777777" w:rsidR="00A62D0A" w:rsidRPr="003D1CC2" w:rsidRDefault="00A62D0A" w:rsidP="00A62D0A">
            <w:pPr>
              <w:rPr>
                <w:sz w:val="2"/>
                <w:szCs w:val="2"/>
                <w:lang w:val="fr-FR"/>
              </w:rPr>
            </w:pPr>
          </w:p>
        </w:tc>
        <w:tc>
          <w:tcPr>
            <w:tcW w:w="2611" w:type="dxa"/>
            <w:tcBorders>
              <w:top w:val="nil"/>
              <w:bottom w:val="nil"/>
            </w:tcBorders>
          </w:tcPr>
          <w:p w14:paraId="49835B96"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4F5D619B"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4C766886"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7594C820"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67CE5F98" w14:textId="77777777" w:rsidR="00A62D0A" w:rsidRPr="003D1CC2" w:rsidRDefault="00A62D0A" w:rsidP="00A62D0A">
            <w:pPr>
              <w:spacing w:line="239" w:lineRule="exact"/>
              <w:ind w:left="108"/>
              <w:rPr>
                <w:rFonts w:ascii="Calibri" w:eastAsia="Calibri" w:hAnsi="Calibri" w:cs="Calibri"/>
                <w:lang w:val="fr-FR"/>
              </w:rPr>
            </w:pPr>
          </w:p>
        </w:tc>
      </w:tr>
      <w:tr w:rsidR="00A62D0A" w:rsidRPr="00932DB4" w14:paraId="30D6C8B2" w14:textId="77777777" w:rsidTr="00A405C4">
        <w:trPr>
          <w:trHeight w:val="303"/>
        </w:trPr>
        <w:tc>
          <w:tcPr>
            <w:tcW w:w="1883" w:type="dxa"/>
            <w:vMerge/>
            <w:tcBorders>
              <w:top w:val="nil"/>
            </w:tcBorders>
            <w:textDirection w:val="btLr"/>
          </w:tcPr>
          <w:p w14:paraId="035C33B9" w14:textId="77777777" w:rsidR="00A62D0A" w:rsidRPr="003D1CC2" w:rsidRDefault="00A62D0A" w:rsidP="00A62D0A">
            <w:pPr>
              <w:rPr>
                <w:sz w:val="2"/>
                <w:szCs w:val="2"/>
                <w:lang w:val="fr-FR"/>
              </w:rPr>
            </w:pPr>
          </w:p>
        </w:tc>
        <w:tc>
          <w:tcPr>
            <w:tcW w:w="2611" w:type="dxa"/>
            <w:tcBorders>
              <w:top w:val="nil"/>
              <w:bottom w:val="nil"/>
            </w:tcBorders>
          </w:tcPr>
          <w:p w14:paraId="0338F1E3" w14:textId="77777777" w:rsidR="00A62D0A" w:rsidRPr="003D1CC2" w:rsidRDefault="00A62D0A" w:rsidP="00A62D0A">
            <w:pPr>
              <w:spacing w:line="238" w:lineRule="exact"/>
              <w:rPr>
                <w:rFonts w:ascii="Calibri" w:eastAsia="Calibri" w:hAnsi="Calibri" w:cs="Calibri"/>
                <w:lang w:val="fr-FR"/>
              </w:rPr>
            </w:pPr>
          </w:p>
        </w:tc>
        <w:tc>
          <w:tcPr>
            <w:tcW w:w="2612" w:type="dxa"/>
            <w:tcBorders>
              <w:top w:val="nil"/>
              <w:bottom w:val="nil"/>
            </w:tcBorders>
          </w:tcPr>
          <w:p w14:paraId="3AA4555A" w14:textId="77777777" w:rsidR="00A62D0A" w:rsidRPr="003D1CC2" w:rsidRDefault="00A62D0A" w:rsidP="00A62D0A">
            <w:pPr>
              <w:spacing w:line="238" w:lineRule="exact"/>
              <w:rPr>
                <w:rFonts w:ascii="Calibri" w:eastAsia="Calibri" w:hAnsi="Calibri" w:cs="Calibri"/>
                <w:lang w:val="fr-FR"/>
              </w:rPr>
            </w:pPr>
          </w:p>
        </w:tc>
        <w:tc>
          <w:tcPr>
            <w:tcW w:w="2281" w:type="dxa"/>
            <w:tcBorders>
              <w:top w:val="nil"/>
              <w:bottom w:val="nil"/>
            </w:tcBorders>
          </w:tcPr>
          <w:p w14:paraId="4D6B26E7"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22C04828" w14:textId="77777777" w:rsidR="00A62D0A" w:rsidRPr="003D1CC2" w:rsidRDefault="00A62D0A" w:rsidP="00A62D0A">
            <w:pPr>
              <w:spacing w:line="238" w:lineRule="exact"/>
              <w:rPr>
                <w:rFonts w:ascii="Calibri" w:eastAsia="Calibri" w:hAnsi="Calibri" w:cs="Calibri"/>
                <w:lang w:val="fr-FR"/>
              </w:rPr>
            </w:pPr>
          </w:p>
        </w:tc>
        <w:tc>
          <w:tcPr>
            <w:tcW w:w="2206" w:type="dxa"/>
            <w:tcBorders>
              <w:top w:val="nil"/>
              <w:bottom w:val="nil"/>
            </w:tcBorders>
          </w:tcPr>
          <w:p w14:paraId="459CF103" w14:textId="77777777" w:rsidR="00A62D0A" w:rsidRPr="003D1CC2" w:rsidRDefault="00A62D0A" w:rsidP="00A62D0A">
            <w:pPr>
              <w:rPr>
                <w:rFonts w:ascii="Times New Roman" w:eastAsia="Calibri" w:hAnsi="Calibri" w:cs="Calibri"/>
                <w:sz w:val="18"/>
                <w:lang w:val="fr-FR"/>
              </w:rPr>
            </w:pPr>
          </w:p>
        </w:tc>
      </w:tr>
      <w:tr w:rsidR="00A62D0A" w:rsidRPr="00932DB4" w14:paraId="429A3960" w14:textId="77777777" w:rsidTr="00A405C4">
        <w:trPr>
          <w:trHeight w:val="303"/>
        </w:trPr>
        <w:tc>
          <w:tcPr>
            <w:tcW w:w="1883" w:type="dxa"/>
            <w:vMerge/>
            <w:tcBorders>
              <w:top w:val="nil"/>
            </w:tcBorders>
            <w:textDirection w:val="btLr"/>
          </w:tcPr>
          <w:p w14:paraId="3ADE2EE1" w14:textId="77777777" w:rsidR="00A62D0A" w:rsidRPr="003D1CC2" w:rsidRDefault="00A62D0A" w:rsidP="00A62D0A">
            <w:pPr>
              <w:rPr>
                <w:sz w:val="2"/>
                <w:szCs w:val="2"/>
                <w:lang w:val="fr-FR"/>
              </w:rPr>
            </w:pPr>
          </w:p>
        </w:tc>
        <w:tc>
          <w:tcPr>
            <w:tcW w:w="2611" w:type="dxa"/>
            <w:tcBorders>
              <w:top w:val="nil"/>
              <w:bottom w:val="nil"/>
            </w:tcBorders>
          </w:tcPr>
          <w:p w14:paraId="78B93BE3"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753B5E9C" w14:textId="77777777" w:rsidR="00A62D0A" w:rsidRPr="003D1CC2" w:rsidRDefault="00A62D0A" w:rsidP="00A62D0A">
            <w:pPr>
              <w:spacing w:line="238" w:lineRule="exact"/>
              <w:ind w:left="108"/>
              <w:rPr>
                <w:rFonts w:ascii="Calibri" w:eastAsia="Calibri" w:hAnsi="Calibri" w:cs="Calibri"/>
                <w:lang w:val="fr-FR"/>
              </w:rPr>
            </w:pPr>
          </w:p>
        </w:tc>
        <w:tc>
          <w:tcPr>
            <w:tcW w:w="2281" w:type="dxa"/>
            <w:tcBorders>
              <w:top w:val="nil"/>
              <w:bottom w:val="nil"/>
            </w:tcBorders>
          </w:tcPr>
          <w:p w14:paraId="01A97D4A"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5E3821AD" w14:textId="77777777" w:rsidR="00A62D0A" w:rsidRPr="003D1CC2" w:rsidRDefault="00A62D0A" w:rsidP="00A62D0A">
            <w:pPr>
              <w:spacing w:line="238" w:lineRule="exact"/>
              <w:rPr>
                <w:rFonts w:ascii="Calibri" w:eastAsia="Calibri" w:hAnsi="Calibri" w:cs="Calibri"/>
                <w:lang w:val="fr-FR"/>
              </w:rPr>
            </w:pPr>
          </w:p>
        </w:tc>
        <w:tc>
          <w:tcPr>
            <w:tcW w:w="2206" w:type="dxa"/>
            <w:tcBorders>
              <w:top w:val="nil"/>
              <w:bottom w:val="nil"/>
            </w:tcBorders>
          </w:tcPr>
          <w:p w14:paraId="2A70C09E" w14:textId="77777777" w:rsidR="00A62D0A" w:rsidRPr="003D1CC2" w:rsidRDefault="00A62D0A" w:rsidP="00A62D0A">
            <w:pPr>
              <w:rPr>
                <w:rFonts w:ascii="Times New Roman" w:eastAsia="Calibri" w:hAnsi="Calibri" w:cs="Calibri"/>
                <w:sz w:val="18"/>
                <w:lang w:val="fr-FR"/>
              </w:rPr>
            </w:pPr>
          </w:p>
        </w:tc>
      </w:tr>
      <w:tr w:rsidR="00A62D0A" w:rsidRPr="00932DB4" w14:paraId="11BFE1A4" w14:textId="77777777" w:rsidTr="00A405C4">
        <w:trPr>
          <w:trHeight w:val="304"/>
        </w:trPr>
        <w:tc>
          <w:tcPr>
            <w:tcW w:w="1883" w:type="dxa"/>
            <w:vMerge/>
            <w:tcBorders>
              <w:top w:val="nil"/>
            </w:tcBorders>
            <w:textDirection w:val="btLr"/>
          </w:tcPr>
          <w:p w14:paraId="3197F8C2" w14:textId="77777777" w:rsidR="00A62D0A" w:rsidRPr="003D1CC2" w:rsidRDefault="00A62D0A" w:rsidP="00A62D0A">
            <w:pPr>
              <w:rPr>
                <w:sz w:val="2"/>
                <w:szCs w:val="2"/>
                <w:lang w:val="fr-FR"/>
              </w:rPr>
            </w:pPr>
          </w:p>
        </w:tc>
        <w:tc>
          <w:tcPr>
            <w:tcW w:w="2611" w:type="dxa"/>
            <w:tcBorders>
              <w:top w:val="nil"/>
              <w:bottom w:val="nil"/>
            </w:tcBorders>
          </w:tcPr>
          <w:p w14:paraId="2E2EFEFF"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5BF95247"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06D65F3D"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69105AC9"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3377B0A1" w14:textId="77777777" w:rsidR="00A62D0A" w:rsidRPr="003D1CC2" w:rsidRDefault="00A62D0A" w:rsidP="00A62D0A">
            <w:pPr>
              <w:rPr>
                <w:rFonts w:ascii="Times New Roman" w:eastAsia="Calibri" w:hAnsi="Calibri" w:cs="Calibri"/>
                <w:sz w:val="18"/>
                <w:lang w:val="fr-FR"/>
              </w:rPr>
            </w:pPr>
          </w:p>
        </w:tc>
      </w:tr>
      <w:tr w:rsidR="00A62D0A" w:rsidRPr="00932DB4" w14:paraId="22E3F738" w14:textId="77777777" w:rsidTr="00A405C4">
        <w:trPr>
          <w:trHeight w:val="305"/>
        </w:trPr>
        <w:tc>
          <w:tcPr>
            <w:tcW w:w="1883" w:type="dxa"/>
            <w:vMerge/>
            <w:tcBorders>
              <w:top w:val="nil"/>
            </w:tcBorders>
            <w:textDirection w:val="btLr"/>
          </w:tcPr>
          <w:p w14:paraId="093FF931" w14:textId="77777777" w:rsidR="00A62D0A" w:rsidRPr="003D1CC2" w:rsidRDefault="00A62D0A" w:rsidP="00A62D0A">
            <w:pPr>
              <w:rPr>
                <w:sz w:val="2"/>
                <w:szCs w:val="2"/>
                <w:lang w:val="fr-FR"/>
              </w:rPr>
            </w:pPr>
          </w:p>
        </w:tc>
        <w:tc>
          <w:tcPr>
            <w:tcW w:w="2611" w:type="dxa"/>
            <w:tcBorders>
              <w:top w:val="nil"/>
              <w:bottom w:val="nil"/>
            </w:tcBorders>
          </w:tcPr>
          <w:p w14:paraId="76479182"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32A617B9" w14:textId="77777777" w:rsidR="00A62D0A" w:rsidRPr="003D1CC2" w:rsidRDefault="00A62D0A" w:rsidP="00A62D0A">
            <w:pPr>
              <w:rPr>
                <w:rFonts w:ascii="Times New Roman" w:eastAsia="Calibri" w:hAnsi="Calibri" w:cs="Calibri"/>
                <w:sz w:val="18"/>
                <w:lang w:val="fr-FR"/>
              </w:rPr>
            </w:pPr>
          </w:p>
        </w:tc>
        <w:tc>
          <w:tcPr>
            <w:tcW w:w="2281" w:type="dxa"/>
            <w:tcBorders>
              <w:top w:val="nil"/>
              <w:bottom w:val="nil"/>
            </w:tcBorders>
          </w:tcPr>
          <w:p w14:paraId="28E8D279"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06DF43A0"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3E321888" w14:textId="77777777" w:rsidR="00A62D0A" w:rsidRPr="003D1CC2" w:rsidRDefault="00A62D0A" w:rsidP="00A62D0A">
            <w:pPr>
              <w:rPr>
                <w:rFonts w:ascii="Times New Roman" w:eastAsia="Calibri" w:hAnsi="Calibri" w:cs="Calibri"/>
                <w:sz w:val="18"/>
                <w:lang w:val="fr-FR"/>
              </w:rPr>
            </w:pPr>
          </w:p>
        </w:tc>
      </w:tr>
      <w:tr w:rsidR="00A62D0A" w:rsidRPr="00932DB4" w14:paraId="4F725F7F" w14:textId="77777777" w:rsidTr="00A405C4">
        <w:trPr>
          <w:trHeight w:val="305"/>
        </w:trPr>
        <w:tc>
          <w:tcPr>
            <w:tcW w:w="1883" w:type="dxa"/>
            <w:vMerge/>
            <w:tcBorders>
              <w:top w:val="nil"/>
            </w:tcBorders>
            <w:textDirection w:val="btLr"/>
          </w:tcPr>
          <w:p w14:paraId="1E8FE2B5" w14:textId="77777777" w:rsidR="00A62D0A" w:rsidRPr="003D1CC2" w:rsidRDefault="00A62D0A" w:rsidP="00A62D0A">
            <w:pPr>
              <w:rPr>
                <w:sz w:val="2"/>
                <w:szCs w:val="2"/>
                <w:lang w:val="fr-FR"/>
              </w:rPr>
            </w:pPr>
          </w:p>
        </w:tc>
        <w:tc>
          <w:tcPr>
            <w:tcW w:w="2611" w:type="dxa"/>
            <w:tcBorders>
              <w:top w:val="nil"/>
              <w:bottom w:val="nil"/>
            </w:tcBorders>
          </w:tcPr>
          <w:p w14:paraId="10F8F88C"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3A63CE94" w14:textId="77777777" w:rsidR="00A62D0A" w:rsidRPr="003D1CC2" w:rsidRDefault="00A62D0A" w:rsidP="00A62D0A">
            <w:pPr>
              <w:rPr>
                <w:rFonts w:ascii="Times New Roman" w:eastAsia="Calibri" w:hAnsi="Calibri" w:cs="Calibri"/>
                <w:sz w:val="18"/>
                <w:lang w:val="fr-FR"/>
              </w:rPr>
            </w:pPr>
          </w:p>
        </w:tc>
        <w:tc>
          <w:tcPr>
            <w:tcW w:w="2281" w:type="dxa"/>
            <w:tcBorders>
              <w:top w:val="nil"/>
              <w:bottom w:val="nil"/>
            </w:tcBorders>
          </w:tcPr>
          <w:p w14:paraId="21F8D4B1"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6204445E"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58BFC195" w14:textId="77777777" w:rsidR="00A62D0A" w:rsidRPr="003D1CC2" w:rsidRDefault="00A62D0A" w:rsidP="00A62D0A">
            <w:pPr>
              <w:rPr>
                <w:rFonts w:ascii="Times New Roman" w:eastAsia="Calibri" w:hAnsi="Calibri" w:cs="Calibri"/>
                <w:sz w:val="18"/>
                <w:lang w:val="fr-FR"/>
              </w:rPr>
            </w:pPr>
          </w:p>
        </w:tc>
      </w:tr>
      <w:tr w:rsidR="00A62D0A" w:rsidRPr="00932DB4" w14:paraId="34DAC80D" w14:textId="77777777" w:rsidTr="00A405C4">
        <w:trPr>
          <w:trHeight w:val="304"/>
        </w:trPr>
        <w:tc>
          <w:tcPr>
            <w:tcW w:w="1883" w:type="dxa"/>
            <w:vMerge/>
            <w:tcBorders>
              <w:top w:val="nil"/>
            </w:tcBorders>
            <w:textDirection w:val="btLr"/>
          </w:tcPr>
          <w:p w14:paraId="71C67A54" w14:textId="77777777" w:rsidR="00A62D0A" w:rsidRPr="003D1CC2" w:rsidRDefault="00A62D0A" w:rsidP="00A62D0A">
            <w:pPr>
              <w:rPr>
                <w:sz w:val="2"/>
                <w:szCs w:val="2"/>
                <w:lang w:val="fr-FR"/>
              </w:rPr>
            </w:pPr>
          </w:p>
        </w:tc>
        <w:tc>
          <w:tcPr>
            <w:tcW w:w="2611" w:type="dxa"/>
            <w:tcBorders>
              <w:top w:val="nil"/>
              <w:bottom w:val="nil"/>
            </w:tcBorders>
          </w:tcPr>
          <w:p w14:paraId="664FD7A2"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20104A14" w14:textId="77777777" w:rsidR="00A62D0A" w:rsidRPr="003D1CC2" w:rsidRDefault="00A62D0A" w:rsidP="00A62D0A">
            <w:pPr>
              <w:rPr>
                <w:rFonts w:ascii="Times New Roman" w:eastAsia="Calibri" w:hAnsi="Calibri" w:cs="Calibri"/>
                <w:sz w:val="18"/>
                <w:lang w:val="fr-FR"/>
              </w:rPr>
            </w:pPr>
          </w:p>
        </w:tc>
        <w:tc>
          <w:tcPr>
            <w:tcW w:w="2281" w:type="dxa"/>
            <w:tcBorders>
              <w:top w:val="nil"/>
              <w:bottom w:val="nil"/>
            </w:tcBorders>
          </w:tcPr>
          <w:p w14:paraId="2BF6AE25"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318382DB"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1D3FD4FE" w14:textId="77777777" w:rsidR="00A62D0A" w:rsidRPr="003D1CC2" w:rsidRDefault="00A62D0A" w:rsidP="00A62D0A">
            <w:pPr>
              <w:rPr>
                <w:rFonts w:ascii="Times New Roman" w:eastAsia="Calibri" w:hAnsi="Calibri" w:cs="Calibri"/>
                <w:sz w:val="18"/>
                <w:lang w:val="fr-FR"/>
              </w:rPr>
            </w:pPr>
          </w:p>
        </w:tc>
      </w:tr>
      <w:tr w:rsidR="00A62D0A" w:rsidRPr="00932DB4" w14:paraId="6E0BEDBD" w14:textId="77777777" w:rsidTr="00A405C4">
        <w:trPr>
          <w:trHeight w:val="288"/>
        </w:trPr>
        <w:tc>
          <w:tcPr>
            <w:tcW w:w="1883" w:type="dxa"/>
            <w:vMerge/>
            <w:tcBorders>
              <w:top w:val="nil"/>
            </w:tcBorders>
            <w:textDirection w:val="btLr"/>
          </w:tcPr>
          <w:p w14:paraId="483961E8" w14:textId="77777777" w:rsidR="00A62D0A" w:rsidRPr="003D1CC2" w:rsidRDefault="00A62D0A" w:rsidP="00A62D0A">
            <w:pPr>
              <w:rPr>
                <w:sz w:val="2"/>
                <w:szCs w:val="2"/>
                <w:lang w:val="fr-FR"/>
              </w:rPr>
            </w:pPr>
          </w:p>
        </w:tc>
        <w:tc>
          <w:tcPr>
            <w:tcW w:w="2611" w:type="dxa"/>
            <w:tcBorders>
              <w:top w:val="nil"/>
            </w:tcBorders>
          </w:tcPr>
          <w:p w14:paraId="5C6DCA2F" w14:textId="77777777" w:rsidR="00A62D0A" w:rsidRPr="003D1CC2" w:rsidRDefault="00A62D0A" w:rsidP="00A62D0A">
            <w:pPr>
              <w:rPr>
                <w:rFonts w:ascii="Times New Roman" w:eastAsia="Calibri" w:hAnsi="Calibri" w:cs="Calibri"/>
                <w:sz w:val="16"/>
                <w:lang w:val="fr-FR"/>
              </w:rPr>
            </w:pPr>
          </w:p>
        </w:tc>
        <w:tc>
          <w:tcPr>
            <w:tcW w:w="2612" w:type="dxa"/>
            <w:tcBorders>
              <w:top w:val="nil"/>
            </w:tcBorders>
          </w:tcPr>
          <w:p w14:paraId="7AF26328" w14:textId="77777777" w:rsidR="00A62D0A" w:rsidRPr="003D1CC2" w:rsidRDefault="00A62D0A" w:rsidP="00A62D0A">
            <w:pPr>
              <w:rPr>
                <w:rFonts w:ascii="Times New Roman" w:eastAsia="Calibri" w:hAnsi="Calibri" w:cs="Calibri"/>
                <w:sz w:val="16"/>
                <w:lang w:val="fr-FR"/>
              </w:rPr>
            </w:pPr>
          </w:p>
        </w:tc>
        <w:tc>
          <w:tcPr>
            <w:tcW w:w="2281" w:type="dxa"/>
            <w:tcBorders>
              <w:top w:val="nil"/>
            </w:tcBorders>
          </w:tcPr>
          <w:p w14:paraId="3FD2FFED" w14:textId="77777777" w:rsidR="00A62D0A" w:rsidRPr="003D1CC2" w:rsidRDefault="00A62D0A" w:rsidP="00A62D0A">
            <w:pPr>
              <w:rPr>
                <w:rFonts w:ascii="Times New Roman" w:eastAsia="Calibri" w:hAnsi="Calibri" w:cs="Calibri"/>
                <w:sz w:val="16"/>
                <w:lang w:val="fr-FR"/>
              </w:rPr>
            </w:pPr>
          </w:p>
        </w:tc>
        <w:tc>
          <w:tcPr>
            <w:tcW w:w="2612" w:type="dxa"/>
            <w:tcBorders>
              <w:top w:val="nil"/>
            </w:tcBorders>
          </w:tcPr>
          <w:p w14:paraId="1CB0ED75" w14:textId="77777777" w:rsidR="00A62D0A" w:rsidRPr="003D1CC2" w:rsidRDefault="00A62D0A" w:rsidP="00A62D0A">
            <w:pPr>
              <w:spacing w:line="224" w:lineRule="exact"/>
              <w:rPr>
                <w:rFonts w:ascii="Calibri" w:eastAsia="Calibri" w:hAnsi="Calibri" w:cs="Calibri"/>
                <w:lang w:val="fr-FR"/>
              </w:rPr>
            </w:pPr>
          </w:p>
        </w:tc>
        <w:tc>
          <w:tcPr>
            <w:tcW w:w="2206" w:type="dxa"/>
            <w:tcBorders>
              <w:top w:val="nil"/>
            </w:tcBorders>
          </w:tcPr>
          <w:p w14:paraId="4A926A7C" w14:textId="77777777" w:rsidR="00A62D0A" w:rsidRPr="003D1CC2" w:rsidRDefault="00A62D0A" w:rsidP="00A62D0A">
            <w:pPr>
              <w:rPr>
                <w:rFonts w:ascii="Times New Roman" w:eastAsia="Calibri" w:hAnsi="Calibri" w:cs="Calibri"/>
                <w:sz w:val="16"/>
                <w:lang w:val="fr-FR"/>
              </w:rPr>
            </w:pPr>
          </w:p>
        </w:tc>
      </w:tr>
    </w:tbl>
    <w:p w14:paraId="5AAC4B91" w14:textId="77777777" w:rsidR="00A62D0A" w:rsidRPr="00A62D0A" w:rsidRDefault="00A62D0A" w:rsidP="00A62D0A"/>
    <w:p w14:paraId="1EDBE6B3" w14:textId="77777777" w:rsidR="00A62D0A" w:rsidRPr="00A62D0A" w:rsidRDefault="00A62D0A" w:rsidP="00A62D0A"/>
    <w:p w14:paraId="2B2E2F98" w14:textId="77777777" w:rsidR="00A62D0A" w:rsidRDefault="00A62D0A" w:rsidP="00A62D0A">
      <w:pPr>
        <w:jc w:val="right"/>
        <w:rPr>
          <w:rFonts w:ascii="Times New Roman"/>
        </w:rPr>
      </w:pPr>
    </w:p>
    <w:p w14:paraId="147504C3" w14:textId="77777777" w:rsidR="00A62D0A" w:rsidRDefault="00A62D0A" w:rsidP="00A62D0A">
      <w:pPr>
        <w:rPr>
          <w:rFonts w:ascii="Times New Roman"/>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3"/>
        <w:gridCol w:w="2611"/>
        <w:gridCol w:w="2612"/>
        <w:gridCol w:w="2281"/>
        <w:gridCol w:w="2612"/>
        <w:gridCol w:w="2206"/>
      </w:tblGrid>
      <w:tr w:rsidR="00A62D0A" w:rsidRPr="00932DB4" w14:paraId="693B836D" w14:textId="77777777" w:rsidTr="00A405C4">
        <w:trPr>
          <w:trHeight w:val="1268"/>
        </w:trPr>
        <w:tc>
          <w:tcPr>
            <w:tcW w:w="1883" w:type="dxa"/>
          </w:tcPr>
          <w:p w14:paraId="057BF787" w14:textId="77777777" w:rsidR="00A62D0A" w:rsidRPr="003D1CC2" w:rsidRDefault="00A62D0A" w:rsidP="00A62D0A">
            <w:pPr>
              <w:rPr>
                <w:rFonts w:ascii="Times New Roman" w:eastAsia="Calibri" w:hAnsi="Calibri" w:cs="Calibri"/>
                <w:lang w:val="fr-FR"/>
              </w:rPr>
            </w:pPr>
          </w:p>
        </w:tc>
        <w:tc>
          <w:tcPr>
            <w:tcW w:w="2611" w:type="dxa"/>
          </w:tcPr>
          <w:p w14:paraId="7FD3B128" w14:textId="77777777" w:rsidR="00A62D0A" w:rsidRPr="003D1CC2" w:rsidRDefault="00A62D0A" w:rsidP="00A62D0A">
            <w:pPr>
              <w:ind w:left="107" w:right="550"/>
              <w:rPr>
                <w:rFonts w:ascii="Calibri" w:eastAsia="Calibri" w:hAnsi="Calibri" w:cs="Calibri"/>
                <w:b/>
                <w:lang w:val="fr-FR"/>
              </w:rPr>
            </w:pPr>
            <w:r w:rsidRPr="00932DB4">
              <w:rPr>
                <w:rFonts w:ascii="Calibri" w:eastAsia="Calibri" w:hAnsi="Calibri" w:cs="Calibri"/>
                <w:b/>
              </w:rPr>
              <w:t>Résultats</w:t>
            </w:r>
          </w:p>
        </w:tc>
        <w:tc>
          <w:tcPr>
            <w:tcW w:w="2612" w:type="dxa"/>
          </w:tcPr>
          <w:p w14:paraId="774057CB" w14:textId="77777777" w:rsidR="00A62D0A" w:rsidRPr="003D1CC2" w:rsidRDefault="00A62D0A" w:rsidP="00A62D0A">
            <w:pPr>
              <w:spacing w:line="268" w:lineRule="exact"/>
              <w:ind w:left="108"/>
              <w:rPr>
                <w:rFonts w:ascii="Calibri" w:eastAsia="Calibri" w:hAnsi="Calibri" w:cs="Calibri"/>
                <w:b/>
                <w:lang w:val="fr-FR"/>
              </w:rPr>
            </w:pPr>
            <w:r w:rsidRPr="00932DB4">
              <w:rPr>
                <w:rFonts w:ascii="Calibri" w:eastAsia="Calibri" w:hAnsi="Calibri" w:cs="Calibri"/>
                <w:b/>
              </w:rPr>
              <w:t xml:space="preserve">Indicateurs (nature) </w:t>
            </w:r>
          </w:p>
        </w:tc>
        <w:tc>
          <w:tcPr>
            <w:tcW w:w="2281" w:type="dxa"/>
          </w:tcPr>
          <w:p w14:paraId="7A750825" w14:textId="77777777" w:rsidR="00A62D0A" w:rsidRPr="003D1CC2" w:rsidRDefault="00A62D0A" w:rsidP="00A62D0A">
            <w:pPr>
              <w:ind w:left="108" w:right="179"/>
              <w:rPr>
                <w:rFonts w:ascii="Calibri" w:eastAsia="Calibri" w:hAnsi="Calibri" w:cs="Calibri"/>
                <w:b/>
                <w:lang w:val="fr-FR"/>
              </w:rPr>
            </w:pPr>
            <w:r w:rsidRPr="00932DB4">
              <w:rPr>
                <w:rFonts w:ascii="Calibri" w:eastAsia="Calibri" w:hAnsi="Calibri" w:cs="Calibri"/>
                <w:b/>
              </w:rPr>
              <w:t>Cible (valeur /nombre)</w:t>
            </w:r>
          </w:p>
        </w:tc>
        <w:tc>
          <w:tcPr>
            <w:tcW w:w="2612" w:type="dxa"/>
          </w:tcPr>
          <w:p w14:paraId="76C667F4" w14:textId="77777777" w:rsidR="00A62D0A" w:rsidRPr="00932DB4" w:rsidRDefault="00A62D0A" w:rsidP="00A62D0A">
            <w:pPr>
              <w:ind w:left="108" w:right="143"/>
              <w:rPr>
                <w:rFonts w:ascii="Calibri" w:eastAsia="Calibri" w:hAnsi="Calibri" w:cs="Calibri"/>
                <w:b/>
                <w:lang w:val="fr-FR"/>
              </w:rPr>
            </w:pPr>
            <w:r w:rsidRPr="00932DB4">
              <w:rPr>
                <w:rFonts w:ascii="Calibri" w:eastAsia="Calibri" w:hAnsi="Calibri" w:cs="Calibri"/>
                <w:b/>
                <w:lang w:val="fr-FR"/>
              </w:rPr>
              <w:t>Sources et moyens     de vérification</w:t>
            </w:r>
          </w:p>
        </w:tc>
        <w:tc>
          <w:tcPr>
            <w:tcW w:w="2206" w:type="dxa"/>
          </w:tcPr>
          <w:p w14:paraId="348EE6DD" w14:textId="77777777" w:rsidR="00A62D0A" w:rsidRPr="003D1CC2" w:rsidRDefault="00A62D0A" w:rsidP="00A62D0A">
            <w:pPr>
              <w:spacing w:line="268" w:lineRule="exact"/>
              <w:ind w:left="108"/>
              <w:rPr>
                <w:rFonts w:ascii="Calibri" w:eastAsia="Calibri" w:hAnsi="Calibri" w:cs="Calibri"/>
                <w:b/>
                <w:lang w:val="fr-FR"/>
              </w:rPr>
            </w:pPr>
            <w:r w:rsidRPr="00932DB4">
              <w:rPr>
                <w:rFonts w:ascii="Calibri" w:eastAsia="Calibri" w:hAnsi="Calibri" w:cs="Calibri"/>
                <w:b/>
              </w:rPr>
              <w:t>Hypothèses</w:t>
            </w:r>
          </w:p>
        </w:tc>
      </w:tr>
      <w:tr w:rsidR="00A62D0A" w:rsidRPr="00932DB4" w14:paraId="5EE9E88E" w14:textId="77777777" w:rsidTr="00A405C4">
        <w:trPr>
          <w:trHeight w:val="334"/>
        </w:trPr>
        <w:tc>
          <w:tcPr>
            <w:tcW w:w="1883" w:type="dxa"/>
            <w:vMerge w:val="restart"/>
            <w:textDirection w:val="btLr"/>
          </w:tcPr>
          <w:p w14:paraId="2B2DCFF4" w14:textId="77777777" w:rsidR="00A62D0A" w:rsidRPr="003D1CC2" w:rsidRDefault="00A62D0A" w:rsidP="00A62D0A">
            <w:pPr>
              <w:spacing w:before="112"/>
              <w:ind w:left="113"/>
              <w:jc w:val="right"/>
              <w:rPr>
                <w:rFonts w:ascii="Calibri" w:eastAsia="Calibri" w:hAnsi="Calibri" w:cs="Calibri"/>
                <w:b/>
                <w:u w:val="single"/>
                <w:lang w:val="fr-FR"/>
              </w:rPr>
            </w:pPr>
          </w:p>
          <w:p w14:paraId="178F97F0" w14:textId="77777777" w:rsidR="00A62D0A" w:rsidRPr="003D1CC2" w:rsidRDefault="00A62D0A" w:rsidP="00A62D0A">
            <w:pPr>
              <w:spacing w:before="112"/>
              <w:ind w:left="113"/>
              <w:jc w:val="center"/>
              <w:rPr>
                <w:rFonts w:ascii="Calibri" w:eastAsia="Calibri" w:hAnsi="Calibri" w:cs="Calibri"/>
                <w:b/>
                <w:u w:val="single"/>
                <w:lang w:val="fr-FR"/>
              </w:rPr>
            </w:pPr>
            <w:r w:rsidRPr="00932DB4">
              <w:rPr>
                <w:rFonts w:ascii="Calibri" w:eastAsia="Calibri" w:hAnsi="Calibri" w:cs="Calibri"/>
                <w:b/>
                <w:u w:val="single"/>
              </w:rPr>
              <w:t xml:space="preserve">Objectif spécifique </w:t>
            </w:r>
          </w:p>
          <w:p w14:paraId="7AC492EC" w14:textId="77777777" w:rsidR="00A62D0A" w:rsidRPr="003D1CC2" w:rsidRDefault="00A62D0A" w:rsidP="00A62D0A">
            <w:pPr>
              <w:spacing w:before="112"/>
              <w:ind w:left="113"/>
              <w:jc w:val="right"/>
              <w:rPr>
                <w:rFonts w:ascii="Calibri" w:eastAsia="Calibri" w:hAnsi="Calibri" w:cs="Calibri"/>
                <w:b/>
                <w:lang w:val="fr-FR"/>
              </w:rPr>
            </w:pPr>
            <w:r w:rsidRPr="00932DB4">
              <w:rPr>
                <w:rFonts w:ascii="Calibri" w:eastAsia="Calibri" w:hAnsi="Calibri" w:cs="Calibri"/>
                <w:b/>
                <w:u w:val="single"/>
              </w:rPr>
              <w:t xml:space="preserve"> </w:t>
            </w:r>
          </w:p>
        </w:tc>
        <w:tc>
          <w:tcPr>
            <w:tcW w:w="2611" w:type="dxa"/>
            <w:tcBorders>
              <w:bottom w:val="nil"/>
            </w:tcBorders>
          </w:tcPr>
          <w:p w14:paraId="6245658A" w14:textId="77777777" w:rsidR="00A62D0A" w:rsidRPr="003D1CC2" w:rsidRDefault="00A62D0A" w:rsidP="00A62D0A">
            <w:pPr>
              <w:spacing w:line="263" w:lineRule="exact"/>
              <w:rPr>
                <w:rFonts w:ascii="Calibri" w:eastAsia="Calibri" w:hAnsi="Calibri" w:cs="Calibri"/>
                <w:lang w:val="fr-FR"/>
              </w:rPr>
            </w:pPr>
          </w:p>
        </w:tc>
        <w:tc>
          <w:tcPr>
            <w:tcW w:w="2612" w:type="dxa"/>
            <w:tcBorders>
              <w:bottom w:val="nil"/>
            </w:tcBorders>
          </w:tcPr>
          <w:p w14:paraId="1B553813" w14:textId="77777777" w:rsidR="00A62D0A" w:rsidRPr="003D1CC2" w:rsidRDefault="00A62D0A" w:rsidP="00A62D0A">
            <w:pPr>
              <w:spacing w:line="263" w:lineRule="exact"/>
              <w:rPr>
                <w:rFonts w:ascii="Calibri" w:eastAsia="Calibri" w:hAnsi="Calibri" w:cs="Calibri"/>
                <w:lang w:val="fr-FR"/>
              </w:rPr>
            </w:pPr>
          </w:p>
        </w:tc>
        <w:tc>
          <w:tcPr>
            <w:tcW w:w="2281" w:type="dxa"/>
            <w:tcBorders>
              <w:bottom w:val="nil"/>
            </w:tcBorders>
          </w:tcPr>
          <w:p w14:paraId="2F54FBAF" w14:textId="77777777" w:rsidR="00A62D0A" w:rsidRPr="003D1CC2" w:rsidRDefault="00A62D0A" w:rsidP="00A62D0A">
            <w:pPr>
              <w:spacing w:line="263" w:lineRule="exact"/>
              <w:rPr>
                <w:rFonts w:ascii="Calibri" w:eastAsia="Calibri" w:hAnsi="Calibri" w:cs="Calibri"/>
                <w:i/>
                <w:lang w:val="fr-FR"/>
              </w:rPr>
            </w:pPr>
          </w:p>
        </w:tc>
        <w:tc>
          <w:tcPr>
            <w:tcW w:w="2612" w:type="dxa"/>
            <w:tcBorders>
              <w:bottom w:val="nil"/>
            </w:tcBorders>
          </w:tcPr>
          <w:p w14:paraId="6A4826B0" w14:textId="77777777" w:rsidR="00A62D0A" w:rsidRPr="003D1CC2" w:rsidRDefault="00A62D0A" w:rsidP="00A62D0A">
            <w:pPr>
              <w:spacing w:line="263" w:lineRule="exact"/>
              <w:rPr>
                <w:rFonts w:ascii="Calibri" w:eastAsia="Calibri" w:hAnsi="Calibri" w:cs="Calibri"/>
                <w:lang w:val="fr-FR"/>
              </w:rPr>
            </w:pPr>
          </w:p>
        </w:tc>
        <w:tc>
          <w:tcPr>
            <w:tcW w:w="2206" w:type="dxa"/>
            <w:tcBorders>
              <w:bottom w:val="nil"/>
            </w:tcBorders>
          </w:tcPr>
          <w:p w14:paraId="6D011E07" w14:textId="77777777" w:rsidR="00A62D0A" w:rsidRPr="003D1CC2" w:rsidRDefault="00A62D0A" w:rsidP="00A62D0A">
            <w:pPr>
              <w:spacing w:line="263" w:lineRule="exact"/>
              <w:ind w:left="108"/>
              <w:rPr>
                <w:rFonts w:ascii="Calibri" w:eastAsia="Calibri" w:hAnsi="Calibri" w:cs="Calibri"/>
                <w:lang w:val="fr-FR"/>
              </w:rPr>
            </w:pPr>
          </w:p>
        </w:tc>
      </w:tr>
      <w:tr w:rsidR="00A62D0A" w:rsidRPr="00932DB4" w14:paraId="664AEAAF" w14:textId="77777777" w:rsidTr="00A405C4">
        <w:trPr>
          <w:trHeight w:val="304"/>
        </w:trPr>
        <w:tc>
          <w:tcPr>
            <w:tcW w:w="1883" w:type="dxa"/>
            <w:vMerge/>
            <w:tcBorders>
              <w:top w:val="nil"/>
            </w:tcBorders>
            <w:textDirection w:val="btLr"/>
          </w:tcPr>
          <w:p w14:paraId="4E8B6CB9" w14:textId="77777777" w:rsidR="00A62D0A" w:rsidRPr="003D1CC2" w:rsidRDefault="00A62D0A" w:rsidP="00A62D0A">
            <w:pPr>
              <w:rPr>
                <w:sz w:val="2"/>
                <w:szCs w:val="2"/>
                <w:lang w:val="fr-FR"/>
              </w:rPr>
            </w:pPr>
          </w:p>
        </w:tc>
        <w:tc>
          <w:tcPr>
            <w:tcW w:w="2611" w:type="dxa"/>
            <w:tcBorders>
              <w:top w:val="nil"/>
              <w:bottom w:val="nil"/>
            </w:tcBorders>
          </w:tcPr>
          <w:p w14:paraId="55D6C694"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2B8CFFA6"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5B383BA6"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17553FED"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3C821ACC" w14:textId="77777777" w:rsidR="00A62D0A" w:rsidRPr="003D1CC2" w:rsidRDefault="00A62D0A" w:rsidP="00A62D0A">
            <w:pPr>
              <w:spacing w:line="239" w:lineRule="exact"/>
              <w:ind w:left="108"/>
              <w:rPr>
                <w:rFonts w:ascii="Calibri" w:eastAsia="Calibri" w:hAnsi="Calibri" w:cs="Calibri"/>
                <w:lang w:val="fr-FR"/>
              </w:rPr>
            </w:pPr>
          </w:p>
        </w:tc>
      </w:tr>
      <w:tr w:rsidR="00A62D0A" w:rsidRPr="00932DB4" w14:paraId="1C13D4AD" w14:textId="77777777" w:rsidTr="00A405C4">
        <w:trPr>
          <w:trHeight w:val="304"/>
        </w:trPr>
        <w:tc>
          <w:tcPr>
            <w:tcW w:w="1883" w:type="dxa"/>
            <w:vMerge/>
            <w:tcBorders>
              <w:top w:val="nil"/>
            </w:tcBorders>
            <w:textDirection w:val="btLr"/>
          </w:tcPr>
          <w:p w14:paraId="631A2EF6" w14:textId="77777777" w:rsidR="00A62D0A" w:rsidRPr="003D1CC2" w:rsidRDefault="00A62D0A" w:rsidP="00A62D0A">
            <w:pPr>
              <w:rPr>
                <w:sz w:val="2"/>
                <w:szCs w:val="2"/>
                <w:lang w:val="fr-FR"/>
              </w:rPr>
            </w:pPr>
          </w:p>
        </w:tc>
        <w:tc>
          <w:tcPr>
            <w:tcW w:w="2611" w:type="dxa"/>
            <w:tcBorders>
              <w:top w:val="nil"/>
              <w:bottom w:val="nil"/>
            </w:tcBorders>
          </w:tcPr>
          <w:p w14:paraId="7E888913"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56FFABD1"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296F4BF7"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2DC210CF"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090B9305" w14:textId="77777777" w:rsidR="00A62D0A" w:rsidRPr="003D1CC2" w:rsidRDefault="00A62D0A" w:rsidP="00A62D0A">
            <w:pPr>
              <w:spacing w:line="239" w:lineRule="exact"/>
              <w:ind w:left="108"/>
              <w:rPr>
                <w:rFonts w:ascii="Calibri" w:eastAsia="Calibri" w:hAnsi="Calibri" w:cs="Calibri"/>
                <w:lang w:val="fr-FR"/>
              </w:rPr>
            </w:pPr>
          </w:p>
        </w:tc>
      </w:tr>
      <w:tr w:rsidR="00A62D0A" w:rsidRPr="00932DB4" w14:paraId="72D69153" w14:textId="77777777" w:rsidTr="00A405C4">
        <w:trPr>
          <w:trHeight w:val="304"/>
        </w:trPr>
        <w:tc>
          <w:tcPr>
            <w:tcW w:w="1883" w:type="dxa"/>
            <w:vMerge/>
            <w:tcBorders>
              <w:top w:val="nil"/>
            </w:tcBorders>
            <w:textDirection w:val="btLr"/>
          </w:tcPr>
          <w:p w14:paraId="3FD2AA9E" w14:textId="77777777" w:rsidR="00A62D0A" w:rsidRPr="003D1CC2" w:rsidRDefault="00A62D0A" w:rsidP="00A62D0A">
            <w:pPr>
              <w:rPr>
                <w:sz w:val="2"/>
                <w:szCs w:val="2"/>
                <w:lang w:val="fr-FR"/>
              </w:rPr>
            </w:pPr>
          </w:p>
        </w:tc>
        <w:tc>
          <w:tcPr>
            <w:tcW w:w="2611" w:type="dxa"/>
            <w:tcBorders>
              <w:top w:val="nil"/>
              <w:bottom w:val="nil"/>
            </w:tcBorders>
          </w:tcPr>
          <w:p w14:paraId="0FE84AF7"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5D9097DB"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0F1E9A42"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24108675"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2902FDFD" w14:textId="77777777" w:rsidR="00A62D0A" w:rsidRPr="003D1CC2" w:rsidRDefault="00A62D0A" w:rsidP="00A62D0A">
            <w:pPr>
              <w:spacing w:line="239" w:lineRule="exact"/>
              <w:ind w:left="108"/>
              <w:rPr>
                <w:rFonts w:ascii="Calibri" w:eastAsia="Calibri" w:hAnsi="Calibri" w:cs="Calibri"/>
                <w:lang w:val="fr-FR"/>
              </w:rPr>
            </w:pPr>
          </w:p>
        </w:tc>
      </w:tr>
      <w:tr w:rsidR="00A62D0A" w:rsidRPr="00932DB4" w14:paraId="495169BF" w14:textId="77777777" w:rsidTr="00A405C4">
        <w:trPr>
          <w:trHeight w:val="304"/>
        </w:trPr>
        <w:tc>
          <w:tcPr>
            <w:tcW w:w="1883" w:type="dxa"/>
            <w:vMerge/>
            <w:tcBorders>
              <w:top w:val="nil"/>
            </w:tcBorders>
            <w:textDirection w:val="btLr"/>
          </w:tcPr>
          <w:p w14:paraId="2C9202C2" w14:textId="77777777" w:rsidR="00A62D0A" w:rsidRPr="003D1CC2" w:rsidRDefault="00A62D0A" w:rsidP="00A62D0A">
            <w:pPr>
              <w:rPr>
                <w:sz w:val="2"/>
                <w:szCs w:val="2"/>
                <w:lang w:val="fr-FR"/>
              </w:rPr>
            </w:pPr>
          </w:p>
        </w:tc>
        <w:tc>
          <w:tcPr>
            <w:tcW w:w="2611" w:type="dxa"/>
            <w:tcBorders>
              <w:top w:val="nil"/>
              <w:bottom w:val="nil"/>
            </w:tcBorders>
          </w:tcPr>
          <w:p w14:paraId="78808BA3"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7679F122"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3F24AE8C"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7D48FACF"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73CAE21D" w14:textId="77777777" w:rsidR="00A62D0A" w:rsidRPr="003D1CC2" w:rsidRDefault="00A62D0A" w:rsidP="00A62D0A">
            <w:pPr>
              <w:spacing w:line="239" w:lineRule="exact"/>
              <w:ind w:left="108"/>
              <w:rPr>
                <w:rFonts w:ascii="Calibri" w:eastAsia="Calibri" w:hAnsi="Calibri" w:cs="Calibri"/>
                <w:lang w:val="fr-FR"/>
              </w:rPr>
            </w:pPr>
          </w:p>
        </w:tc>
      </w:tr>
      <w:tr w:rsidR="00A62D0A" w:rsidRPr="00932DB4" w14:paraId="6F429B4A" w14:textId="77777777" w:rsidTr="00A405C4">
        <w:trPr>
          <w:trHeight w:val="303"/>
        </w:trPr>
        <w:tc>
          <w:tcPr>
            <w:tcW w:w="1883" w:type="dxa"/>
            <w:vMerge/>
            <w:tcBorders>
              <w:top w:val="nil"/>
            </w:tcBorders>
            <w:textDirection w:val="btLr"/>
          </w:tcPr>
          <w:p w14:paraId="53529DED" w14:textId="77777777" w:rsidR="00A62D0A" w:rsidRPr="003D1CC2" w:rsidRDefault="00A62D0A" w:rsidP="00A62D0A">
            <w:pPr>
              <w:rPr>
                <w:sz w:val="2"/>
                <w:szCs w:val="2"/>
                <w:lang w:val="fr-FR"/>
              </w:rPr>
            </w:pPr>
          </w:p>
        </w:tc>
        <w:tc>
          <w:tcPr>
            <w:tcW w:w="2611" w:type="dxa"/>
            <w:tcBorders>
              <w:top w:val="nil"/>
              <w:bottom w:val="nil"/>
            </w:tcBorders>
          </w:tcPr>
          <w:p w14:paraId="23816943" w14:textId="77777777" w:rsidR="00A62D0A" w:rsidRPr="003D1CC2" w:rsidRDefault="00A62D0A" w:rsidP="00A62D0A">
            <w:pPr>
              <w:spacing w:line="238" w:lineRule="exact"/>
              <w:rPr>
                <w:rFonts w:ascii="Calibri" w:eastAsia="Calibri" w:hAnsi="Calibri" w:cs="Calibri"/>
                <w:lang w:val="fr-FR"/>
              </w:rPr>
            </w:pPr>
          </w:p>
        </w:tc>
        <w:tc>
          <w:tcPr>
            <w:tcW w:w="2612" w:type="dxa"/>
            <w:tcBorders>
              <w:top w:val="nil"/>
              <w:bottom w:val="nil"/>
            </w:tcBorders>
          </w:tcPr>
          <w:p w14:paraId="36AFF2DA" w14:textId="77777777" w:rsidR="00A62D0A" w:rsidRPr="003D1CC2" w:rsidRDefault="00A62D0A" w:rsidP="00A62D0A">
            <w:pPr>
              <w:spacing w:line="238" w:lineRule="exact"/>
              <w:rPr>
                <w:rFonts w:ascii="Calibri" w:eastAsia="Calibri" w:hAnsi="Calibri" w:cs="Calibri"/>
                <w:lang w:val="fr-FR"/>
              </w:rPr>
            </w:pPr>
          </w:p>
        </w:tc>
        <w:tc>
          <w:tcPr>
            <w:tcW w:w="2281" w:type="dxa"/>
            <w:tcBorders>
              <w:top w:val="nil"/>
              <w:bottom w:val="nil"/>
            </w:tcBorders>
          </w:tcPr>
          <w:p w14:paraId="170461ED"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1E2D7493" w14:textId="77777777" w:rsidR="00A62D0A" w:rsidRPr="003D1CC2" w:rsidRDefault="00A62D0A" w:rsidP="00A62D0A">
            <w:pPr>
              <w:spacing w:line="238" w:lineRule="exact"/>
              <w:rPr>
                <w:rFonts w:ascii="Calibri" w:eastAsia="Calibri" w:hAnsi="Calibri" w:cs="Calibri"/>
                <w:lang w:val="fr-FR"/>
              </w:rPr>
            </w:pPr>
          </w:p>
        </w:tc>
        <w:tc>
          <w:tcPr>
            <w:tcW w:w="2206" w:type="dxa"/>
            <w:tcBorders>
              <w:top w:val="nil"/>
              <w:bottom w:val="nil"/>
            </w:tcBorders>
          </w:tcPr>
          <w:p w14:paraId="50DDFD13" w14:textId="77777777" w:rsidR="00A62D0A" w:rsidRPr="003D1CC2" w:rsidRDefault="00A62D0A" w:rsidP="00A62D0A">
            <w:pPr>
              <w:rPr>
                <w:rFonts w:ascii="Times New Roman" w:eastAsia="Calibri" w:hAnsi="Calibri" w:cs="Calibri"/>
                <w:sz w:val="18"/>
                <w:lang w:val="fr-FR"/>
              </w:rPr>
            </w:pPr>
          </w:p>
        </w:tc>
      </w:tr>
      <w:tr w:rsidR="00A62D0A" w:rsidRPr="00932DB4" w14:paraId="13188875" w14:textId="77777777" w:rsidTr="00A405C4">
        <w:trPr>
          <w:trHeight w:val="303"/>
        </w:trPr>
        <w:tc>
          <w:tcPr>
            <w:tcW w:w="1883" w:type="dxa"/>
            <w:vMerge/>
            <w:tcBorders>
              <w:top w:val="nil"/>
            </w:tcBorders>
            <w:textDirection w:val="btLr"/>
          </w:tcPr>
          <w:p w14:paraId="694C5A78" w14:textId="77777777" w:rsidR="00A62D0A" w:rsidRPr="003D1CC2" w:rsidRDefault="00A62D0A" w:rsidP="00A62D0A">
            <w:pPr>
              <w:rPr>
                <w:sz w:val="2"/>
                <w:szCs w:val="2"/>
                <w:lang w:val="fr-FR"/>
              </w:rPr>
            </w:pPr>
          </w:p>
        </w:tc>
        <w:tc>
          <w:tcPr>
            <w:tcW w:w="2611" w:type="dxa"/>
            <w:tcBorders>
              <w:top w:val="nil"/>
              <w:bottom w:val="nil"/>
            </w:tcBorders>
          </w:tcPr>
          <w:p w14:paraId="31379FB6"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3DF6D518" w14:textId="77777777" w:rsidR="00A62D0A" w:rsidRPr="003D1CC2" w:rsidRDefault="00A62D0A" w:rsidP="00A62D0A">
            <w:pPr>
              <w:spacing w:line="238" w:lineRule="exact"/>
              <w:ind w:left="108"/>
              <w:rPr>
                <w:rFonts w:ascii="Calibri" w:eastAsia="Calibri" w:hAnsi="Calibri" w:cs="Calibri"/>
                <w:lang w:val="fr-FR"/>
              </w:rPr>
            </w:pPr>
          </w:p>
        </w:tc>
        <w:tc>
          <w:tcPr>
            <w:tcW w:w="2281" w:type="dxa"/>
            <w:tcBorders>
              <w:top w:val="nil"/>
              <w:bottom w:val="nil"/>
            </w:tcBorders>
          </w:tcPr>
          <w:p w14:paraId="4159DA9A"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2F241A77" w14:textId="77777777" w:rsidR="00A62D0A" w:rsidRPr="003D1CC2" w:rsidRDefault="00A62D0A" w:rsidP="00A62D0A">
            <w:pPr>
              <w:spacing w:line="238" w:lineRule="exact"/>
              <w:rPr>
                <w:rFonts w:ascii="Calibri" w:eastAsia="Calibri" w:hAnsi="Calibri" w:cs="Calibri"/>
                <w:lang w:val="fr-FR"/>
              </w:rPr>
            </w:pPr>
          </w:p>
        </w:tc>
        <w:tc>
          <w:tcPr>
            <w:tcW w:w="2206" w:type="dxa"/>
            <w:tcBorders>
              <w:top w:val="nil"/>
              <w:bottom w:val="nil"/>
            </w:tcBorders>
          </w:tcPr>
          <w:p w14:paraId="17181CE0" w14:textId="77777777" w:rsidR="00A62D0A" w:rsidRPr="003D1CC2" w:rsidRDefault="00A62D0A" w:rsidP="00A62D0A">
            <w:pPr>
              <w:rPr>
                <w:rFonts w:ascii="Times New Roman" w:eastAsia="Calibri" w:hAnsi="Calibri" w:cs="Calibri"/>
                <w:sz w:val="18"/>
                <w:lang w:val="fr-FR"/>
              </w:rPr>
            </w:pPr>
          </w:p>
        </w:tc>
      </w:tr>
      <w:tr w:rsidR="00A62D0A" w:rsidRPr="00932DB4" w14:paraId="290E7C11" w14:textId="77777777" w:rsidTr="00A405C4">
        <w:trPr>
          <w:trHeight w:val="304"/>
        </w:trPr>
        <w:tc>
          <w:tcPr>
            <w:tcW w:w="1883" w:type="dxa"/>
            <w:vMerge/>
            <w:tcBorders>
              <w:top w:val="nil"/>
            </w:tcBorders>
            <w:textDirection w:val="btLr"/>
          </w:tcPr>
          <w:p w14:paraId="2F37A421" w14:textId="77777777" w:rsidR="00A62D0A" w:rsidRPr="003D1CC2" w:rsidRDefault="00A62D0A" w:rsidP="00A62D0A">
            <w:pPr>
              <w:rPr>
                <w:sz w:val="2"/>
                <w:szCs w:val="2"/>
                <w:lang w:val="fr-FR"/>
              </w:rPr>
            </w:pPr>
          </w:p>
        </w:tc>
        <w:tc>
          <w:tcPr>
            <w:tcW w:w="2611" w:type="dxa"/>
            <w:tcBorders>
              <w:top w:val="nil"/>
              <w:bottom w:val="nil"/>
            </w:tcBorders>
          </w:tcPr>
          <w:p w14:paraId="04A0659A"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18666FBB"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2CD927E9"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21DCDA5B"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30B19E31" w14:textId="77777777" w:rsidR="00A62D0A" w:rsidRPr="003D1CC2" w:rsidRDefault="00A62D0A" w:rsidP="00A62D0A">
            <w:pPr>
              <w:rPr>
                <w:rFonts w:ascii="Times New Roman" w:eastAsia="Calibri" w:hAnsi="Calibri" w:cs="Calibri"/>
                <w:sz w:val="18"/>
                <w:lang w:val="fr-FR"/>
              </w:rPr>
            </w:pPr>
          </w:p>
        </w:tc>
      </w:tr>
      <w:tr w:rsidR="00A62D0A" w:rsidRPr="00932DB4" w14:paraId="56AC100C" w14:textId="77777777" w:rsidTr="00A405C4">
        <w:trPr>
          <w:trHeight w:val="305"/>
        </w:trPr>
        <w:tc>
          <w:tcPr>
            <w:tcW w:w="1883" w:type="dxa"/>
            <w:vMerge/>
            <w:tcBorders>
              <w:top w:val="nil"/>
            </w:tcBorders>
            <w:textDirection w:val="btLr"/>
          </w:tcPr>
          <w:p w14:paraId="2BBA6FD8" w14:textId="77777777" w:rsidR="00A62D0A" w:rsidRPr="003D1CC2" w:rsidRDefault="00A62D0A" w:rsidP="00A62D0A">
            <w:pPr>
              <w:rPr>
                <w:sz w:val="2"/>
                <w:szCs w:val="2"/>
                <w:lang w:val="fr-FR"/>
              </w:rPr>
            </w:pPr>
          </w:p>
        </w:tc>
        <w:tc>
          <w:tcPr>
            <w:tcW w:w="2611" w:type="dxa"/>
            <w:tcBorders>
              <w:top w:val="nil"/>
              <w:bottom w:val="nil"/>
            </w:tcBorders>
          </w:tcPr>
          <w:p w14:paraId="2A6178E1"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7867072F" w14:textId="77777777" w:rsidR="00A62D0A" w:rsidRPr="003D1CC2" w:rsidRDefault="00A62D0A" w:rsidP="00A62D0A">
            <w:pPr>
              <w:rPr>
                <w:rFonts w:ascii="Times New Roman" w:eastAsia="Calibri" w:hAnsi="Calibri" w:cs="Calibri"/>
                <w:sz w:val="18"/>
                <w:lang w:val="fr-FR"/>
              </w:rPr>
            </w:pPr>
          </w:p>
        </w:tc>
        <w:tc>
          <w:tcPr>
            <w:tcW w:w="2281" w:type="dxa"/>
            <w:tcBorders>
              <w:top w:val="nil"/>
              <w:bottom w:val="nil"/>
            </w:tcBorders>
          </w:tcPr>
          <w:p w14:paraId="238B7FCD"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39B29A57"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13D7BE4B" w14:textId="77777777" w:rsidR="00A62D0A" w:rsidRPr="003D1CC2" w:rsidRDefault="00A62D0A" w:rsidP="00A62D0A">
            <w:pPr>
              <w:rPr>
                <w:rFonts w:ascii="Times New Roman" w:eastAsia="Calibri" w:hAnsi="Calibri" w:cs="Calibri"/>
                <w:sz w:val="18"/>
                <w:lang w:val="fr-FR"/>
              </w:rPr>
            </w:pPr>
          </w:p>
        </w:tc>
      </w:tr>
      <w:tr w:rsidR="00A62D0A" w:rsidRPr="00932DB4" w14:paraId="1F60D198" w14:textId="77777777" w:rsidTr="00A405C4">
        <w:trPr>
          <w:trHeight w:val="305"/>
        </w:trPr>
        <w:tc>
          <w:tcPr>
            <w:tcW w:w="1883" w:type="dxa"/>
            <w:vMerge/>
            <w:tcBorders>
              <w:top w:val="nil"/>
            </w:tcBorders>
            <w:textDirection w:val="btLr"/>
          </w:tcPr>
          <w:p w14:paraId="21F07D2B" w14:textId="77777777" w:rsidR="00A62D0A" w:rsidRPr="003D1CC2" w:rsidRDefault="00A62D0A" w:rsidP="00A62D0A">
            <w:pPr>
              <w:rPr>
                <w:sz w:val="2"/>
                <w:szCs w:val="2"/>
                <w:lang w:val="fr-FR"/>
              </w:rPr>
            </w:pPr>
          </w:p>
        </w:tc>
        <w:tc>
          <w:tcPr>
            <w:tcW w:w="2611" w:type="dxa"/>
            <w:tcBorders>
              <w:top w:val="nil"/>
              <w:bottom w:val="nil"/>
            </w:tcBorders>
          </w:tcPr>
          <w:p w14:paraId="21FEA82D"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418679C0" w14:textId="77777777" w:rsidR="00A62D0A" w:rsidRPr="003D1CC2" w:rsidRDefault="00A62D0A" w:rsidP="00A62D0A">
            <w:pPr>
              <w:rPr>
                <w:rFonts w:ascii="Times New Roman" w:eastAsia="Calibri" w:hAnsi="Calibri" w:cs="Calibri"/>
                <w:sz w:val="18"/>
                <w:lang w:val="fr-FR"/>
              </w:rPr>
            </w:pPr>
          </w:p>
        </w:tc>
        <w:tc>
          <w:tcPr>
            <w:tcW w:w="2281" w:type="dxa"/>
            <w:tcBorders>
              <w:top w:val="nil"/>
              <w:bottom w:val="nil"/>
            </w:tcBorders>
          </w:tcPr>
          <w:p w14:paraId="5EF98574"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258190A7"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76972484" w14:textId="77777777" w:rsidR="00A62D0A" w:rsidRPr="003D1CC2" w:rsidRDefault="00A62D0A" w:rsidP="00A62D0A">
            <w:pPr>
              <w:rPr>
                <w:rFonts w:ascii="Times New Roman" w:eastAsia="Calibri" w:hAnsi="Calibri" w:cs="Calibri"/>
                <w:sz w:val="18"/>
                <w:lang w:val="fr-FR"/>
              </w:rPr>
            </w:pPr>
          </w:p>
        </w:tc>
      </w:tr>
      <w:tr w:rsidR="00A62D0A" w:rsidRPr="00932DB4" w14:paraId="6B5CB6B5" w14:textId="77777777" w:rsidTr="00A405C4">
        <w:trPr>
          <w:trHeight w:val="304"/>
        </w:trPr>
        <w:tc>
          <w:tcPr>
            <w:tcW w:w="1883" w:type="dxa"/>
            <w:vMerge/>
            <w:tcBorders>
              <w:top w:val="nil"/>
            </w:tcBorders>
            <w:textDirection w:val="btLr"/>
          </w:tcPr>
          <w:p w14:paraId="60556E96" w14:textId="77777777" w:rsidR="00A62D0A" w:rsidRPr="003D1CC2" w:rsidRDefault="00A62D0A" w:rsidP="00A62D0A">
            <w:pPr>
              <w:rPr>
                <w:sz w:val="2"/>
                <w:szCs w:val="2"/>
                <w:lang w:val="fr-FR"/>
              </w:rPr>
            </w:pPr>
          </w:p>
        </w:tc>
        <w:tc>
          <w:tcPr>
            <w:tcW w:w="2611" w:type="dxa"/>
            <w:tcBorders>
              <w:top w:val="nil"/>
              <w:bottom w:val="nil"/>
            </w:tcBorders>
          </w:tcPr>
          <w:p w14:paraId="48805D70"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7F8D6F92" w14:textId="77777777" w:rsidR="00A62D0A" w:rsidRPr="003D1CC2" w:rsidRDefault="00A62D0A" w:rsidP="00A62D0A">
            <w:pPr>
              <w:rPr>
                <w:rFonts w:ascii="Times New Roman" w:eastAsia="Calibri" w:hAnsi="Calibri" w:cs="Calibri"/>
                <w:sz w:val="18"/>
                <w:lang w:val="fr-FR"/>
              </w:rPr>
            </w:pPr>
          </w:p>
        </w:tc>
        <w:tc>
          <w:tcPr>
            <w:tcW w:w="2281" w:type="dxa"/>
            <w:tcBorders>
              <w:top w:val="nil"/>
              <w:bottom w:val="nil"/>
            </w:tcBorders>
          </w:tcPr>
          <w:p w14:paraId="6FFE24BB"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03D3FAF8"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764FB842" w14:textId="77777777" w:rsidR="00A62D0A" w:rsidRPr="003D1CC2" w:rsidRDefault="00A62D0A" w:rsidP="00A62D0A">
            <w:pPr>
              <w:rPr>
                <w:rFonts w:ascii="Times New Roman" w:eastAsia="Calibri" w:hAnsi="Calibri" w:cs="Calibri"/>
                <w:sz w:val="18"/>
                <w:lang w:val="fr-FR"/>
              </w:rPr>
            </w:pPr>
          </w:p>
        </w:tc>
      </w:tr>
      <w:tr w:rsidR="00A62D0A" w:rsidRPr="00932DB4" w14:paraId="194DE36B" w14:textId="77777777" w:rsidTr="00A405C4">
        <w:trPr>
          <w:trHeight w:val="288"/>
        </w:trPr>
        <w:tc>
          <w:tcPr>
            <w:tcW w:w="1883" w:type="dxa"/>
            <w:vMerge/>
            <w:tcBorders>
              <w:top w:val="nil"/>
            </w:tcBorders>
            <w:textDirection w:val="btLr"/>
          </w:tcPr>
          <w:p w14:paraId="5EDA2BF9" w14:textId="77777777" w:rsidR="00A62D0A" w:rsidRPr="003D1CC2" w:rsidRDefault="00A62D0A" w:rsidP="00A62D0A">
            <w:pPr>
              <w:rPr>
                <w:sz w:val="2"/>
                <w:szCs w:val="2"/>
                <w:lang w:val="fr-FR"/>
              </w:rPr>
            </w:pPr>
          </w:p>
        </w:tc>
        <w:tc>
          <w:tcPr>
            <w:tcW w:w="2611" w:type="dxa"/>
            <w:tcBorders>
              <w:top w:val="nil"/>
            </w:tcBorders>
          </w:tcPr>
          <w:p w14:paraId="72D5D0C9" w14:textId="77777777" w:rsidR="00A62D0A" w:rsidRPr="003D1CC2" w:rsidRDefault="00A62D0A" w:rsidP="00A62D0A">
            <w:pPr>
              <w:rPr>
                <w:rFonts w:ascii="Times New Roman" w:eastAsia="Calibri" w:hAnsi="Calibri" w:cs="Calibri"/>
                <w:sz w:val="16"/>
                <w:lang w:val="fr-FR"/>
              </w:rPr>
            </w:pPr>
          </w:p>
        </w:tc>
        <w:tc>
          <w:tcPr>
            <w:tcW w:w="2612" w:type="dxa"/>
            <w:tcBorders>
              <w:top w:val="nil"/>
            </w:tcBorders>
          </w:tcPr>
          <w:p w14:paraId="0FB7AD5A" w14:textId="77777777" w:rsidR="00A62D0A" w:rsidRPr="003D1CC2" w:rsidRDefault="00A62D0A" w:rsidP="00A62D0A">
            <w:pPr>
              <w:rPr>
                <w:rFonts w:ascii="Times New Roman" w:eastAsia="Calibri" w:hAnsi="Calibri" w:cs="Calibri"/>
                <w:sz w:val="16"/>
                <w:lang w:val="fr-FR"/>
              </w:rPr>
            </w:pPr>
          </w:p>
        </w:tc>
        <w:tc>
          <w:tcPr>
            <w:tcW w:w="2281" w:type="dxa"/>
            <w:tcBorders>
              <w:top w:val="nil"/>
            </w:tcBorders>
          </w:tcPr>
          <w:p w14:paraId="148212C4" w14:textId="77777777" w:rsidR="00A62D0A" w:rsidRPr="003D1CC2" w:rsidRDefault="00A62D0A" w:rsidP="00A62D0A">
            <w:pPr>
              <w:rPr>
                <w:rFonts w:ascii="Times New Roman" w:eastAsia="Calibri" w:hAnsi="Calibri" w:cs="Calibri"/>
                <w:sz w:val="16"/>
                <w:lang w:val="fr-FR"/>
              </w:rPr>
            </w:pPr>
          </w:p>
        </w:tc>
        <w:tc>
          <w:tcPr>
            <w:tcW w:w="2612" w:type="dxa"/>
            <w:tcBorders>
              <w:top w:val="nil"/>
            </w:tcBorders>
          </w:tcPr>
          <w:p w14:paraId="5D169E1A" w14:textId="77777777" w:rsidR="00A62D0A" w:rsidRPr="003D1CC2" w:rsidRDefault="00A62D0A" w:rsidP="00A62D0A">
            <w:pPr>
              <w:spacing w:line="224" w:lineRule="exact"/>
              <w:rPr>
                <w:rFonts w:ascii="Calibri" w:eastAsia="Calibri" w:hAnsi="Calibri" w:cs="Calibri"/>
                <w:lang w:val="fr-FR"/>
              </w:rPr>
            </w:pPr>
          </w:p>
        </w:tc>
        <w:tc>
          <w:tcPr>
            <w:tcW w:w="2206" w:type="dxa"/>
            <w:tcBorders>
              <w:top w:val="nil"/>
            </w:tcBorders>
          </w:tcPr>
          <w:p w14:paraId="47BC2E6D" w14:textId="77777777" w:rsidR="00A62D0A" w:rsidRPr="003D1CC2" w:rsidRDefault="00A62D0A" w:rsidP="00A62D0A">
            <w:pPr>
              <w:rPr>
                <w:rFonts w:ascii="Times New Roman" w:eastAsia="Calibri" w:hAnsi="Calibri" w:cs="Calibri"/>
                <w:sz w:val="16"/>
                <w:lang w:val="fr-FR"/>
              </w:rPr>
            </w:pPr>
          </w:p>
        </w:tc>
      </w:tr>
    </w:tbl>
    <w:p w14:paraId="5C1A2EDA" w14:textId="77777777" w:rsidR="00A62D0A" w:rsidRPr="00A62D0A" w:rsidRDefault="00A62D0A" w:rsidP="00A62D0A">
      <w:pPr>
        <w:widowControl w:val="0"/>
        <w:autoSpaceDE w:val="0"/>
        <w:autoSpaceDN w:val="0"/>
        <w:spacing w:after="0" w:line="240" w:lineRule="auto"/>
        <w:ind w:left="218" w:right="1329"/>
        <w:rPr>
          <w:rFonts w:ascii="Calibri" w:eastAsia="Calibri" w:hAnsi="Calibri" w:cs="Calibri"/>
        </w:rPr>
      </w:pPr>
    </w:p>
    <w:p w14:paraId="738436C3" w14:textId="77777777" w:rsidR="00A62D0A" w:rsidRPr="00A62D0A" w:rsidRDefault="00A62D0A" w:rsidP="00A62D0A">
      <w:pPr>
        <w:widowControl w:val="0"/>
        <w:autoSpaceDE w:val="0"/>
        <w:autoSpaceDN w:val="0"/>
        <w:spacing w:after="0" w:line="240" w:lineRule="auto"/>
        <w:ind w:left="218" w:right="1329"/>
        <w:rPr>
          <w:rFonts w:ascii="Calibri" w:eastAsia="Calibri" w:hAnsi="Calibri" w:cs="Calibri"/>
        </w:rPr>
      </w:pPr>
    </w:p>
    <w:p w14:paraId="3235C150" w14:textId="77777777" w:rsidR="00A62D0A" w:rsidRPr="00A62D0A" w:rsidRDefault="00A62D0A" w:rsidP="00A62D0A">
      <w:pPr>
        <w:widowControl w:val="0"/>
        <w:autoSpaceDE w:val="0"/>
        <w:autoSpaceDN w:val="0"/>
        <w:spacing w:after="0" w:line="240" w:lineRule="auto"/>
        <w:ind w:left="218" w:right="1329"/>
        <w:rPr>
          <w:rFonts w:ascii="Calibri" w:eastAsia="Calibri" w:hAnsi="Calibri" w:cs="Calibri"/>
        </w:rPr>
      </w:pPr>
    </w:p>
    <w:p w14:paraId="5345F83F" w14:textId="77777777" w:rsidR="00A62D0A" w:rsidRPr="00A62D0A" w:rsidRDefault="00A62D0A" w:rsidP="00A62D0A">
      <w:pPr>
        <w:widowControl w:val="0"/>
        <w:autoSpaceDE w:val="0"/>
        <w:autoSpaceDN w:val="0"/>
        <w:spacing w:after="0" w:line="240" w:lineRule="auto"/>
        <w:ind w:left="218" w:right="1329"/>
        <w:rPr>
          <w:rFonts w:ascii="Calibri" w:eastAsia="Calibri" w:hAnsi="Calibri" w:cs="Calibri"/>
        </w:rPr>
      </w:pPr>
    </w:p>
    <w:p w14:paraId="3E516F17" w14:textId="77777777" w:rsidR="00A62D0A" w:rsidRPr="00A62D0A" w:rsidRDefault="00A62D0A" w:rsidP="00A62D0A">
      <w:pPr>
        <w:widowControl w:val="0"/>
        <w:autoSpaceDE w:val="0"/>
        <w:autoSpaceDN w:val="0"/>
        <w:spacing w:after="0" w:line="240" w:lineRule="auto"/>
        <w:ind w:left="218" w:right="1329"/>
        <w:rPr>
          <w:rFonts w:ascii="Calibri" w:eastAsia="Calibri" w:hAnsi="Calibri" w:cs="Calibri"/>
        </w:rPr>
      </w:pPr>
    </w:p>
    <w:p w14:paraId="551F95E7" w14:textId="77777777" w:rsidR="00A62D0A" w:rsidRPr="00A62D0A" w:rsidRDefault="00A62D0A" w:rsidP="00A62D0A">
      <w:pPr>
        <w:widowControl w:val="0"/>
        <w:autoSpaceDE w:val="0"/>
        <w:autoSpaceDN w:val="0"/>
        <w:spacing w:after="0" w:line="240" w:lineRule="auto"/>
        <w:ind w:left="218" w:right="1329"/>
        <w:rPr>
          <w:rFonts w:ascii="Calibri" w:eastAsia="Calibri" w:hAnsi="Calibri" w:cs="Calibri"/>
        </w:rPr>
      </w:pPr>
    </w:p>
    <w:p w14:paraId="37C6A2E0" w14:textId="77777777" w:rsidR="00A62D0A" w:rsidRPr="00A62D0A" w:rsidRDefault="00A62D0A" w:rsidP="00A62D0A">
      <w:pPr>
        <w:widowControl w:val="0"/>
        <w:autoSpaceDE w:val="0"/>
        <w:autoSpaceDN w:val="0"/>
        <w:spacing w:after="0" w:line="240" w:lineRule="auto"/>
        <w:ind w:left="218" w:right="1329"/>
        <w:rPr>
          <w:rFonts w:ascii="Calibri" w:eastAsia="Calibri" w:hAnsi="Calibri" w:cs="Calibri"/>
        </w:rPr>
      </w:pPr>
    </w:p>
    <w:p w14:paraId="5A632AB0" w14:textId="77777777" w:rsidR="00A62D0A" w:rsidRPr="00A62D0A" w:rsidRDefault="00A62D0A" w:rsidP="00A62D0A">
      <w:pPr>
        <w:widowControl w:val="0"/>
        <w:autoSpaceDE w:val="0"/>
        <w:autoSpaceDN w:val="0"/>
        <w:spacing w:after="0" w:line="240" w:lineRule="auto"/>
        <w:ind w:left="218" w:right="1329"/>
        <w:rPr>
          <w:rFonts w:ascii="Calibri" w:eastAsia="Calibri" w:hAnsi="Calibri" w:cs="Calibri"/>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3"/>
        <w:gridCol w:w="2611"/>
        <w:gridCol w:w="2612"/>
        <w:gridCol w:w="2281"/>
        <w:gridCol w:w="2612"/>
        <w:gridCol w:w="2206"/>
      </w:tblGrid>
      <w:tr w:rsidR="00A62D0A" w:rsidRPr="00932DB4" w14:paraId="2AC67BF6" w14:textId="77777777" w:rsidTr="00A405C4">
        <w:trPr>
          <w:trHeight w:val="1268"/>
        </w:trPr>
        <w:tc>
          <w:tcPr>
            <w:tcW w:w="1883" w:type="dxa"/>
          </w:tcPr>
          <w:p w14:paraId="0543B525" w14:textId="77777777" w:rsidR="00A62D0A" w:rsidRPr="003D1CC2" w:rsidRDefault="00A62D0A" w:rsidP="00A62D0A">
            <w:pPr>
              <w:rPr>
                <w:rFonts w:ascii="Times New Roman" w:eastAsia="Calibri" w:hAnsi="Calibri" w:cs="Calibri"/>
                <w:lang w:val="fr-FR"/>
              </w:rPr>
            </w:pPr>
          </w:p>
        </w:tc>
        <w:tc>
          <w:tcPr>
            <w:tcW w:w="2611" w:type="dxa"/>
          </w:tcPr>
          <w:p w14:paraId="1188EF96" w14:textId="77777777" w:rsidR="00A62D0A" w:rsidRPr="003D1CC2" w:rsidRDefault="00A62D0A" w:rsidP="00A62D0A">
            <w:pPr>
              <w:ind w:left="107" w:right="550"/>
              <w:rPr>
                <w:rFonts w:ascii="Calibri" w:eastAsia="Calibri" w:hAnsi="Calibri" w:cs="Calibri"/>
                <w:b/>
                <w:lang w:val="fr-FR"/>
              </w:rPr>
            </w:pPr>
            <w:r w:rsidRPr="00932DB4">
              <w:rPr>
                <w:rFonts w:ascii="Calibri" w:eastAsia="Calibri" w:hAnsi="Calibri" w:cs="Calibri"/>
                <w:b/>
              </w:rPr>
              <w:t>Résultats</w:t>
            </w:r>
          </w:p>
        </w:tc>
        <w:tc>
          <w:tcPr>
            <w:tcW w:w="2612" w:type="dxa"/>
          </w:tcPr>
          <w:p w14:paraId="4D5C083C" w14:textId="77777777" w:rsidR="00A62D0A" w:rsidRPr="003D1CC2" w:rsidRDefault="00A62D0A" w:rsidP="00A62D0A">
            <w:pPr>
              <w:spacing w:line="268" w:lineRule="exact"/>
              <w:ind w:left="108"/>
              <w:rPr>
                <w:rFonts w:ascii="Calibri" w:eastAsia="Calibri" w:hAnsi="Calibri" w:cs="Calibri"/>
                <w:b/>
                <w:lang w:val="fr-FR"/>
              </w:rPr>
            </w:pPr>
            <w:r w:rsidRPr="00932DB4">
              <w:rPr>
                <w:rFonts w:ascii="Calibri" w:eastAsia="Calibri" w:hAnsi="Calibri" w:cs="Calibri"/>
                <w:b/>
              </w:rPr>
              <w:t xml:space="preserve">Indicateurs (nature) </w:t>
            </w:r>
          </w:p>
        </w:tc>
        <w:tc>
          <w:tcPr>
            <w:tcW w:w="2281" w:type="dxa"/>
          </w:tcPr>
          <w:p w14:paraId="5EB4CF38" w14:textId="77777777" w:rsidR="00A62D0A" w:rsidRPr="003D1CC2" w:rsidRDefault="00A62D0A" w:rsidP="00A62D0A">
            <w:pPr>
              <w:ind w:left="108" w:right="179"/>
              <w:rPr>
                <w:rFonts w:ascii="Calibri" w:eastAsia="Calibri" w:hAnsi="Calibri" w:cs="Calibri"/>
                <w:b/>
                <w:lang w:val="fr-FR"/>
              </w:rPr>
            </w:pPr>
            <w:r w:rsidRPr="00932DB4">
              <w:rPr>
                <w:rFonts w:ascii="Calibri" w:eastAsia="Calibri" w:hAnsi="Calibri" w:cs="Calibri"/>
                <w:b/>
              </w:rPr>
              <w:t>Cible (valeur /nombre)</w:t>
            </w:r>
          </w:p>
        </w:tc>
        <w:tc>
          <w:tcPr>
            <w:tcW w:w="2612" w:type="dxa"/>
          </w:tcPr>
          <w:p w14:paraId="597E86FC" w14:textId="77777777" w:rsidR="00A62D0A" w:rsidRPr="00932DB4" w:rsidRDefault="00A62D0A" w:rsidP="00A62D0A">
            <w:pPr>
              <w:ind w:left="108" w:right="143"/>
              <w:rPr>
                <w:rFonts w:ascii="Calibri" w:eastAsia="Calibri" w:hAnsi="Calibri" w:cs="Calibri"/>
                <w:b/>
                <w:lang w:val="fr-FR"/>
              </w:rPr>
            </w:pPr>
            <w:r w:rsidRPr="00932DB4">
              <w:rPr>
                <w:rFonts w:ascii="Calibri" w:eastAsia="Calibri" w:hAnsi="Calibri" w:cs="Calibri"/>
                <w:b/>
                <w:lang w:val="fr-FR"/>
              </w:rPr>
              <w:t>Sources et moyens de vérification</w:t>
            </w:r>
          </w:p>
        </w:tc>
        <w:tc>
          <w:tcPr>
            <w:tcW w:w="2206" w:type="dxa"/>
          </w:tcPr>
          <w:p w14:paraId="660D641C" w14:textId="77777777" w:rsidR="00A62D0A" w:rsidRPr="003D1CC2" w:rsidRDefault="00A62D0A" w:rsidP="00A62D0A">
            <w:pPr>
              <w:spacing w:line="268" w:lineRule="exact"/>
              <w:ind w:left="108"/>
              <w:rPr>
                <w:rFonts w:ascii="Calibri" w:eastAsia="Calibri" w:hAnsi="Calibri" w:cs="Calibri"/>
                <w:b/>
                <w:lang w:val="fr-FR"/>
              </w:rPr>
            </w:pPr>
            <w:r w:rsidRPr="00932DB4">
              <w:rPr>
                <w:rFonts w:ascii="Calibri" w:eastAsia="Calibri" w:hAnsi="Calibri" w:cs="Calibri"/>
                <w:b/>
              </w:rPr>
              <w:t>Hypothèses</w:t>
            </w:r>
          </w:p>
        </w:tc>
      </w:tr>
      <w:tr w:rsidR="00A62D0A" w:rsidRPr="00932DB4" w14:paraId="669EEB77" w14:textId="77777777" w:rsidTr="00A405C4">
        <w:trPr>
          <w:trHeight w:val="334"/>
        </w:trPr>
        <w:tc>
          <w:tcPr>
            <w:tcW w:w="1883" w:type="dxa"/>
            <w:vMerge w:val="restart"/>
            <w:textDirection w:val="btLr"/>
          </w:tcPr>
          <w:p w14:paraId="1B8E5487" w14:textId="77777777" w:rsidR="00A62D0A" w:rsidRPr="003D1CC2" w:rsidRDefault="00A62D0A" w:rsidP="00A62D0A">
            <w:pPr>
              <w:spacing w:before="112"/>
              <w:ind w:left="113"/>
              <w:jc w:val="right"/>
              <w:rPr>
                <w:rFonts w:ascii="Calibri" w:eastAsia="Calibri" w:hAnsi="Calibri" w:cs="Calibri"/>
                <w:b/>
                <w:u w:val="single"/>
                <w:lang w:val="fr-FR"/>
              </w:rPr>
            </w:pPr>
          </w:p>
          <w:p w14:paraId="3E4D6F72" w14:textId="77777777" w:rsidR="00A62D0A" w:rsidRPr="003D1CC2" w:rsidRDefault="00A62D0A" w:rsidP="00A62D0A">
            <w:pPr>
              <w:spacing w:before="112"/>
              <w:ind w:left="113"/>
              <w:jc w:val="center"/>
              <w:rPr>
                <w:rFonts w:ascii="Calibri" w:eastAsia="Calibri" w:hAnsi="Calibri" w:cs="Calibri"/>
                <w:b/>
                <w:u w:val="single"/>
                <w:lang w:val="fr-FR"/>
              </w:rPr>
            </w:pPr>
            <w:r w:rsidRPr="00932DB4">
              <w:rPr>
                <w:rFonts w:ascii="Calibri" w:eastAsia="Calibri" w:hAnsi="Calibri" w:cs="Calibri"/>
                <w:b/>
                <w:u w:val="single"/>
              </w:rPr>
              <w:t>Activité</w:t>
            </w:r>
          </w:p>
          <w:p w14:paraId="3BB94F4B" w14:textId="77777777" w:rsidR="00A62D0A" w:rsidRPr="003D1CC2" w:rsidRDefault="00A62D0A" w:rsidP="00A62D0A">
            <w:pPr>
              <w:spacing w:before="112"/>
              <w:ind w:left="113"/>
              <w:jc w:val="right"/>
              <w:rPr>
                <w:rFonts w:ascii="Calibri" w:eastAsia="Calibri" w:hAnsi="Calibri" w:cs="Calibri"/>
                <w:b/>
                <w:lang w:val="fr-FR"/>
              </w:rPr>
            </w:pPr>
            <w:r w:rsidRPr="00932DB4">
              <w:rPr>
                <w:rFonts w:ascii="Calibri" w:eastAsia="Calibri" w:hAnsi="Calibri" w:cs="Calibri"/>
                <w:b/>
                <w:u w:val="single"/>
              </w:rPr>
              <w:t xml:space="preserve"> </w:t>
            </w:r>
          </w:p>
        </w:tc>
        <w:tc>
          <w:tcPr>
            <w:tcW w:w="2611" w:type="dxa"/>
            <w:tcBorders>
              <w:bottom w:val="nil"/>
            </w:tcBorders>
          </w:tcPr>
          <w:p w14:paraId="4F23B2C8" w14:textId="77777777" w:rsidR="00A62D0A" w:rsidRPr="003D1CC2" w:rsidRDefault="00A62D0A" w:rsidP="00A62D0A">
            <w:pPr>
              <w:spacing w:line="263" w:lineRule="exact"/>
              <w:rPr>
                <w:rFonts w:ascii="Calibri" w:eastAsia="Calibri" w:hAnsi="Calibri" w:cs="Calibri"/>
                <w:lang w:val="fr-FR"/>
              </w:rPr>
            </w:pPr>
          </w:p>
        </w:tc>
        <w:tc>
          <w:tcPr>
            <w:tcW w:w="2612" w:type="dxa"/>
            <w:tcBorders>
              <w:bottom w:val="nil"/>
            </w:tcBorders>
          </w:tcPr>
          <w:p w14:paraId="278E87E3" w14:textId="77777777" w:rsidR="00A62D0A" w:rsidRPr="003D1CC2" w:rsidRDefault="00A62D0A" w:rsidP="00A62D0A">
            <w:pPr>
              <w:spacing w:line="263" w:lineRule="exact"/>
              <w:rPr>
                <w:rFonts w:ascii="Calibri" w:eastAsia="Calibri" w:hAnsi="Calibri" w:cs="Calibri"/>
                <w:lang w:val="fr-FR"/>
              </w:rPr>
            </w:pPr>
          </w:p>
        </w:tc>
        <w:tc>
          <w:tcPr>
            <w:tcW w:w="2281" w:type="dxa"/>
            <w:tcBorders>
              <w:bottom w:val="nil"/>
            </w:tcBorders>
          </w:tcPr>
          <w:p w14:paraId="21FFD227" w14:textId="77777777" w:rsidR="00A62D0A" w:rsidRPr="003D1CC2" w:rsidRDefault="00A62D0A" w:rsidP="00A62D0A">
            <w:pPr>
              <w:spacing w:line="263" w:lineRule="exact"/>
              <w:rPr>
                <w:rFonts w:ascii="Calibri" w:eastAsia="Calibri" w:hAnsi="Calibri" w:cs="Calibri"/>
                <w:i/>
                <w:lang w:val="fr-FR"/>
              </w:rPr>
            </w:pPr>
          </w:p>
        </w:tc>
        <w:tc>
          <w:tcPr>
            <w:tcW w:w="2612" w:type="dxa"/>
            <w:tcBorders>
              <w:bottom w:val="nil"/>
            </w:tcBorders>
          </w:tcPr>
          <w:p w14:paraId="6E2DEEF8" w14:textId="77777777" w:rsidR="00A62D0A" w:rsidRPr="003D1CC2" w:rsidRDefault="00A62D0A" w:rsidP="00A62D0A">
            <w:pPr>
              <w:spacing w:line="263" w:lineRule="exact"/>
              <w:rPr>
                <w:rFonts w:ascii="Calibri" w:eastAsia="Calibri" w:hAnsi="Calibri" w:cs="Calibri"/>
                <w:lang w:val="fr-FR"/>
              </w:rPr>
            </w:pPr>
          </w:p>
        </w:tc>
        <w:tc>
          <w:tcPr>
            <w:tcW w:w="2206" w:type="dxa"/>
            <w:tcBorders>
              <w:bottom w:val="nil"/>
            </w:tcBorders>
          </w:tcPr>
          <w:p w14:paraId="733580E6" w14:textId="77777777" w:rsidR="00A62D0A" w:rsidRPr="003D1CC2" w:rsidRDefault="00A62D0A" w:rsidP="00A62D0A">
            <w:pPr>
              <w:spacing w:line="263" w:lineRule="exact"/>
              <w:ind w:left="108"/>
              <w:rPr>
                <w:rFonts w:ascii="Calibri" w:eastAsia="Calibri" w:hAnsi="Calibri" w:cs="Calibri"/>
                <w:lang w:val="fr-FR"/>
              </w:rPr>
            </w:pPr>
          </w:p>
        </w:tc>
      </w:tr>
      <w:tr w:rsidR="00A62D0A" w:rsidRPr="00932DB4" w14:paraId="38BB05D3" w14:textId="77777777" w:rsidTr="00A405C4">
        <w:trPr>
          <w:trHeight w:val="304"/>
        </w:trPr>
        <w:tc>
          <w:tcPr>
            <w:tcW w:w="1883" w:type="dxa"/>
            <w:vMerge/>
            <w:tcBorders>
              <w:top w:val="nil"/>
            </w:tcBorders>
            <w:textDirection w:val="btLr"/>
          </w:tcPr>
          <w:p w14:paraId="79BC346E" w14:textId="77777777" w:rsidR="00A62D0A" w:rsidRPr="003D1CC2" w:rsidRDefault="00A62D0A" w:rsidP="00A62D0A">
            <w:pPr>
              <w:rPr>
                <w:sz w:val="2"/>
                <w:szCs w:val="2"/>
                <w:lang w:val="fr-FR"/>
              </w:rPr>
            </w:pPr>
          </w:p>
        </w:tc>
        <w:tc>
          <w:tcPr>
            <w:tcW w:w="2611" w:type="dxa"/>
            <w:tcBorders>
              <w:top w:val="nil"/>
              <w:bottom w:val="nil"/>
            </w:tcBorders>
          </w:tcPr>
          <w:p w14:paraId="443457FF"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2720AB2E"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2B53B983"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46009A1A"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2024A42D" w14:textId="77777777" w:rsidR="00A62D0A" w:rsidRPr="003D1CC2" w:rsidRDefault="00A62D0A" w:rsidP="00A62D0A">
            <w:pPr>
              <w:spacing w:line="239" w:lineRule="exact"/>
              <w:ind w:left="108"/>
              <w:rPr>
                <w:rFonts w:ascii="Calibri" w:eastAsia="Calibri" w:hAnsi="Calibri" w:cs="Calibri"/>
                <w:lang w:val="fr-FR"/>
              </w:rPr>
            </w:pPr>
          </w:p>
        </w:tc>
      </w:tr>
      <w:tr w:rsidR="00A62D0A" w:rsidRPr="00932DB4" w14:paraId="7680EC48" w14:textId="77777777" w:rsidTr="00A405C4">
        <w:trPr>
          <w:trHeight w:val="304"/>
        </w:trPr>
        <w:tc>
          <w:tcPr>
            <w:tcW w:w="1883" w:type="dxa"/>
            <w:vMerge/>
            <w:tcBorders>
              <w:top w:val="nil"/>
            </w:tcBorders>
            <w:textDirection w:val="btLr"/>
          </w:tcPr>
          <w:p w14:paraId="79DB4152" w14:textId="77777777" w:rsidR="00A62D0A" w:rsidRPr="003D1CC2" w:rsidRDefault="00A62D0A" w:rsidP="00A62D0A">
            <w:pPr>
              <w:rPr>
                <w:sz w:val="2"/>
                <w:szCs w:val="2"/>
                <w:lang w:val="fr-FR"/>
              </w:rPr>
            </w:pPr>
          </w:p>
        </w:tc>
        <w:tc>
          <w:tcPr>
            <w:tcW w:w="2611" w:type="dxa"/>
            <w:tcBorders>
              <w:top w:val="nil"/>
              <w:bottom w:val="nil"/>
            </w:tcBorders>
          </w:tcPr>
          <w:p w14:paraId="6B65E68A"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3F4A30CC"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1C3ED4E8"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317A971B"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4703C3F2" w14:textId="77777777" w:rsidR="00A62D0A" w:rsidRPr="003D1CC2" w:rsidRDefault="00A62D0A" w:rsidP="00A62D0A">
            <w:pPr>
              <w:spacing w:line="239" w:lineRule="exact"/>
              <w:ind w:left="108"/>
              <w:rPr>
                <w:rFonts w:ascii="Calibri" w:eastAsia="Calibri" w:hAnsi="Calibri" w:cs="Calibri"/>
                <w:lang w:val="fr-FR"/>
              </w:rPr>
            </w:pPr>
          </w:p>
        </w:tc>
      </w:tr>
      <w:tr w:rsidR="00A62D0A" w:rsidRPr="00932DB4" w14:paraId="4E06BED5" w14:textId="77777777" w:rsidTr="00A405C4">
        <w:trPr>
          <w:trHeight w:val="304"/>
        </w:trPr>
        <w:tc>
          <w:tcPr>
            <w:tcW w:w="1883" w:type="dxa"/>
            <w:vMerge/>
            <w:tcBorders>
              <w:top w:val="nil"/>
            </w:tcBorders>
            <w:textDirection w:val="btLr"/>
          </w:tcPr>
          <w:p w14:paraId="4AF59066" w14:textId="77777777" w:rsidR="00A62D0A" w:rsidRPr="003D1CC2" w:rsidRDefault="00A62D0A" w:rsidP="00A62D0A">
            <w:pPr>
              <w:rPr>
                <w:sz w:val="2"/>
                <w:szCs w:val="2"/>
                <w:lang w:val="fr-FR"/>
              </w:rPr>
            </w:pPr>
          </w:p>
        </w:tc>
        <w:tc>
          <w:tcPr>
            <w:tcW w:w="2611" w:type="dxa"/>
            <w:tcBorders>
              <w:top w:val="nil"/>
              <w:bottom w:val="nil"/>
            </w:tcBorders>
          </w:tcPr>
          <w:p w14:paraId="49B177D7"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384F4454"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53FD2075"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30D30F75"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2C04C503" w14:textId="77777777" w:rsidR="00A62D0A" w:rsidRPr="003D1CC2" w:rsidRDefault="00A62D0A" w:rsidP="00A62D0A">
            <w:pPr>
              <w:spacing w:line="239" w:lineRule="exact"/>
              <w:ind w:left="108"/>
              <w:rPr>
                <w:rFonts w:ascii="Calibri" w:eastAsia="Calibri" w:hAnsi="Calibri" w:cs="Calibri"/>
                <w:lang w:val="fr-FR"/>
              </w:rPr>
            </w:pPr>
          </w:p>
        </w:tc>
      </w:tr>
      <w:tr w:rsidR="00A62D0A" w:rsidRPr="00932DB4" w14:paraId="2F62035D" w14:textId="77777777" w:rsidTr="00A405C4">
        <w:trPr>
          <w:trHeight w:val="304"/>
        </w:trPr>
        <w:tc>
          <w:tcPr>
            <w:tcW w:w="1883" w:type="dxa"/>
            <w:vMerge/>
            <w:tcBorders>
              <w:top w:val="nil"/>
            </w:tcBorders>
            <w:textDirection w:val="btLr"/>
          </w:tcPr>
          <w:p w14:paraId="73D3DACD" w14:textId="77777777" w:rsidR="00A62D0A" w:rsidRPr="003D1CC2" w:rsidRDefault="00A62D0A" w:rsidP="00A62D0A">
            <w:pPr>
              <w:rPr>
                <w:sz w:val="2"/>
                <w:szCs w:val="2"/>
                <w:lang w:val="fr-FR"/>
              </w:rPr>
            </w:pPr>
          </w:p>
        </w:tc>
        <w:tc>
          <w:tcPr>
            <w:tcW w:w="2611" w:type="dxa"/>
            <w:tcBorders>
              <w:top w:val="nil"/>
              <w:bottom w:val="nil"/>
            </w:tcBorders>
          </w:tcPr>
          <w:p w14:paraId="217DDA1E"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74257D3F"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5D42DD9C" w14:textId="77777777" w:rsidR="00A62D0A" w:rsidRPr="003D1CC2" w:rsidRDefault="00A62D0A" w:rsidP="00A62D0A">
            <w:pPr>
              <w:spacing w:line="239" w:lineRule="exact"/>
              <w:rPr>
                <w:rFonts w:ascii="Calibri" w:eastAsia="Calibri" w:hAnsi="Calibri" w:cs="Calibri"/>
                <w:lang w:val="fr-FR"/>
              </w:rPr>
            </w:pPr>
          </w:p>
        </w:tc>
        <w:tc>
          <w:tcPr>
            <w:tcW w:w="2612" w:type="dxa"/>
            <w:tcBorders>
              <w:top w:val="nil"/>
              <w:bottom w:val="nil"/>
            </w:tcBorders>
          </w:tcPr>
          <w:p w14:paraId="693C9019"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5370F489" w14:textId="77777777" w:rsidR="00A62D0A" w:rsidRPr="003D1CC2" w:rsidRDefault="00A62D0A" w:rsidP="00A62D0A">
            <w:pPr>
              <w:spacing w:line="239" w:lineRule="exact"/>
              <w:ind w:left="108"/>
              <w:rPr>
                <w:rFonts w:ascii="Calibri" w:eastAsia="Calibri" w:hAnsi="Calibri" w:cs="Calibri"/>
                <w:lang w:val="fr-FR"/>
              </w:rPr>
            </w:pPr>
          </w:p>
        </w:tc>
      </w:tr>
      <w:tr w:rsidR="00A62D0A" w:rsidRPr="00932DB4" w14:paraId="7ADF8382" w14:textId="77777777" w:rsidTr="00A405C4">
        <w:trPr>
          <w:trHeight w:val="303"/>
        </w:trPr>
        <w:tc>
          <w:tcPr>
            <w:tcW w:w="1883" w:type="dxa"/>
            <w:vMerge/>
            <w:tcBorders>
              <w:top w:val="nil"/>
            </w:tcBorders>
            <w:textDirection w:val="btLr"/>
          </w:tcPr>
          <w:p w14:paraId="5E27C739" w14:textId="77777777" w:rsidR="00A62D0A" w:rsidRPr="003D1CC2" w:rsidRDefault="00A62D0A" w:rsidP="00A62D0A">
            <w:pPr>
              <w:rPr>
                <w:sz w:val="2"/>
                <w:szCs w:val="2"/>
                <w:lang w:val="fr-FR"/>
              </w:rPr>
            </w:pPr>
          </w:p>
        </w:tc>
        <w:tc>
          <w:tcPr>
            <w:tcW w:w="2611" w:type="dxa"/>
            <w:tcBorders>
              <w:top w:val="nil"/>
              <w:bottom w:val="nil"/>
            </w:tcBorders>
          </w:tcPr>
          <w:p w14:paraId="3712B7A4" w14:textId="77777777" w:rsidR="00A62D0A" w:rsidRPr="003D1CC2" w:rsidRDefault="00A62D0A" w:rsidP="00A62D0A">
            <w:pPr>
              <w:spacing w:line="238" w:lineRule="exact"/>
              <w:rPr>
                <w:rFonts w:ascii="Calibri" w:eastAsia="Calibri" w:hAnsi="Calibri" w:cs="Calibri"/>
                <w:lang w:val="fr-FR"/>
              </w:rPr>
            </w:pPr>
          </w:p>
        </w:tc>
        <w:tc>
          <w:tcPr>
            <w:tcW w:w="2612" w:type="dxa"/>
            <w:tcBorders>
              <w:top w:val="nil"/>
              <w:bottom w:val="nil"/>
            </w:tcBorders>
          </w:tcPr>
          <w:p w14:paraId="641BD190" w14:textId="77777777" w:rsidR="00A62D0A" w:rsidRPr="003D1CC2" w:rsidRDefault="00A62D0A" w:rsidP="00A62D0A">
            <w:pPr>
              <w:spacing w:line="238" w:lineRule="exact"/>
              <w:rPr>
                <w:rFonts w:ascii="Calibri" w:eastAsia="Calibri" w:hAnsi="Calibri" w:cs="Calibri"/>
                <w:lang w:val="fr-FR"/>
              </w:rPr>
            </w:pPr>
          </w:p>
        </w:tc>
        <w:tc>
          <w:tcPr>
            <w:tcW w:w="2281" w:type="dxa"/>
            <w:tcBorders>
              <w:top w:val="nil"/>
              <w:bottom w:val="nil"/>
            </w:tcBorders>
          </w:tcPr>
          <w:p w14:paraId="1A4369FD"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2745DF3C" w14:textId="77777777" w:rsidR="00A62D0A" w:rsidRPr="003D1CC2" w:rsidRDefault="00A62D0A" w:rsidP="00A62D0A">
            <w:pPr>
              <w:spacing w:line="238" w:lineRule="exact"/>
              <w:rPr>
                <w:rFonts w:ascii="Calibri" w:eastAsia="Calibri" w:hAnsi="Calibri" w:cs="Calibri"/>
                <w:lang w:val="fr-FR"/>
              </w:rPr>
            </w:pPr>
          </w:p>
        </w:tc>
        <w:tc>
          <w:tcPr>
            <w:tcW w:w="2206" w:type="dxa"/>
            <w:tcBorders>
              <w:top w:val="nil"/>
              <w:bottom w:val="nil"/>
            </w:tcBorders>
          </w:tcPr>
          <w:p w14:paraId="3E91CFD9" w14:textId="77777777" w:rsidR="00A62D0A" w:rsidRPr="003D1CC2" w:rsidRDefault="00A62D0A" w:rsidP="00A62D0A">
            <w:pPr>
              <w:rPr>
                <w:rFonts w:ascii="Times New Roman" w:eastAsia="Calibri" w:hAnsi="Calibri" w:cs="Calibri"/>
                <w:sz w:val="18"/>
                <w:lang w:val="fr-FR"/>
              </w:rPr>
            </w:pPr>
          </w:p>
        </w:tc>
      </w:tr>
      <w:tr w:rsidR="00A62D0A" w:rsidRPr="00932DB4" w14:paraId="35FBF49A" w14:textId="77777777" w:rsidTr="00A405C4">
        <w:trPr>
          <w:trHeight w:val="303"/>
        </w:trPr>
        <w:tc>
          <w:tcPr>
            <w:tcW w:w="1883" w:type="dxa"/>
            <w:vMerge/>
            <w:tcBorders>
              <w:top w:val="nil"/>
            </w:tcBorders>
            <w:textDirection w:val="btLr"/>
          </w:tcPr>
          <w:p w14:paraId="6BC4FD99" w14:textId="77777777" w:rsidR="00A62D0A" w:rsidRPr="003D1CC2" w:rsidRDefault="00A62D0A" w:rsidP="00A62D0A">
            <w:pPr>
              <w:rPr>
                <w:sz w:val="2"/>
                <w:szCs w:val="2"/>
                <w:lang w:val="fr-FR"/>
              </w:rPr>
            </w:pPr>
          </w:p>
        </w:tc>
        <w:tc>
          <w:tcPr>
            <w:tcW w:w="2611" w:type="dxa"/>
            <w:tcBorders>
              <w:top w:val="nil"/>
              <w:bottom w:val="nil"/>
            </w:tcBorders>
          </w:tcPr>
          <w:p w14:paraId="7F41BBA8"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17C91D96" w14:textId="77777777" w:rsidR="00A62D0A" w:rsidRPr="003D1CC2" w:rsidRDefault="00A62D0A" w:rsidP="00A62D0A">
            <w:pPr>
              <w:spacing w:line="238" w:lineRule="exact"/>
              <w:ind w:left="108"/>
              <w:rPr>
                <w:rFonts w:ascii="Calibri" w:eastAsia="Calibri" w:hAnsi="Calibri" w:cs="Calibri"/>
                <w:lang w:val="fr-FR"/>
              </w:rPr>
            </w:pPr>
          </w:p>
        </w:tc>
        <w:tc>
          <w:tcPr>
            <w:tcW w:w="2281" w:type="dxa"/>
            <w:tcBorders>
              <w:top w:val="nil"/>
              <w:bottom w:val="nil"/>
            </w:tcBorders>
          </w:tcPr>
          <w:p w14:paraId="1980B938"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7A4E55E2" w14:textId="77777777" w:rsidR="00A62D0A" w:rsidRPr="003D1CC2" w:rsidRDefault="00A62D0A" w:rsidP="00A62D0A">
            <w:pPr>
              <w:spacing w:line="238" w:lineRule="exact"/>
              <w:rPr>
                <w:rFonts w:ascii="Calibri" w:eastAsia="Calibri" w:hAnsi="Calibri" w:cs="Calibri"/>
                <w:lang w:val="fr-FR"/>
              </w:rPr>
            </w:pPr>
          </w:p>
        </w:tc>
        <w:tc>
          <w:tcPr>
            <w:tcW w:w="2206" w:type="dxa"/>
            <w:tcBorders>
              <w:top w:val="nil"/>
              <w:bottom w:val="nil"/>
            </w:tcBorders>
          </w:tcPr>
          <w:p w14:paraId="2A41B650" w14:textId="77777777" w:rsidR="00A62D0A" w:rsidRPr="003D1CC2" w:rsidRDefault="00A62D0A" w:rsidP="00A62D0A">
            <w:pPr>
              <w:rPr>
                <w:rFonts w:ascii="Times New Roman" w:eastAsia="Calibri" w:hAnsi="Calibri" w:cs="Calibri"/>
                <w:sz w:val="18"/>
                <w:lang w:val="fr-FR"/>
              </w:rPr>
            </w:pPr>
          </w:p>
        </w:tc>
      </w:tr>
      <w:tr w:rsidR="00A62D0A" w:rsidRPr="00932DB4" w14:paraId="4E6FD9A9" w14:textId="77777777" w:rsidTr="00A405C4">
        <w:trPr>
          <w:trHeight w:val="304"/>
        </w:trPr>
        <w:tc>
          <w:tcPr>
            <w:tcW w:w="1883" w:type="dxa"/>
            <w:vMerge/>
            <w:tcBorders>
              <w:top w:val="nil"/>
            </w:tcBorders>
            <w:textDirection w:val="btLr"/>
          </w:tcPr>
          <w:p w14:paraId="1DE3941C" w14:textId="77777777" w:rsidR="00A62D0A" w:rsidRPr="003D1CC2" w:rsidRDefault="00A62D0A" w:rsidP="00A62D0A">
            <w:pPr>
              <w:rPr>
                <w:sz w:val="2"/>
                <w:szCs w:val="2"/>
                <w:lang w:val="fr-FR"/>
              </w:rPr>
            </w:pPr>
          </w:p>
        </w:tc>
        <w:tc>
          <w:tcPr>
            <w:tcW w:w="2611" w:type="dxa"/>
            <w:tcBorders>
              <w:top w:val="nil"/>
              <w:bottom w:val="nil"/>
            </w:tcBorders>
          </w:tcPr>
          <w:p w14:paraId="3EB5B9AF"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5CA13B4D" w14:textId="77777777" w:rsidR="00A62D0A" w:rsidRPr="003D1CC2" w:rsidRDefault="00A62D0A" w:rsidP="00A62D0A">
            <w:pPr>
              <w:spacing w:line="239" w:lineRule="exact"/>
              <w:rPr>
                <w:rFonts w:ascii="Calibri" w:eastAsia="Calibri" w:hAnsi="Calibri" w:cs="Calibri"/>
                <w:lang w:val="fr-FR"/>
              </w:rPr>
            </w:pPr>
          </w:p>
        </w:tc>
        <w:tc>
          <w:tcPr>
            <w:tcW w:w="2281" w:type="dxa"/>
            <w:tcBorders>
              <w:top w:val="nil"/>
              <w:bottom w:val="nil"/>
            </w:tcBorders>
          </w:tcPr>
          <w:p w14:paraId="306CD2D0"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59E0473C"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0C19A231" w14:textId="77777777" w:rsidR="00A62D0A" w:rsidRPr="003D1CC2" w:rsidRDefault="00A62D0A" w:rsidP="00A62D0A">
            <w:pPr>
              <w:rPr>
                <w:rFonts w:ascii="Times New Roman" w:eastAsia="Calibri" w:hAnsi="Calibri" w:cs="Calibri"/>
                <w:sz w:val="18"/>
                <w:lang w:val="fr-FR"/>
              </w:rPr>
            </w:pPr>
          </w:p>
        </w:tc>
      </w:tr>
      <w:tr w:rsidR="00A62D0A" w:rsidRPr="00932DB4" w14:paraId="60E13226" w14:textId="77777777" w:rsidTr="00A405C4">
        <w:trPr>
          <w:trHeight w:val="305"/>
        </w:trPr>
        <w:tc>
          <w:tcPr>
            <w:tcW w:w="1883" w:type="dxa"/>
            <w:vMerge/>
            <w:tcBorders>
              <w:top w:val="nil"/>
            </w:tcBorders>
            <w:textDirection w:val="btLr"/>
          </w:tcPr>
          <w:p w14:paraId="33FE1A83" w14:textId="77777777" w:rsidR="00A62D0A" w:rsidRPr="003D1CC2" w:rsidRDefault="00A62D0A" w:rsidP="00A62D0A">
            <w:pPr>
              <w:rPr>
                <w:sz w:val="2"/>
                <w:szCs w:val="2"/>
                <w:lang w:val="fr-FR"/>
              </w:rPr>
            </w:pPr>
          </w:p>
        </w:tc>
        <w:tc>
          <w:tcPr>
            <w:tcW w:w="2611" w:type="dxa"/>
            <w:tcBorders>
              <w:top w:val="nil"/>
              <w:bottom w:val="nil"/>
            </w:tcBorders>
          </w:tcPr>
          <w:p w14:paraId="364BDF91"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17CC9E90" w14:textId="77777777" w:rsidR="00A62D0A" w:rsidRPr="003D1CC2" w:rsidRDefault="00A62D0A" w:rsidP="00A62D0A">
            <w:pPr>
              <w:rPr>
                <w:rFonts w:ascii="Times New Roman" w:eastAsia="Calibri" w:hAnsi="Calibri" w:cs="Calibri"/>
                <w:sz w:val="18"/>
                <w:lang w:val="fr-FR"/>
              </w:rPr>
            </w:pPr>
          </w:p>
        </w:tc>
        <w:tc>
          <w:tcPr>
            <w:tcW w:w="2281" w:type="dxa"/>
            <w:tcBorders>
              <w:top w:val="nil"/>
              <w:bottom w:val="nil"/>
            </w:tcBorders>
          </w:tcPr>
          <w:p w14:paraId="1FEBA878"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2EAAD93D"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6B5CC43C" w14:textId="77777777" w:rsidR="00A62D0A" w:rsidRPr="003D1CC2" w:rsidRDefault="00A62D0A" w:rsidP="00A62D0A">
            <w:pPr>
              <w:rPr>
                <w:rFonts w:ascii="Times New Roman" w:eastAsia="Calibri" w:hAnsi="Calibri" w:cs="Calibri"/>
                <w:sz w:val="18"/>
                <w:lang w:val="fr-FR"/>
              </w:rPr>
            </w:pPr>
          </w:p>
        </w:tc>
      </w:tr>
      <w:tr w:rsidR="00A62D0A" w:rsidRPr="00932DB4" w14:paraId="5C0B6168" w14:textId="77777777" w:rsidTr="00A405C4">
        <w:trPr>
          <w:trHeight w:val="305"/>
        </w:trPr>
        <w:tc>
          <w:tcPr>
            <w:tcW w:w="1883" w:type="dxa"/>
            <w:vMerge/>
            <w:tcBorders>
              <w:top w:val="nil"/>
            </w:tcBorders>
            <w:textDirection w:val="btLr"/>
          </w:tcPr>
          <w:p w14:paraId="3A4DBB7D" w14:textId="77777777" w:rsidR="00A62D0A" w:rsidRPr="003D1CC2" w:rsidRDefault="00A62D0A" w:rsidP="00A62D0A">
            <w:pPr>
              <w:rPr>
                <w:sz w:val="2"/>
                <w:szCs w:val="2"/>
                <w:lang w:val="fr-FR"/>
              </w:rPr>
            </w:pPr>
          </w:p>
        </w:tc>
        <w:tc>
          <w:tcPr>
            <w:tcW w:w="2611" w:type="dxa"/>
            <w:tcBorders>
              <w:top w:val="nil"/>
              <w:bottom w:val="nil"/>
            </w:tcBorders>
          </w:tcPr>
          <w:p w14:paraId="531E8286"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54823FE5" w14:textId="77777777" w:rsidR="00A62D0A" w:rsidRPr="003D1CC2" w:rsidRDefault="00A62D0A" w:rsidP="00A62D0A">
            <w:pPr>
              <w:rPr>
                <w:rFonts w:ascii="Times New Roman" w:eastAsia="Calibri" w:hAnsi="Calibri" w:cs="Calibri"/>
                <w:sz w:val="18"/>
                <w:lang w:val="fr-FR"/>
              </w:rPr>
            </w:pPr>
          </w:p>
        </w:tc>
        <w:tc>
          <w:tcPr>
            <w:tcW w:w="2281" w:type="dxa"/>
            <w:tcBorders>
              <w:top w:val="nil"/>
              <w:bottom w:val="nil"/>
            </w:tcBorders>
          </w:tcPr>
          <w:p w14:paraId="23DA1FA4"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01FC9C31"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5300AD76" w14:textId="77777777" w:rsidR="00A62D0A" w:rsidRPr="003D1CC2" w:rsidRDefault="00A62D0A" w:rsidP="00A62D0A">
            <w:pPr>
              <w:rPr>
                <w:rFonts w:ascii="Times New Roman" w:eastAsia="Calibri" w:hAnsi="Calibri" w:cs="Calibri"/>
                <w:sz w:val="18"/>
                <w:lang w:val="fr-FR"/>
              </w:rPr>
            </w:pPr>
          </w:p>
        </w:tc>
      </w:tr>
      <w:tr w:rsidR="00A62D0A" w:rsidRPr="00932DB4" w14:paraId="2F29C7FB" w14:textId="77777777" w:rsidTr="00A405C4">
        <w:trPr>
          <w:trHeight w:val="304"/>
        </w:trPr>
        <w:tc>
          <w:tcPr>
            <w:tcW w:w="1883" w:type="dxa"/>
            <w:vMerge/>
            <w:tcBorders>
              <w:top w:val="nil"/>
            </w:tcBorders>
            <w:textDirection w:val="btLr"/>
          </w:tcPr>
          <w:p w14:paraId="3BA4C5F2" w14:textId="77777777" w:rsidR="00A62D0A" w:rsidRPr="003D1CC2" w:rsidRDefault="00A62D0A" w:rsidP="00A62D0A">
            <w:pPr>
              <w:rPr>
                <w:sz w:val="2"/>
                <w:szCs w:val="2"/>
                <w:lang w:val="fr-FR"/>
              </w:rPr>
            </w:pPr>
          </w:p>
        </w:tc>
        <w:tc>
          <w:tcPr>
            <w:tcW w:w="2611" w:type="dxa"/>
            <w:tcBorders>
              <w:top w:val="nil"/>
              <w:bottom w:val="nil"/>
            </w:tcBorders>
          </w:tcPr>
          <w:p w14:paraId="3B4AB5B9"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3C2A47C2" w14:textId="77777777" w:rsidR="00A62D0A" w:rsidRPr="003D1CC2" w:rsidRDefault="00A62D0A" w:rsidP="00A62D0A">
            <w:pPr>
              <w:rPr>
                <w:rFonts w:ascii="Times New Roman" w:eastAsia="Calibri" w:hAnsi="Calibri" w:cs="Calibri"/>
                <w:sz w:val="18"/>
                <w:lang w:val="fr-FR"/>
              </w:rPr>
            </w:pPr>
          </w:p>
        </w:tc>
        <w:tc>
          <w:tcPr>
            <w:tcW w:w="2281" w:type="dxa"/>
            <w:tcBorders>
              <w:top w:val="nil"/>
              <w:bottom w:val="nil"/>
            </w:tcBorders>
          </w:tcPr>
          <w:p w14:paraId="3D0FB73E" w14:textId="77777777" w:rsidR="00A62D0A" w:rsidRPr="003D1CC2" w:rsidRDefault="00A62D0A" w:rsidP="00A62D0A">
            <w:pPr>
              <w:rPr>
                <w:rFonts w:ascii="Times New Roman" w:eastAsia="Calibri" w:hAnsi="Calibri" w:cs="Calibri"/>
                <w:sz w:val="18"/>
                <w:lang w:val="fr-FR"/>
              </w:rPr>
            </w:pPr>
          </w:p>
        </w:tc>
        <w:tc>
          <w:tcPr>
            <w:tcW w:w="2612" w:type="dxa"/>
            <w:tcBorders>
              <w:top w:val="nil"/>
              <w:bottom w:val="nil"/>
            </w:tcBorders>
          </w:tcPr>
          <w:p w14:paraId="1EF5903B" w14:textId="77777777" w:rsidR="00A62D0A" w:rsidRPr="003D1CC2" w:rsidRDefault="00A62D0A" w:rsidP="00A62D0A">
            <w:pPr>
              <w:spacing w:line="239" w:lineRule="exact"/>
              <w:rPr>
                <w:rFonts w:ascii="Calibri" w:eastAsia="Calibri" w:hAnsi="Calibri" w:cs="Calibri"/>
                <w:lang w:val="fr-FR"/>
              </w:rPr>
            </w:pPr>
          </w:p>
        </w:tc>
        <w:tc>
          <w:tcPr>
            <w:tcW w:w="2206" w:type="dxa"/>
            <w:tcBorders>
              <w:top w:val="nil"/>
              <w:bottom w:val="nil"/>
            </w:tcBorders>
          </w:tcPr>
          <w:p w14:paraId="4DAADE95" w14:textId="77777777" w:rsidR="00A62D0A" w:rsidRPr="003D1CC2" w:rsidRDefault="00A62D0A" w:rsidP="00A62D0A">
            <w:pPr>
              <w:rPr>
                <w:rFonts w:ascii="Times New Roman" w:eastAsia="Calibri" w:hAnsi="Calibri" w:cs="Calibri"/>
                <w:sz w:val="18"/>
                <w:lang w:val="fr-FR"/>
              </w:rPr>
            </w:pPr>
          </w:p>
        </w:tc>
      </w:tr>
      <w:tr w:rsidR="00A62D0A" w:rsidRPr="00932DB4" w14:paraId="719CDC92" w14:textId="77777777" w:rsidTr="00A405C4">
        <w:trPr>
          <w:trHeight w:val="288"/>
        </w:trPr>
        <w:tc>
          <w:tcPr>
            <w:tcW w:w="1883" w:type="dxa"/>
            <w:vMerge/>
            <w:tcBorders>
              <w:top w:val="nil"/>
            </w:tcBorders>
            <w:textDirection w:val="btLr"/>
          </w:tcPr>
          <w:p w14:paraId="70E9B774" w14:textId="77777777" w:rsidR="00A62D0A" w:rsidRPr="003D1CC2" w:rsidRDefault="00A62D0A" w:rsidP="00A62D0A">
            <w:pPr>
              <w:rPr>
                <w:sz w:val="2"/>
                <w:szCs w:val="2"/>
                <w:lang w:val="fr-FR"/>
              </w:rPr>
            </w:pPr>
          </w:p>
        </w:tc>
        <w:tc>
          <w:tcPr>
            <w:tcW w:w="2611" w:type="dxa"/>
            <w:tcBorders>
              <w:top w:val="nil"/>
            </w:tcBorders>
          </w:tcPr>
          <w:p w14:paraId="512FE416" w14:textId="77777777" w:rsidR="00A62D0A" w:rsidRPr="003D1CC2" w:rsidRDefault="00A62D0A" w:rsidP="00A62D0A">
            <w:pPr>
              <w:rPr>
                <w:rFonts w:ascii="Times New Roman" w:eastAsia="Calibri" w:hAnsi="Calibri" w:cs="Calibri"/>
                <w:sz w:val="16"/>
                <w:lang w:val="fr-FR"/>
              </w:rPr>
            </w:pPr>
          </w:p>
        </w:tc>
        <w:tc>
          <w:tcPr>
            <w:tcW w:w="2612" w:type="dxa"/>
            <w:tcBorders>
              <w:top w:val="nil"/>
            </w:tcBorders>
          </w:tcPr>
          <w:p w14:paraId="354DFF14" w14:textId="77777777" w:rsidR="00A62D0A" w:rsidRPr="003D1CC2" w:rsidRDefault="00A62D0A" w:rsidP="00A62D0A">
            <w:pPr>
              <w:rPr>
                <w:rFonts w:ascii="Times New Roman" w:eastAsia="Calibri" w:hAnsi="Calibri" w:cs="Calibri"/>
                <w:sz w:val="16"/>
                <w:lang w:val="fr-FR"/>
              </w:rPr>
            </w:pPr>
          </w:p>
        </w:tc>
        <w:tc>
          <w:tcPr>
            <w:tcW w:w="2281" w:type="dxa"/>
            <w:tcBorders>
              <w:top w:val="nil"/>
            </w:tcBorders>
          </w:tcPr>
          <w:p w14:paraId="0C3F6900" w14:textId="77777777" w:rsidR="00A62D0A" w:rsidRPr="003D1CC2" w:rsidRDefault="00A62D0A" w:rsidP="00A62D0A">
            <w:pPr>
              <w:rPr>
                <w:rFonts w:ascii="Times New Roman" w:eastAsia="Calibri" w:hAnsi="Calibri" w:cs="Calibri"/>
                <w:sz w:val="16"/>
                <w:lang w:val="fr-FR"/>
              </w:rPr>
            </w:pPr>
          </w:p>
        </w:tc>
        <w:tc>
          <w:tcPr>
            <w:tcW w:w="2612" w:type="dxa"/>
            <w:tcBorders>
              <w:top w:val="nil"/>
            </w:tcBorders>
          </w:tcPr>
          <w:p w14:paraId="77ABEA75" w14:textId="77777777" w:rsidR="00A62D0A" w:rsidRPr="003D1CC2" w:rsidRDefault="00A62D0A" w:rsidP="00A62D0A">
            <w:pPr>
              <w:spacing w:line="224" w:lineRule="exact"/>
              <w:rPr>
                <w:rFonts w:ascii="Calibri" w:eastAsia="Calibri" w:hAnsi="Calibri" w:cs="Calibri"/>
                <w:lang w:val="fr-FR"/>
              </w:rPr>
            </w:pPr>
          </w:p>
        </w:tc>
        <w:tc>
          <w:tcPr>
            <w:tcW w:w="2206" w:type="dxa"/>
            <w:tcBorders>
              <w:top w:val="nil"/>
            </w:tcBorders>
          </w:tcPr>
          <w:p w14:paraId="194E72F5" w14:textId="77777777" w:rsidR="00A62D0A" w:rsidRPr="003D1CC2" w:rsidRDefault="00A62D0A" w:rsidP="00A62D0A">
            <w:pPr>
              <w:rPr>
                <w:rFonts w:ascii="Times New Roman" w:eastAsia="Calibri" w:hAnsi="Calibri" w:cs="Calibri"/>
                <w:sz w:val="16"/>
                <w:lang w:val="fr-FR"/>
              </w:rPr>
            </w:pPr>
          </w:p>
        </w:tc>
      </w:tr>
    </w:tbl>
    <w:p w14:paraId="29C6B664" w14:textId="77777777" w:rsidR="00A62D0A" w:rsidRPr="00A62D0A" w:rsidRDefault="00A62D0A" w:rsidP="00A62D0A">
      <w:pPr>
        <w:widowControl w:val="0"/>
        <w:autoSpaceDE w:val="0"/>
        <w:autoSpaceDN w:val="0"/>
        <w:spacing w:after="0" w:line="240" w:lineRule="auto"/>
        <w:ind w:right="1329"/>
        <w:rPr>
          <w:rFonts w:ascii="Calibri" w:eastAsia="Calibri" w:hAnsi="Calibri" w:cs="Calibri"/>
        </w:rPr>
      </w:pPr>
    </w:p>
    <w:p w14:paraId="474FDCCA" w14:textId="77777777" w:rsidR="00A62D0A" w:rsidRPr="00A62D0A" w:rsidRDefault="00A62D0A" w:rsidP="00A62D0A">
      <w:pPr>
        <w:widowControl w:val="0"/>
        <w:autoSpaceDE w:val="0"/>
        <w:autoSpaceDN w:val="0"/>
        <w:spacing w:after="120" w:line="240" w:lineRule="auto"/>
        <w:ind w:left="215"/>
        <w:jc w:val="both"/>
        <w:rPr>
          <w:rFonts w:ascii="Calibri" w:eastAsia="Calibri" w:hAnsi="Calibri" w:cs="Calibri"/>
        </w:rPr>
      </w:pPr>
      <w:r w:rsidRPr="00A62D0A">
        <w:rPr>
          <w:rFonts w:ascii="Calibri" w:eastAsia="Calibri" w:hAnsi="Calibri" w:cs="Calibri"/>
        </w:rPr>
        <w:t>Le coordinateur peut modifier de manière unilatérale les résultats, les indicateurs et leurs objectifs, les références de base et les sources de</w:t>
      </w:r>
      <w:r w:rsidRPr="00A62D0A">
        <w:rPr>
          <w:rFonts w:ascii="Calibri" w:eastAsia="Calibri" w:hAnsi="Calibri" w:cs="Calibri"/>
          <w:spacing w:val="-47"/>
        </w:rPr>
        <w:t xml:space="preserve">   v</w:t>
      </w:r>
      <w:r w:rsidRPr="00A62D0A">
        <w:rPr>
          <w:rFonts w:ascii="Calibri" w:eastAsia="Calibri" w:hAnsi="Calibri" w:cs="Calibri"/>
        </w:rPr>
        <w:t>érification,</w:t>
      </w:r>
      <w:r w:rsidRPr="00A62D0A">
        <w:rPr>
          <w:rFonts w:ascii="Calibri" w:eastAsia="Calibri" w:hAnsi="Calibri" w:cs="Calibri"/>
          <w:spacing w:val="-3"/>
        </w:rPr>
        <w:t xml:space="preserve"> </w:t>
      </w:r>
      <w:r w:rsidRPr="00A62D0A">
        <w:rPr>
          <w:rFonts w:ascii="Calibri" w:eastAsia="Calibri" w:hAnsi="Calibri" w:cs="Calibri"/>
        </w:rPr>
        <w:t>ainsi que</w:t>
      </w:r>
      <w:r w:rsidRPr="00A62D0A">
        <w:rPr>
          <w:rFonts w:ascii="Calibri" w:eastAsia="Calibri" w:hAnsi="Calibri" w:cs="Calibri"/>
          <w:spacing w:val="1"/>
        </w:rPr>
        <w:t xml:space="preserve"> </w:t>
      </w:r>
      <w:r w:rsidRPr="00A62D0A">
        <w:rPr>
          <w:rFonts w:ascii="Calibri" w:eastAsia="Calibri" w:hAnsi="Calibri" w:cs="Calibri"/>
        </w:rPr>
        <w:t>les</w:t>
      </w:r>
      <w:r w:rsidRPr="00A62D0A">
        <w:rPr>
          <w:rFonts w:ascii="Calibri" w:eastAsia="Calibri" w:hAnsi="Calibri" w:cs="Calibri"/>
          <w:spacing w:val="-1"/>
        </w:rPr>
        <w:t xml:space="preserve"> </w:t>
      </w:r>
      <w:r w:rsidRPr="00A62D0A">
        <w:rPr>
          <w:rFonts w:ascii="Calibri" w:eastAsia="Calibri" w:hAnsi="Calibri" w:cs="Calibri"/>
        </w:rPr>
        <w:t>activités décrites dans</w:t>
      </w:r>
      <w:r w:rsidRPr="00A62D0A">
        <w:rPr>
          <w:rFonts w:ascii="Calibri" w:eastAsia="Calibri" w:hAnsi="Calibri" w:cs="Calibri"/>
          <w:spacing w:val="-3"/>
        </w:rPr>
        <w:t xml:space="preserve"> </w:t>
      </w:r>
      <w:r w:rsidRPr="00A62D0A">
        <w:rPr>
          <w:rFonts w:ascii="Calibri" w:eastAsia="Calibri" w:hAnsi="Calibri" w:cs="Calibri"/>
        </w:rPr>
        <w:t>ce</w:t>
      </w:r>
      <w:r w:rsidRPr="00A62D0A">
        <w:rPr>
          <w:rFonts w:ascii="Calibri" w:eastAsia="Calibri" w:hAnsi="Calibri" w:cs="Calibri"/>
          <w:spacing w:val="-3"/>
        </w:rPr>
        <w:t xml:space="preserve"> </w:t>
      </w:r>
      <w:r w:rsidRPr="00A62D0A">
        <w:rPr>
          <w:rFonts w:ascii="Calibri" w:eastAsia="Calibri" w:hAnsi="Calibri" w:cs="Calibri"/>
        </w:rPr>
        <w:t>cadre logique.</w:t>
      </w:r>
    </w:p>
    <w:p w14:paraId="5DD60FA4" w14:textId="77777777" w:rsidR="00A62D0A" w:rsidRPr="00A62D0A" w:rsidRDefault="00A62D0A" w:rsidP="00A62D0A">
      <w:pPr>
        <w:widowControl w:val="0"/>
        <w:autoSpaceDE w:val="0"/>
        <w:autoSpaceDN w:val="0"/>
        <w:spacing w:after="120" w:line="240" w:lineRule="auto"/>
        <w:ind w:left="218"/>
        <w:jc w:val="both"/>
        <w:rPr>
          <w:rFonts w:ascii="Calibri" w:eastAsia="Calibri" w:hAnsi="Calibri" w:cs="Calibri"/>
        </w:rPr>
      </w:pPr>
      <w:r w:rsidRPr="00A62D0A">
        <w:rPr>
          <w:rFonts w:ascii="Calibri" w:eastAsia="Calibri" w:hAnsi="Calibri" w:cs="Calibri"/>
        </w:rPr>
        <w:t>Définitions :</w:t>
      </w:r>
    </w:p>
    <w:p w14:paraId="7822F3BF" w14:textId="77777777" w:rsidR="00A62D0A" w:rsidRPr="00A62D0A" w:rsidRDefault="00A62D0A" w:rsidP="00A62D0A">
      <w:pPr>
        <w:widowControl w:val="0"/>
        <w:autoSpaceDE w:val="0"/>
        <w:autoSpaceDN w:val="0"/>
        <w:spacing w:after="60" w:line="240" w:lineRule="auto"/>
        <w:ind w:left="215" w:right="6144"/>
        <w:jc w:val="both"/>
        <w:rPr>
          <w:rFonts w:ascii="Calibri" w:eastAsia="Calibri" w:hAnsi="Calibri" w:cs="Calibri"/>
        </w:rPr>
      </w:pPr>
      <w:r w:rsidRPr="00A62D0A">
        <w:rPr>
          <w:rFonts w:ascii="Calibri" w:eastAsia="Calibri" w:hAnsi="Calibri" w:cs="Calibri"/>
        </w:rPr>
        <w:t>L’action,</w:t>
      </w:r>
      <w:r w:rsidRPr="00A62D0A">
        <w:rPr>
          <w:rFonts w:ascii="Calibri" w:eastAsia="Calibri" w:hAnsi="Calibri" w:cs="Calibri"/>
          <w:spacing w:val="-47"/>
        </w:rPr>
        <w:t xml:space="preserve"> </w:t>
      </w:r>
      <w:r w:rsidRPr="00A62D0A">
        <w:rPr>
          <w:rFonts w:ascii="Calibri" w:eastAsia="Calibri" w:hAnsi="Calibri" w:cs="Calibri"/>
        </w:rPr>
        <w:t>"Résultats" :</w:t>
      </w:r>
      <w:r w:rsidRPr="00A62D0A">
        <w:rPr>
          <w:rFonts w:ascii="Calibri" w:eastAsia="Calibri" w:hAnsi="Calibri" w:cs="Calibri"/>
          <w:spacing w:val="-1"/>
        </w:rPr>
        <w:t xml:space="preserve"> </w:t>
      </w:r>
      <w:r w:rsidRPr="00A62D0A">
        <w:rPr>
          <w:rFonts w:ascii="Calibri" w:eastAsia="Calibri" w:hAnsi="Calibri" w:cs="Calibri"/>
        </w:rPr>
        <w:t>produits,</w:t>
      </w:r>
      <w:r w:rsidRPr="00A62D0A">
        <w:rPr>
          <w:rFonts w:ascii="Calibri" w:eastAsia="Calibri" w:hAnsi="Calibri" w:cs="Calibri"/>
          <w:spacing w:val="-2"/>
        </w:rPr>
        <w:t xml:space="preserve"> </w:t>
      </w:r>
      <w:r w:rsidRPr="00A62D0A">
        <w:rPr>
          <w:rFonts w:ascii="Calibri" w:eastAsia="Calibri" w:hAnsi="Calibri" w:cs="Calibri"/>
        </w:rPr>
        <w:t>biens</w:t>
      </w:r>
      <w:r w:rsidRPr="00A62D0A">
        <w:rPr>
          <w:rFonts w:ascii="Calibri" w:eastAsia="Calibri" w:hAnsi="Calibri" w:cs="Calibri"/>
          <w:spacing w:val="-4"/>
        </w:rPr>
        <w:t xml:space="preserve"> </w:t>
      </w:r>
      <w:r w:rsidRPr="00A62D0A">
        <w:rPr>
          <w:rFonts w:ascii="Calibri" w:eastAsia="Calibri" w:hAnsi="Calibri" w:cs="Calibri"/>
        </w:rPr>
        <w:t>et services résultants</w:t>
      </w:r>
      <w:r w:rsidRPr="00A62D0A">
        <w:rPr>
          <w:rFonts w:ascii="Calibri" w:eastAsia="Calibri" w:hAnsi="Calibri" w:cs="Calibri"/>
          <w:spacing w:val="-3"/>
        </w:rPr>
        <w:t xml:space="preserve"> </w:t>
      </w:r>
      <w:r w:rsidRPr="00A62D0A">
        <w:rPr>
          <w:rFonts w:ascii="Calibri" w:eastAsia="Calibri" w:hAnsi="Calibri" w:cs="Calibri"/>
        </w:rPr>
        <w:t>des activités</w:t>
      </w:r>
      <w:r w:rsidRPr="00A62D0A">
        <w:rPr>
          <w:rFonts w:ascii="Calibri" w:eastAsia="Calibri" w:hAnsi="Calibri" w:cs="Calibri"/>
          <w:spacing w:val="1"/>
        </w:rPr>
        <w:t xml:space="preserve"> </w:t>
      </w:r>
      <w:r w:rsidRPr="00A62D0A">
        <w:rPr>
          <w:rFonts w:ascii="Calibri" w:eastAsia="Calibri" w:hAnsi="Calibri" w:cs="Calibri"/>
        </w:rPr>
        <w:t>de</w:t>
      </w:r>
      <w:r w:rsidRPr="00A62D0A">
        <w:rPr>
          <w:rFonts w:ascii="Calibri" w:eastAsia="Calibri" w:hAnsi="Calibri" w:cs="Calibri"/>
          <w:spacing w:val="-3"/>
        </w:rPr>
        <w:t xml:space="preserve"> </w:t>
      </w:r>
      <w:r w:rsidRPr="00A62D0A">
        <w:rPr>
          <w:rFonts w:ascii="Calibri" w:eastAsia="Calibri" w:hAnsi="Calibri" w:cs="Calibri"/>
        </w:rPr>
        <w:t>l'action.</w:t>
      </w:r>
    </w:p>
    <w:p w14:paraId="6FEDD92D" w14:textId="77777777" w:rsidR="00A62D0A" w:rsidRPr="00A62D0A" w:rsidRDefault="00A62D0A" w:rsidP="00A62D0A">
      <w:pPr>
        <w:widowControl w:val="0"/>
        <w:autoSpaceDE w:val="0"/>
        <w:autoSpaceDN w:val="0"/>
        <w:spacing w:after="60" w:line="240" w:lineRule="auto"/>
        <w:ind w:left="215" w:right="1039"/>
        <w:jc w:val="both"/>
        <w:rPr>
          <w:rFonts w:ascii="Calibri" w:eastAsia="Calibri" w:hAnsi="Calibri" w:cs="Calibri"/>
          <w:spacing w:val="-47"/>
        </w:rPr>
      </w:pPr>
      <w:r w:rsidRPr="00A62D0A">
        <w:rPr>
          <w:rFonts w:ascii="Calibri" w:eastAsia="Calibri" w:hAnsi="Calibri" w:cs="Calibri"/>
        </w:rPr>
        <w:t>"Indicateur" : facteur quantitatif et qualitatif, ou variable, permettant de mesurer de manière simple et fiable la réalisation des résultats de l'action.</w:t>
      </w:r>
      <w:r w:rsidRPr="00A62D0A">
        <w:rPr>
          <w:rFonts w:ascii="Calibri" w:eastAsia="Calibri" w:hAnsi="Calibri" w:cs="Calibri"/>
          <w:spacing w:val="-47"/>
        </w:rPr>
        <w:t xml:space="preserve"> </w:t>
      </w:r>
    </w:p>
    <w:p w14:paraId="12B177AE" w14:textId="77777777" w:rsidR="00A62D0A" w:rsidRPr="00A62D0A" w:rsidRDefault="00A62D0A" w:rsidP="00A62D0A">
      <w:pPr>
        <w:widowControl w:val="0"/>
        <w:autoSpaceDE w:val="0"/>
        <w:autoSpaceDN w:val="0"/>
        <w:spacing w:after="60" w:line="240" w:lineRule="auto"/>
        <w:ind w:left="215" w:right="1039"/>
        <w:jc w:val="both"/>
        <w:rPr>
          <w:rFonts w:ascii="Calibri" w:eastAsia="Calibri" w:hAnsi="Calibri" w:cs="Calibri"/>
        </w:rPr>
      </w:pPr>
      <w:r w:rsidRPr="00A62D0A">
        <w:rPr>
          <w:rFonts w:ascii="Calibri" w:eastAsia="Calibri" w:hAnsi="Calibri" w:cs="Calibri"/>
        </w:rPr>
        <w:t>"Référence de</w:t>
      </w:r>
      <w:r w:rsidRPr="00A62D0A">
        <w:rPr>
          <w:rFonts w:ascii="Calibri" w:eastAsia="Calibri" w:hAnsi="Calibri" w:cs="Calibri"/>
          <w:spacing w:val="1"/>
        </w:rPr>
        <w:t xml:space="preserve"> </w:t>
      </w:r>
      <w:r w:rsidRPr="00A62D0A">
        <w:rPr>
          <w:rFonts w:ascii="Calibri" w:eastAsia="Calibri" w:hAnsi="Calibri" w:cs="Calibri"/>
        </w:rPr>
        <w:t>base » :</w:t>
      </w:r>
      <w:r w:rsidRPr="00A62D0A">
        <w:rPr>
          <w:rFonts w:ascii="Calibri" w:eastAsia="Calibri" w:hAnsi="Calibri" w:cs="Calibri"/>
          <w:spacing w:val="1"/>
        </w:rPr>
        <w:t xml:space="preserve"> </w:t>
      </w:r>
      <w:r w:rsidRPr="00A62D0A">
        <w:rPr>
          <w:rFonts w:ascii="Calibri" w:eastAsia="Calibri" w:hAnsi="Calibri" w:cs="Calibri"/>
        </w:rPr>
        <w:t>point</w:t>
      </w:r>
      <w:r w:rsidRPr="00A62D0A">
        <w:rPr>
          <w:rFonts w:ascii="Calibri" w:eastAsia="Calibri" w:hAnsi="Calibri" w:cs="Calibri"/>
          <w:spacing w:val="-2"/>
        </w:rPr>
        <w:t xml:space="preserve"> </w:t>
      </w:r>
      <w:r w:rsidRPr="00A62D0A">
        <w:rPr>
          <w:rFonts w:ascii="Calibri" w:eastAsia="Calibri" w:hAnsi="Calibri" w:cs="Calibri"/>
        </w:rPr>
        <w:t>de</w:t>
      </w:r>
      <w:r w:rsidRPr="00A62D0A">
        <w:rPr>
          <w:rFonts w:ascii="Calibri" w:eastAsia="Calibri" w:hAnsi="Calibri" w:cs="Calibri"/>
          <w:spacing w:val="1"/>
        </w:rPr>
        <w:t xml:space="preserve"> </w:t>
      </w:r>
      <w:r w:rsidRPr="00A62D0A">
        <w:rPr>
          <w:rFonts w:ascii="Calibri" w:eastAsia="Calibri" w:hAnsi="Calibri" w:cs="Calibri"/>
        </w:rPr>
        <w:t>départ</w:t>
      </w:r>
      <w:r w:rsidRPr="00A62D0A">
        <w:rPr>
          <w:rFonts w:ascii="Calibri" w:eastAsia="Calibri" w:hAnsi="Calibri" w:cs="Calibri"/>
          <w:spacing w:val="-2"/>
        </w:rPr>
        <w:t xml:space="preserve"> </w:t>
      </w:r>
      <w:r w:rsidRPr="00A62D0A">
        <w:rPr>
          <w:rFonts w:ascii="Calibri" w:eastAsia="Calibri" w:hAnsi="Calibri" w:cs="Calibri"/>
        </w:rPr>
        <w:t>ou</w:t>
      </w:r>
      <w:r w:rsidRPr="00A62D0A">
        <w:rPr>
          <w:rFonts w:ascii="Calibri" w:eastAsia="Calibri" w:hAnsi="Calibri" w:cs="Calibri"/>
          <w:spacing w:val="-3"/>
        </w:rPr>
        <w:t xml:space="preserve"> </w:t>
      </w:r>
      <w:r w:rsidRPr="00A62D0A">
        <w:rPr>
          <w:rFonts w:ascii="Calibri" w:eastAsia="Calibri" w:hAnsi="Calibri" w:cs="Calibri"/>
        </w:rPr>
        <w:t>valeur</w:t>
      </w:r>
      <w:r w:rsidRPr="00A62D0A">
        <w:rPr>
          <w:rFonts w:ascii="Calibri" w:eastAsia="Calibri" w:hAnsi="Calibri" w:cs="Calibri"/>
          <w:spacing w:val="-2"/>
        </w:rPr>
        <w:t xml:space="preserve"> </w:t>
      </w:r>
      <w:r w:rsidRPr="00A62D0A">
        <w:rPr>
          <w:rFonts w:ascii="Calibri" w:eastAsia="Calibri" w:hAnsi="Calibri" w:cs="Calibri"/>
        </w:rPr>
        <w:t>actuelle des indicateurs.</w:t>
      </w:r>
    </w:p>
    <w:p w14:paraId="3D490A14" w14:textId="77777777" w:rsidR="00A62D0A" w:rsidRPr="00A62D0A" w:rsidRDefault="00A62D0A" w:rsidP="00A62D0A">
      <w:pPr>
        <w:widowControl w:val="0"/>
        <w:autoSpaceDE w:val="0"/>
        <w:autoSpaceDN w:val="0"/>
        <w:spacing w:after="60" w:line="240" w:lineRule="auto"/>
        <w:ind w:left="215"/>
        <w:jc w:val="both"/>
        <w:rPr>
          <w:rFonts w:ascii="Calibri" w:eastAsia="Calibri" w:hAnsi="Calibri" w:cs="Calibri"/>
        </w:rPr>
      </w:pPr>
      <w:r w:rsidRPr="00A62D0A">
        <w:rPr>
          <w:rFonts w:ascii="Calibri" w:eastAsia="Calibri" w:hAnsi="Calibri" w:cs="Calibri"/>
        </w:rPr>
        <w:t>"Objectif" :</w:t>
      </w:r>
      <w:r w:rsidRPr="00A62D0A">
        <w:rPr>
          <w:rFonts w:ascii="Calibri" w:eastAsia="Calibri" w:hAnsi="Calibri" w:cs="Calibri"/>
          <w:spacing w:val="1"/>
        </w:rPr>
        <w:t xml:space="preserve"> </w:t>
      </w:r>
      <w:r w:rsidRPr="00A62D0A">
        <w:rPr>
          <w:rFonts w:ascii="Calibri" w:eastAsia="Calibri" w:hAnsi="Calibri" w:cs="Calibri"/>
        </w:rPr>
        <w:t>niveau</w:t>
      </w:r>
      <w:r w:rsidRPr="00A62D0A">
        <w:rPr>
          <w:rFonts w:ascii="Calibri" w:eastAsia="Calibri" w:hAnsi="Calibri" w:cs="Calibri"/>
          <w:spacing w:val="-1"/>
        </w:rPr>
        <w:t xml:space="preserve"> </w:t>
      </w:r>
      <w:r w:rsidRPr="00A62D0A">
        <w:rPr>
          <w:rFonts w:ascii="Calibri" w:eastAsia="Calibri" w:hAnsi="Calibri" w:cs="Calibri"/>
        </w:rPr>
        <w:t>qualitatif</w:t>
      </w:r>
      <w:r w:rsidRPr="00A62D0A">
        <w:rPr>
          <w:rFonts w:ascii="Calibri" w:eastAsia="Calibri" w:hAnsi="Calibri" w:cs="Calibri"/>
          <w:spacing w:val="-4"/>
        </w:rPr>
        <w:t xml:space="preserve"> </w:t>
      </w:r>
      <w:r w:rsidRPr="00A62D0A">
        <w:rPr>
          <w:rFonts w:ascii="Calibri" w:eastAsia="Calibri" w:hAnsi="Calibri" w:cs="Calibri"/>
        </w:rPr>
        <w:t>ou</w:t>
      </w:r>
      <w:r w:rsidRPr="00A62D0A">
        <w:rPr>
          <w:rFonts w:ascii="Calibri" w:eastAsia="Calibri" w:hAnsi="Calibri" w:cs="Calibri"/>
          <w:spacing w:val="-2"/>
        </w:rPr>
        <w:t xml:space="preserve"> </w:t>
      </w:r>
      <w:r w:rsidRPr="00A62D0A">
        <w:rPr>
          <w:rFonts w:ascii="Calibri" w:eastAsia="Calibri" w:hAnsi="Calibri" w:cs="Calibri"/>
        </w:rPr>
        <w:t>quantitatif</w:t>
      </w:r>
      <w:r w:rsidRPr="00A62D0A">
        <w:rPr>
          <w:rFonts w:ascii="Calibri" w:eastAsia="Calibri" w:hAnsi="Calibri" w:cs="Calibri"/>
          <w:spacing w:val="-1"/>
        </w:rPr>
        <w:t xml:space="preserve"> </w:t>
      </w:r>
      <w:r w:rsidRPr="00A62D0A">
        <w:rPr>
          <w:rFonts w:ascii="Calibri" w:eastAsia="Calibri" w:hAnsi="Calibri" w:cs="Calibri"/>
        </w:rPr>
        <w:t>attendu</w:t>
      </w:r>
      <w:r w:rsidRPr="00A62D0A">
        <w:rPr>
          <w:rFonts w:ascii="Calibri" w:eastAsia="Calibri" w:hAnsi="Calibri" w:cs="Calibri"/>
          <w:spacing w:val="-2"/>
        </w:rPr>
        <w:t xml:space="preserve"> </w:t>
      </w:r>
      <w:r w:rsidRPr="00A62D0A">
        <w:rPr>
          <w:rFonts w:ascii="Calibri" w:eastAsia="Calibri" w:hAnsi="Calibri" w:cs="Calibri"/>
        </w:rPr>
        <w:t>de</w:t>
      </w:r>
      <w:r w:rsidRPr="00A62D0A">
        <w:rPr>
          <w:rFonts w:ascii="Calibri" w:eastAsia="Calibri" w:hAnsi="Calibri" w:cs="Calibri"/>
          <w:spacing w:val="-1"/>
        </w:rPr>
        <w:t xml:space="preserve"> </w:t>
      </w:r>
      <w:r w:rsidRPr="00A62D0A">
        <w:rPr>
          <w:rFonts w:ascii="Calibri" w:eastAsia="Calibri" w:hAnsi="Calibri" w:cs="Calibri"/>
        </w:rPr>
        <w:t>résultats,</w:t>
      </w:r>
      <w:r w:rsidRPr="00A62D0A">
        <w:rPr>
          <w:rFonts w:ascii="Calibri" w:eastAsia="Calibri" w:hAnsi="Calibri" w:cs="Calibri"/>
          <w:spacing w:val="-3"/>
        </w:rPr>
        <w:t xml:space="preserve"> </w:t>
      </w:r>
      <w:r w:rsidRPr="00A62D0A">
        <w:rPr>
          <w:rFonts w:ascii="Calibri" w:eastAsia="Calibri" w:hAnsi="Calibri" w:cs="Calibri"/>
        </w:rPr>
        <w:t>réalisations,</w:t>
      </w:r>
      <w:r w:rsidRPr="00A62D0A">
        <w:rPr>
          <w:rFonts w:ascii="Calibri" w:eastAsia="Calibri" w:hAnsi="Calibri" w:cs="Calibri"/>
          <w:spacing w:val="-4"/>
        </w:rPr>
        <w:t xml:space="preserve"> </w:t>
      </w:r>
      <w:r w:rsidRPr="00A62D0A">
        <w:rPr>
          <w:rFonts w:ascii="Calibri" w:eastAsia="Calibri" w:hAnsi="Calibri" w:cs="Calibri"/>
        </w:rPr>
        <w:t>ou</w:t>
      </w:r>
      <w:r w:rsidRPr="00A62D0A">
        <w:rPr>
          <w:rFonts w:ascii="Calibri" w:eastAsia="Calibri" w:hAnsi="Calibri" w:cs="Calibri"/>
          <w:spacing w:val="-2"/>
        </w:rPr>
        <w:t xml:space="preserve"> </w:t>
      </w:r>
      <w:r w:rsidRPr="00A62D0A">
        <w:rPr>
          <w:rFonts w:ascii="Calibri" w:eastAsia="Calibri" w:hAnsi="Calibri" w:cs="Calibri"/>
        </w:rPr>
        <w:t>impact</w:t>
      </w:r>
      <w:r w:rsidRPr="00A62D0A">
        <w:rPr>
          <w:rFonts w:ascii="Calibri" w:eastAsia="Calibri" w:hAnsi="Calibri" w:cs="Calibri"/>
          <w:spacing w:val="-1"/>
        </w:rPr>
        <w:t xml:space="preserve"> </w:t>
      </w:r>
      <w:r w:rsidRPr="00A62D0A">
        <w:rPr>
          <w:rFonts w:ascii="Calibri" w:eastAsia="Calibri" w:hAnsi="Calibri" w:cs="Calibri"/>
        </w:rPr>
        <w:t>d'une action.</w:t>
      </w:r>
    </w:p>
    <w:p w14:paraId="36148020" w14:textId="47F46A23" w:rsidR="00A62D0A" w:rsidRPr="00A62D0A" w:rsidRDefault="00A62D0A" w:rsidP="00A62D0A">
      <w:pPr>
        <w:widowControl w:val="0"/>
        <w:autoSpaceDE w:val="0"/>
        <w:autoSpaceDN w:val="0"/>
        <w:spacing w:before="1" w:after="120" w:line="240" w:lineRule="auto"/>
        <w:ind w:left="218" w:right="229"/>
        <w:jc w:val="both"/>
        <w:rPr>
          <w:rFonts w:ascii="Calibri" w:eastAsia="Calibri" w:hAnsi="Calibri" w:cs="Calibri"/>
        </w:rPr>
      </w:pPr>
      <w:r w:rsidRPr="00A62D0A">
        <w:rPr>
          <w:rFonts w:ascii="Calibri" w:eastAsia="Calibri" w:hAnsi="Calibri" w:cs="Calibri"/>
        </w:rPr>
        <w:t>Un "cadre logique" (ou log frame matrix) est une matrice dans laquelle sont</w:t>
      </w:r>
      <w:r w:rsidRPr="00A62D0A">
        <w:rPr>
          <w:rFonts w:ascii="Calibri" w:eastAsia="Calibri" w:hAnsi="Calibri" w:cs="Calibri"/>
          <w:spacing w:val="-2"/>
        </w:rPr>
        <w:t xml:space="preserve"> </w:t>
      </w:r>
      <w:r w:rsidRPr="00A62D0A">
        <w:rPr>
          <w:rFonts w:ascii="Calibri" w:eastAsia="Calibri" w:hAnsi="Calibri" w:cs="Calibri"/>
        </w:rPr>
        <w:t xml:space="preserve">présentés les résultats, les hypothèses, les indicateurs, les objectifs, les références de base et </w:t>
      </w:r>
      <w:r w:rsidR="000E37F9" w:rsidRPr="00A62D0A">
        <w:rPr>
          <w:rFonts w:ascii="Calibri" w:eastAsia="Calibri" w:hAnsi="Calibri" w:cs="Calibri"/>
        </w:rPr>
        <w:t xml:space="preserve">les </w:t>
      </w:r>
      <w:r w:rsidR="000E37F9" w:rsidRPr="00A62D0A">
        <w:rPr>
          <w:rFonts w:ascii="Calibri" w:eastAsia="Calibri" w:hAnsi="Calibri" w:cs="Calibri"/>
          <w:spacing w:val="-47"/>
        </w:rPr>
        <w:t>sources</w:t>
      </w:r>
      <w:r w:rsidRPr="00A62D0A">
        <w:rPr>
          <w:rFonts w:ascii="Calibri" w:eastAsia="Calibri" w:hAnsi="Calibri" w:cs="Calibri"/>
          <w:spacing w:val="-3"/>
        </w:rPr>
        <w:t xml:space="preserve"> </w:t>
      </w:r>
      <w:r w:rsidRPr="00A62D0A">
        <w:rPr>
          <w:rFonts w:ascii="Calibri" w:eastAsia="Calibri" w:hAnsi="Calibri" w:cs="Calibri"/>
        </w:rPr>
        <w:t>de</w:t>
      </w:r>
      <w:r w:rsidRPr="00A62D0A">
        <w:rPr>
          <w:rFonts w:ascii="Calibri" w:eastAsia="Calibri" w:hAnsi="Calibri" w:cs="Calibri"/>
          <w:spacing w:val="-2"/>
        </w:rPr>
        <w:t xml:space="preserve"> </w:t>
      </w:r>
      <w:r w:rsidRPr="00A62D0A">
        <w:rPr>
          <w:rFonts w:ascii="Calibri" w:eastAsia="Calibri" w:hAnsi="Calibri" w:cs="Calibri"/>
        </w:rPr>
        <w:t>vérification</w:t>
      </w:r>
      <w:r w:rsidRPr="00A62D0A">
        <w:rPr>
          <w:rFonts w:ascii="Calibri" w:eastAsia="Calibri" w:hAnsi="Calibri" w:cs="Calibri"/>
          <w:spacing w:val="-4"/>
        </w:rPr>
        <w:t xml:space="preserve"> </w:t>
      </w:r>
      <w:r w:rsidRPr="00A62D0A">
        <w:rPr>
          <w:rFonts w:ascii="Calibri" w:eastAsia="Calibri" w:hAnsi="Calibri" w:cs="Calibri"/>
        </w:rPr>
        <w:t>liées à une</w:t>
      </w:r>
      <w:r w:rsidRPr="00A62D0A">
        <w:rPr>
          <w:rFonts w:ascii="Calibri" w:eastAsia="Calibri" w:hAnsi="Calibri" w:cs="Calibri"/>
          <w:spacing w:val="1"/>
        </w:rPr>
        <w:t xml:space="preserve"> </w:t>
      </w:r>
      <w:r w:rsidRPr="00A62D0A">
        <w:rPr>
          <w:rFonts w:ascii="Calibri" w:eastAsia="Calibri" w:hAnsi="Calibri" w:cs="Calibri"/>
        </w:rPr>
        <w:t>action.</w:t>
      </w:r>
    </w:p>
    <w:p w14:paraId="2302D7E8" w14:textId="77777777" w:rsidR="00E913E7" w:rsidRDefault="00A62D0A" w:rsidP="00A62D0A">
      <w:pPr>
        <w:widowControl w:val="0"/>
        <w:autoSpaceDE w:val="0"/>
        <w:autoSpaceDN w:val="0"/>
        <w:spacing w:after="120" w:line="240" w:lineRule="auto"/>
        <w:ind w:left="215"/>
        <w:jc w:val="both"/>
        <w:rPr>
          <w:rFonts w:ascii="Calibri" w:eastAsia="Calibri" w:hAnsi="Calibri" w:cs="Calibri"/>
        </w:rPr>
        <w:sectPr w:rsidR="00E913E7" w:rsidSect="00A62D0A">
          <w:footerReference w:type="default" r:id="rId20"/>
          <w:pgSz w:w="16838" w:h="11906" w:orient="landscape"/>
          <w:pgMar w:top="1418" w:right="1134" w:bottom="1418" w:left="993" w:header="709" w:footer="709" w:gutter="0"/>
          <w:pgNumType w:start="1"/>
          <w:cols w:space="708"/>
          <w:docGrid w:linePitch="360"/>
        </w:sectPr>
      </w:pPr>
      <w:r w:rsidRPr="00A62D0A">
        <w:rPr>
          <w:rFonts w:ascii="Calibri" w:eastAsia="Calibri" w:hAnsi="Calibri" w:cs="Calibri"/>
        </w:rPr>
        <w:t xml:space="preserve">L'intervention logique montre comment, dans un contexte donné, les activités permettront d'atteindre les résultats, les résultats des réalisations, et </w:t>
      </w:r>
      <w:r w:rsidR="000E37F9" w:rsidRPr="00A62D0A">
        <w:rPr>
          <w:rFonts w:ascii="Calibri" w:eastAsia="Calibri" w:hAnsi="Calibri" w:cs="Calibri"/>
        </w:rPr>
        <w:t>les réalisations</w:t>
      </w:r>
      <w:r w:rsidRPr="00A62D0A">
        <w:rPr>
          <w:rFonts w:ascii="Calibri" w:eastAsia="Calibri" w:hAnsi="Calibri" w:cs="Calibri"/>
        </w:rPr>
        <w:t xml:space="preserve"> l'impact attendu. Les principales hypothèses, élaborées dans ce processus de réflexion sont à intégrer dans la matrice de cadre logique.</w:t>
      </w:r>
    </w:p>
    <w:p w14:paraId="280F5393" w14:textId="3ED45FB3" w:rsidR="00BB7EE6" w:rsidRPr="00E913E7" w:rsidRDefault="00E913E7" w:rsidP="00A62D0A">
      <w:pPr>
        <w:widowControl w:val="0"/>
        <w:autoSpaceDE w:val="0"/>
        <w:autoSpaceDN w:val="0"/>
        <w:spacing w:after="120" w:line="240" w:lineRule="auto"/>
        <w:ind w:left="215"/>
        <w:jc w:val="both"/>
        <w:rPr>
          <w:b/>
          <w:bCs/>
        </w:rPr>
      </w:pPr>
      <w:r w:rsidRPr="00E913E7">
        <w:rPr>
          <w:b/>
          <w:bCs/>
        </w:rPr>
        <w:lastRenderedPageBreak/>
        <w:t xml:space="preserve">Annexe 2 : </w:t>
      </w:r>
      <w:r w:rsidR="00C5685C" w:rsidRPr="00C5685C">
        <w:t xml:space="preserve"> </w:t>
      </w:r>
      <w:r w:rsidR="00C5685C">
        <w:rPr>
          <w:b/>
          <w:bCs/>
        </w:rPr>
        <w:t>M</w:t>
      </w:r>
      <w:r w:rsidR="00C5685C" w:rsidRPr="00C5685C">
        <w:rPr>
          <w:b/>
          <w:bCs/>
        </w:rPr>
        <w:t xml:space="preserve">odèle </w:t>
      </w:r>
      <w:r w:rsidR="00C5685C">
        <w:rPr>
          <w:b/>
          <w:bCs/>
        </w:rPr>
        <w:t>du budget estimatif</w:t>
      </w:r>
    </w:p>
    <w:tbl>
      <w:tblPr>
        <w:tblW w:w="9631" w:type="dxa"/>
        <w:tblCellMar>
          <w:left w:w="70" w:type="dxa"/>
          <w:right w:w="70" w:type="dxa"/>
        </w:tblCellMar>
        <w:tblLook w:val="04A0" w:firstRow="1" w:lastRow="0" w:firstColumn="1" w:lastColumn="0" w:noHBand="0" w:noVBand="1"/>
      </w:tblPr>
      <w:tblGrid>
        <w:gridCol w:w="4673"/>
        <w:gridCol w:w="1270"/>
        <w:gridCol w:w="1123"/>
        <w:gridCol w:w="1272"/>
        <w:gridCol w:w="1293"/>
      </w:tblGrid>
      <w:tr w:rsidR="008236D6" w:rsidRPr="008236D6" w14:paraId="2632B6BC" w14:textId="77777777" w:rsidTr="008236D6">
        <w:trPr>
          <w:trHeight w:val="720"/>
        </w:trPr>
        <w:tc>
          <w:tcPr>
            <w:tcW w:w="9631" w:type="dxa"/>
            <w:gridSpan w:val="5"/>
            <w:tcBorders>
              <w:top w:val="single" w:sz="4" w:space="0" w:color="000000"/>
              <w:left w:val="single" w:sz="4" w:space="0" w:color="000000"/>
              <w:bottom w:val="single" w:sz="4" w:space="0" w:color="000000"/>
              <w:right w:val="nil"/>
            </w:tcBorders>
            <w:shd w:val="clear" w:color="000000" w:fill="9BC2E6"/>
            <w:hideMark/>
          </w:tcPr>
          <w:p w14:paraId="55B5455C" w14:textId="77777777" w:rsidR="008236D6" w:rsidRPr="008236D6" w:rsidRDefault="008236D6" w:rsidP="008236D6">
            <w:pPr>
              <w:spacing w:after="0" w:line="240" w:lineRule="auto"/>
              <w:jc w:val="center"/>
              <w:rPr>
                <w:rFonts w:ascii="Palatino Linotype" w:eastAsia="Times New Roman" w:hAnsi="Palatino Linotype" w:cs="Times New Roman"/>
                <w:b/>
                <w:bCs/>
                <w:color w:val="333E4F"/>
                <w:sz w:val="44"/>
                <w:szCs w:val="44"/>
                <w:lang w:eastAsia="fr-FR"/>
              </w:rPr>
            </w:pPr>
            <w:r w:rsidRPr="008236D6">
              <w:rPr>
                <w:rFonts w:ascii="Palatino Linotype" w:eastAsia="Times New Roman" w:hAnsi="Palatino Linotype" w:cs="Times New Roman"/>
                <w:b/>
                <w:bCs/>
                <w:color w:val="333E4F"/>
                <w:sz w:val="44"/>
                <w:szCs w:val="44"/>
                <w:lang w:eastAsia="fr-FR"/>
              </w:rPr>
              <w:t>Projet du budget</w:t>
            </w:r>
          </w:p>
        </w:tc>
      </w:tr>
      <w:tr w:rsidR="008236D6" w:rsidRPr="008236D6" w14:paraId="46CA32DF" w14:textId="77777777" w:rsidTr="008236D6">
        <w:trPr>
          <w:trHeight w:val="390"/>
        </w:trPr>
        <w:tc>
          <w:tcPr>
            <w:tcW w:w="9631" w:type="dxa"/>
            <w:gridSpan w:val="5"/>
            <w:tcBorders>
              <w:top w:val="single" w:sz="4" w:space="0" w:color="000000"/>
              <w:left w:val="single" w:sz="4" w:space="0" w:color="000000"/>
              <w:bottom w:val="single" w:sz="4" w:space="0" w:color="000000"/>
              <w:right w:val="nil"/>
            </w:tcBorders>
            <w:shd w:val="clear" w:color="000000" w:fill="BCD6ED"/>
            <w:hideMark/>
          </w:tcPr>
          <w:p w14:paraId="02991BBF" w14:textId="77777777" w:rsidR="008236D6" w:rsidRPr="008236D6" w:rsidRDefault="008236D6" w:rsidP="008236D6">
            <w:pPr>
              <w:spacing w:after="0" w:line="240" w:lineRule="auto"/>
              <w:jc w:val="center"/>
              <w:rPr>
                <w:rFonts w:ascii="Palatino Linotype" w:eastAsia="Times New Roman" w:hAnsi="Palatino Linotype" w:cs="Times New Roman"/>
                <w:b/>
                <w:bCs/>
                <w:color w:val="333E4F"/>
                <w:sz w:val="24"/>
                <w:szCs w:val="24"/>
                <w:lang w:eastAsia="fr-FR"/>
              </w:rPr>
            </w:pPr>
            <w:r w:rsidRPr="008236D6">
              <w:rPr>
                <w:rFonts w:ascii="Palatino Linotype" w:eastAsia="Times New Roman" w:hAnsi="Palatino Linotype" w:cs="Times New Roman"/>
                <w:b/>
                <w:bCs/>
                <w:color w:val="333E4F"/>
                <w:sz w:val="24"/>
                <w:szCs w:val="24"/>
                <w:lang w:eastAsia="fr-FR"/>
              </w:rPr>
              <w:t>Nom du projet :  "XX"</w:t>
            </w:r>
          </w:p>
        </w:tc>
      </w:tr>
      <w:tr w:rsidR="008236D6" w:rsidRPr="008236D6" w14:paraId="02DC4895" w14:textId="77777777" w:rsidTr="008236D6">
        <w:trPr>
          <w:trHeight w:val="390"/>
        </w:trPr>
        <w:tc>
          <w:tcPr>
            <w:tcW w:w="9631" w:type="dxa"/>
            <w:gridSpan w:val="5"/>
            <w:tcBorders>
              <w:top w:val="single" w:sz="4" w:space="0" w:color="000000"/>
              <w:left w:val="single" w:sz="4" w:space="0" w:color="000000"/>
              <w:bottom w:val="single" w:sz="4" w:space="0" w:color="000000"/>
              <w:right w:val="nil"/>
            </w:tcBorders>
            <w:shd w:val="clear" w:color="000000" w:fill="BCD6ED"/>
            <w:hideMark/>
          </w:tcPr>
          <w:p w14:paraId="560E6F9A" w14:textId="30F1C472" w:rsidR="008236D6" w:rsidRPr="008236D6" w:rsidRDefault="008236D6" w:rsidP="008236D6">
            <w:pPr>
              <w:spacing w:after="0" w:line="240" w:lineRule="auto"/>
              <w:jc w:val="center"/>
              <w:rPr>
                <w:rFonts w:ascii="Times New Roman" w:eastAsia="Times New Roman" w:hAnsi="Times New Roman" w:cs="Times New Roman"/>
                <w:b/>
                <w:bCs/>
                <w:color w:val="333E4F"/>
                <w:sz w:val="24"/>
                <w:szCs w:val="24"/>
                <w:lang w:eastAsia="fr-FR"/>
              </w:rPr>
            </w:pPr>
            <w:r w:rsidRPr="008236D6">
              <w:rPr>
                <w:rFonts w:ascii="Palatino Linotype" w:eastAsia="Times New Roman" w:hAnsi="Palatino Linotype" w:cs="Times New Roman"/>
                <w:b/>
                <w:bCs/>
                <w:color w:val="333E4F"/>
                <w:sz w:val="24"/>
                <w:szCs w:val="24"/>
                <w:lang w:eastAsia="fr-FR"/>
              </w:rPr>
              <w:t xml:space="preserve">Budget proposé : </w:t>
            </w:r>
            <w:r w:rsidR="00A80EDF">
              <w:rPr>
                <w:rFonts w:ascii="Palatino Linotype" w:eastAsia="Times New Roman" w:hAnsi="Palatino Linotype" w:cs="Times New Roman"/>
                <w:b/>
                <w:bCs/>
                <w:color w:val="333E4F"/>
                <w:sz w:val="24"/>
                <w:szCs w:val="24"/>
                <w:lang w:eastAsia="fr-FR"/>
              </w:rPr>
              <w:t>168.236,000 TND</w:t>
            </w:r>
          </w:p>
        </w:tc>
      </w:tr>
      <w:tr w:rsidR="008236D6" w:rsidRPr="008236D6" w14:paraId="4029D452" w14:textId="77777777" w:rsidTr="008236D6">
        <w:trPr>
          <w:trHeight w:val="240"/>
        </w:trPr>
        <w:tc>
          <w:tcPr>
            <w:tcW w:w="9631" w:type="dxa"/>
            <w:gridSpan w:val="5"/>
            <w:tcBorders>
              <w:top w:val="single" w:sz="4" w:space="0" w:color="000000"/>
              <w:left w:val="nil"/>
              <w:bottom w:val="nil"/>
              <w:right w:val="nil"/>
            </w:tcBorders>
            <w:shd w:val="clear" w:color="auto" w:fill="auto"/>
            <w:hideMark/>
          </w:tcPr>
          <w:p w14:paraId="57D9233E"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r>
      <w:tr w:rsidR="008236D6" w:rsidRPr="008236D6" w14:paraId="7C71B5C9" w14:textId="77777777" w:rsidTr="008236D6">
        <w:trPr>
          <w:trHeight w:val="530"/>
        </w:trPr>
        <w:tc>
          <w:tcPr>
            <w:tcW w:w="4673" w:type="dxa"/>
            <w:tcBorders>
              <w:top w:val="nil"/>
              <w:left w:val="nil"/>
              <w:bottom w:val="single" w:sz="4" w:space="0" w:color="000000"/>
              <w:right w:val="single" w:sz="4" w:space="0" w:color="000000"/>
            </w:tcBorders>
            <w:shd w:val="clear" w:color="auto" w:fill="auto"/>
            <w:vAlign w:val="center"/>
            <w:hideMark/>
          </w:tcPr>
          <w:p w14:paraId="1FC3339E"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4956" w:type="dxa"/>
            <w:gridSpan w:val="4"/>
            <w:tcBorders>
              <w:top w:val="single" w:sz="4" w:space="0" w:color="000000"/>
              <w:left w:val="nil"/>
              <w:bottom w:val="single" w:sz="4" w:space="0" w:color="000000"/>
              <w:right w:val="single" w:sz="4" w:space="0" w:color="000000"/>
            </w:tcBorders>
            <w:shd w:val="clear" w:color="000000" w:fill="C0C0C0"/>
            <w:hideMark/>
          </w:tcPr>
          <w:p w14:paraId="1EA00878" w14:textId="77777777" w:rsidR="008236D6" w:rsidRPr="008236D6" w:rsidRDefault="008236D6" w:rsidP="008236D6">
            <w:pPr>
              <w:spacing w:after="0" w:line="240" w:lineRule="auto"/>
              <w:jc w:val="center"/>
              <w:rPr>
                <w:rFonts w:ascii="Calibri" w:eastAsia="Times New Roman" w:hAnsi="Calibri" w:cs="Calibri"/>
                <w:b/>
                <w:bCs/>
                <w:sz w:val="24"/>
                <w:szCs w:val="24"/>
                <w:lang w:eastAsia="fr-FR"/>
              </w:rPr>
            </w:pPr>
            <w:r w:rsidRPr="008236D6">
              <w:rPr>
                <w:rFonts w:ascii="Calibri" w:eastAsia="Times New Roman" w:hAnsi="Calibri" w:cs="Calibri"/>
                <w:b/>
                <w:bCs/>
                <w:sz w:val="24"/>
                <w:szCs w:val="24"/>
                <w:lang w:eastAsia="fr-FR"/>
              </w:rPr>
              <w:t>Budget initial</w:t>
            </w:r>
          </w:p>
        </w:tc>
      </w:tr>
      <w:tr w:rsidR="008236D6" w:rsidRPr="008236D6" w14:paraId="113F2855" w14:textId="77777777" w:rsidTr="008236D6">
        <w:trPr>
          <w:trHeight w:val="838"/>
        </w:trPr>
        <w:tc>
          <w:tcPr>
            <w:tcW w:w="4673" w:type="dxa"/>
            <w:tcBorders>
              <w:top w:val="nil"/>
              <w:left w:val="single" w:sz="4" w:space="0" w:color="000000"/>
              <w:bottom w:val="single" w:sz="4" w:space="0" w:color="000000"/>
              <w:right w:val="single" w:sz="4" w:space="0" w:color="000000"/>
            </w:tcBorders>
            <w:shd w:val="clear" w:color="000000" w:fill="C0C0C0"/>
            <w:vAlign w:val="center"/>
            <w:hideMark/>
          </w:tcPr>
          <w:p w14:paraId="3157EA30" w14:textId="77777777" w:rsidR="008236D6" w:rsidRPr="008236D6" w:rsidRDefault="008236D6" w:rsidP="008236D6">
            <w:pPr>
              <w:spacing w:after="0" w:line="240" w:lineRule="auto"/>
              <w:jc w:val="center"/>
              <w:rPr>
                <w:rFonts w:ascii="Arial" w:eastAsia="Times New Roman" w:hAnsi="Arial" w:cs="Arial"/>
                <w:b/>
                <w:bCs/>
                <w:sz w:val="20"/>
                <w:szCs w:val="20"/>
                <w:lang w:eastAsia="fr-FR"/>
              </w:rPr>
            </w:pPr>
            <w:r w:rsidRPr="008236D6">
              <w:rPr>
                <w:rFonts w:ascii="Arial" w:eastAsia="Times New Roman" w:hAnsi="Arial" w:cs="Arial"/>
                <w:b/>
                <w:bCs/>
                <w:sz w:val="20"/>
                <w:szCs w:val="20"/>
                <w:lang w:eastAsia="fr-FR"/>
              </w:rPr>
              <w:t>Coûts</w:t>
            </w:r>
          </w:p>
        </w:tc>
        <w:tc>
          <w:tcPr>
            <w:tcW w:w="1270" w:type="dxa"/>
            <w:tcBorders>
              <w:top w:val="nil"/>
              <w:left w:val="nil"/>
              <w:bottom w:val="single" w:sz="4" w:space="0" w:color="000000"/>
              <w:right w:val="single" w:sz="4" w:space="0" w:color="000000"/>
            </w:tcBorders>
            <w:shd w:val="clear" w:color="000000" w:fill="C0C0C0"/>
            <w:vAlign w:val="center"/>
            <w:hideMark/>
          </w:tcPr>
          <w:p w14:paraId="14C00B2E" w14:textId="77777777" w:rsidR="008236D6" w:rsidRPr="008236D6" w:rsidRDefault="008236D6" w:rsidP="008236D6">
            <w:pPr>
              <w:spacing w:after="0" w:line="240" w:lineRule="auto"/>
              <w:jc w:val="center"/>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Unité</w:t>
            </w:r>
          </w:p>
        </w:tc>
        <w:tc>
          <w:tcPr>
            <w:tcW w:w="1123" w:type="dxa"/>
            <w:tcBorders>
              <w:top w:val="nil"/>
              <w:left w:val="nil"/>
              <w:bottom w:val="single" w:sz="4" w:space="0" w:color="000000"/>
              <w:right w:val="single" w:sz="4" w:space="0" w:color="000000"/>
            </w:tcBorders>
            <w:shd w:val="clear" w:color="000000" w:fill="C0C0C0"/>
            <w:hideMark/>
          </w:tcPr>
          <w:p w14:paraId="2679B216" w14:textId="77777777" w:rsidR="008236D6" w:rsidRPr="008236D6" w:rsidRDefault="008236D6" w:rsidP="008236D6">
            <w:pPr>
              <w:spacing w:after="0" w:line="240" w:lineRule="auto"/>
              <w:ind w:firstLineChars="100" w:firstLine="201"/>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Nombre d'unités</w:t>
            </w:r>
          </w:p>
        </w:tc>
        <w:tc>
          <w:tcPr>
            <w:tcW w:w="1272" w:type="dxa"/>
            <w:tcBorders>
              <w:top w:val="nil"/>
              <w:left w:val="nil"/>
              <w:bottom w:val="single" w:sz="4" w:space="0" w:color="000000"/>
              <w:right w:val="single" w:sz="4" w:space="0" w:color="000000"/>
            </w:tcBorders>
            <w:shd w:val="clear" w:color="000000" w:fill="C0C0C0"/>
            <w:hideMark/>
          </w:tcPr>
          <w:p w14:paraId="25B1CFAF" w14:textId="7F1FFD3D" w:rsidR="008236D6" w:rsidRPr="008236D6" w:rsidRDefault="00BA42CA" w:rsidP="008236D6">
            <w:pPr>
              <w:spacing w:after="0" w:line="240" w:lineRule="auto"/>
              <w:jc w:val="center"/>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Valeur</w:t>
            </w:r>
            <w:r w:rsidR="008236D6" w:rsidRPr="008236D6">
              <w:rPr>
                <w:rFonts w:ascii="Calibri" w:eastAsia="Times New Roman" w:hAnsi="Calibri" w:cs="Calibri"/>
                <w:b/>
                <w:bCs/>
                <w:sz w:val="20"/>
                <w:szCs w:val="20"/>
                <w:lang w:eastAsia="fr-FR"/>
              </w:rPr>
              <w:t xml:space="preserve"> unitaire</w:t>
            </w:r>
            <w:r w:rsidR="008236D6" w:rsidRPr="008236D6">
              <w:rPr>
                <w:rFonts w:ascii="Calibri" w:eastAsia="Times New Roman" w:hAnsi="Calibri" w:cs="Calibri"/>
                <w:b/>
                <w:bCs/>
                <w:sz w:val="20"/>
                <w:szCs w:val="20"/>
                <w:lang w:eastAsia="fr-FR"/>
              </w:rPr>
              <w:br/>
              <w:t xml:space="preserve"> (en </w:t>
            </w:r>
            <w:r w:rsidR="00A80EDF">
              <w:rPr>
                <w:rFonts w:ascii="Calibri" w:eastAsia="Times New Roman" w:hAnsi="Calibri" w:cs="Calibri"/>
                <w:b/>
                <w:bCs/>
                <w:sz w:val="20"/>
                <w:szCs w:val="20"/>
                <w:lang w:eastAsia="fr-FR"/>
              </w:rPr>
              <w:t>TND</w:t>
            </w:r>
            <w:r w:rsidR="008236D6" w:rsidRPr="008236D6">
              <w:rPr>
                <w:rFonts w:ascii="Calibri" w:eastAsia="Times New Roman" w:hAnsi="Calibri" w:cs="Calibri"/>
                <w:b/>
                <w:bCs/>
                <w:sz w:val="20"/>
                <w:szCs w:val="20"/>
                <w:lang w:eastAsia="fr-FR"/>
              </w:rPr>
              <w:t>)</w:t>
            </w:r>
          </w:p>
        </w:tc>
        <w:tc>
          <w:tcPr>
            <w:tcW w:w="1291" w:type="dxa"/>
            <w:tcBorders>
              <w:top w:val="nil"/>
              <w:left w:val="nil"/>
              <w:bottom w:val="single" w:sz="4" w:space="0" w:color="000000"/>
              <w:right w:val="single" w:sz="4" w:space="0" w:color="000000"/>
            </w:tcBorders>
            <w:shd w:val="clear" w:color="000000" w:fill="C0C0C0"/>
            <w:vAlign w:val="center"/>
            <w:hideMark/>
          </w:tcPr>
          <w:p w14:paraId="31793050" w14:textId="77777777" w:rsidR="008236D6" w:rsidRPr="008236D6" w:rsidRDefault="008236D6" w:rsidP="008236D6">
            <w:pPr>
              <w:spacing w:after="0" w:line="240" w:lineRule="auto"/>
              <w:ind w:firstLineChars="200" w:firstLine="402"/>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Total</w:t>
            </w:r>
          </w:p>
        </w:tc>
      </w:tr>
      <w:tr w:rsidR="008236D6" w:rsidRPr="008236D6" w14:paraId="058D65CA"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000000" w:fill="FFD966"/>
            <w:hideMark/>
          </w:tcPr>
          <w:p w14:paraId="3EFB125B"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1. Ressources humaines</w:t>
            </w:r>
          </w:p>
        </w:tc>
        <w:tc>
          <w:tcPr>
            <w:tcW w:w="1270" w:type="dxa"/>
            <w:tcBorders>
              <w:top w:val="nil"/>
              <w:left w:val="nil"/>
              <w:bottom w:val="single" w:sz="4" w:space="0" w:color="000000"/>
              <w:right w:val="single" w:sz="4" w:space="0" w:color="000000"/>
            </w:tcBorders>
            <w:shd w:val="clear" w:color="000000" w:fill="FFD966"/>
            <w:vAlign w:val="bottom"/>
            <w:hideMark/>
          </w:tcPr>
          <w:p w14:paraId="40FBFFDB"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000000" w:fill="FFD966"/>
            <w:vAlign w:val="bottom"/>
            <w:hideMark/>
          </w:tcPr>
          <w:p w14:paraId="1E934363" w14:textId="77777777" w:rsidR="008236D6" w:rsidRPr="008236D6" w:rsidRDefault="008236D6" w:rsidP="008236D6">
            <w:pPr>
              <w:spacing w:after="0" w:line="240" w:lineRule="auto"/>
              <w:rPr>
                <w:rFonts w:ascii="Times New Roman" w:eastAsia="Times New Roman" w:hAnsi="Times New Roman" w:cs="Times New Roman"/>
                <w:b/>
                <w:bCs/>
                <w:color w:val="000000"/>
                <w:sz w:val="20"/>
                <w:szCs w:val="20"/>
                <w:lang w:eastAsia="fr-FR"/>
              </w:rPr>
            </w:pPr>
            <w:r w:rsidRPr="008236D6">
              <w:rPr>
                <w:rFonts w:ascii="Times New Roman" w:eastAsia="Times New Roman" w:hAnsi="Times New Roman" w:cs="Times New Roman"/>
                <w:b/>
                <w:bCs/>
                <w:color w:val="000000"/>
                <w:sz w:val="20"/>
                <w:szCs w:val="20"/>
                <w:lang w:eastAsia="fr-FR"/>
              </w:rPr>
              <w:t> </w:t>
            </w:r>
          </w:p>
        </w:tc>
        <w:tc>
          <w:tcPr>
            <w:tcW w:w="1272" w:type="dxa"/>
            <w:tcBorders>
              <w:top w:val="nil"/>
              <w:left w:val="nil"/>
              <w:bottom w:val="single" w:sz="4" w:space="0" w:color="000000"/>
              <w:right w:val="single" w:sz="4" w:space="0" w:color="000000"/>
            </w:tcBorders>
            <w:shd w:val="clear" w:color="000000" w:fill="FFD966"/>
            <w:vAlign w:val="bottom"/>
            <w:hideMark/>
          </w:tcPr>
          <w:p w14:paraId="128CE3BE" w14:textId="77777777" w:rsidR="008236D6" w:rsidRPr="008236D6" w:rsidRDefault="008236D6" w:rsidP="008236D6">
            <w:pPr>
              <w:spacing w:after="0" w:line="240" w:lineRule="auto"/>
              <w:rPr>
                <w:rFonts w:ascii="Times New Roman" w:eastAsia="Times New Roman" w:hAnsi="Times New Roman" w:cs="Times New Roman"/>
                <w:b/>
                <w:bCs/>
                <w:color w:val="000000"/>
                <w:sz w:val="20"/>
                <w:szCs w:val="20"/>
                <w:lang w:eastAsia="fr-FR"/>
              </w:rPr>
            </w:pPr>
            <w:r w:rsidRPr="008236D6">
              <w:rPr>
                <w:rFonts w:ascii="Times New Roman" w:eastAsia="Times New Roman" w:hAnsi="Times New Roman" w:cs="Times New Roman"/>
                <w:b/>
                <w:bCs/>
                <w:color w:val="000000"/>
                <w:sz w:val="20"/>
                <w:szCs w:val="20"/>
                <w:lang w:eastAsia="fr-FR"/>
              </w:rPr>
              <w:t> </w:t>
            </w:r>
          </w:p>
        </w:tc>
        <w:tc>
          <w:tcPr>
            <w:tcW w:w="1291" w:type="dxa"/>
            <w:tcBorders>
              <w:top w:val="nil"/>
              <w:left w:val="nil"/>
              <w:bottom w:val="single" w:sz="4" w:space="0" w:color="000000"/>
              <w:right w:val="single" w:sz="4" w:space="0" w:color="000000"/>
            </w:tcBorders>
            <w:shd w:val="clear" w:color="000000" w:fill="FFD966"/>
            <w:vAlign w:val="bottom"/>
            <w:hideMark/>
          </w:tcPr>
          <w:p w14:paraId="42099B08"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r>
      <w:tr w:rsidR="008236D6" w:rsidRPr="008236D6" w14:paraId="38D09661"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auto" w:fill="auto"/>
            <w:hideMark/>
          </w:tcPr>
          <w:p w14:paraId="1C86AEBB"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1.1 Per diem</w:t>
            </w:r>
          </w:p>
        </w:tc>
        <w:tc>
          <w:tcPr>
            <w:tcW w:w="1270" w:type="dxa"/>
            <w:tcBorders>
              <w:top w:val="nil"/>
              <w:left w:val="nil"/>
              <w:bottom w:val="single" w:sz="4" w:space="0" w:color="000000"/>
              <w:right w:val="single" w:sz="4" w:space="0" w:color="000000"/>
            </w:tcBorders>
            <w:shd w:val="clear" w:color="auto" w:fill="auto"/>
            <w:vAlign w:val="bottom"/>
            <w:hideMark/>
          </w:tcPr>
          <w:p w14:paraId="75EA062F"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auto" w:fill="auto"/>
            <w:vAlign w:val="bottom"/>
            <w:hideMark/>
          </w:tcPr>
          <w:p w14:paraId="2DFC3981"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vAlign w:val="bottom"/>
            <w:hideMark/>
          </w:tcPr>
          <w:p w14:paraId="4036CA3A"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vAlign w:val="bottom"/>
            <w:hideMark/>
          </w:tcPr>
          <w:p w14:paraId="10F8EE09"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r>
      <w:tr w:rsidR="008236D6" w:rsidRPr="008236D6" w14:paraId="3AE5853D"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000000" w:fill="C0C0C0"/>
            <w:hideMark/>
          </w:tcPr>
          <w:p w14:paraId="3525C92D" w14:textId="77777777" w:rsidR="008236D6" w:rsidRPr="008236D6" w:rsidRDefault="008236D6" w:rsidP="008236D6">
            <w:pPr>
              <w:spacing w:after="0" w:line="240" w:lineRule="auto"/>
              <w:jc w:val="right"/>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Sous-total 1. Ressources humaines</w:t>
            </w:r>
          </w:p>
        </w:tc>
        <w:tc>
          <w:tcPr>
            <w:tcW w:w="1270" w:type="dxa"/>
            <w:tcBorders>
              <w:top w:val="nil"/>
              <w:left w:val="nil"/>
              <w:bottom w:val="single" w:sz="4" w:space="0" w:color="000000"/>
              <w:right w:val="single" w:sz="4" w:space="0" w:color="000000"/>
            </w:tcBorders>
            <w:shd w:val="clear" w:color="000000" w:fill="C0C0C0"/>
            <w:vAlign w:val="bottom"/>
            <w:hideMark/>
          </w:tcPr>
          <w:p w14:paraId="05A39732"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000000" w:fill="C0C0C0"/>
            <w:vAlign w:val="bottom"/>
            <w:hideMark/>
          </w:tcPr>
          <w:p w14:paraId="6FEC1674"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000000" w:fill="C0C0C0"/>
            <w:vAlign w:val="bottom"/>
            <w:hideMark/>
          </w:tcPr>
          <w:p w14:paraId="4F26504F"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000000" w:fill="C0C0C0"/>
            <w:noWrap/>
            <w:hideMark/>
          </w:tcPr>
          <w:p w14:paraId="0BE3BD65"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xml:space="preserve">0,00 </w:t>
            </w:r>
          </w:p>
        </w:tc>
      </w:tr>
      <w:tr w:rsidR="008236D6" w:rsidRPr="008236D6" w14:paraId="2A772FF5"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000000" w:fill="FFD966"/>
            <w:hideMark/>
          </w:tcPr>
          <w:p w14:paraId="12353BD2"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2.Voyages</w:t>
            </w:r>
          </w:p>
        </w:tc>
        <w:tc>
          <w:tcPr>
            <w:tcW w:w="1270" w:type="dxa"/>
            <w:tcBorders>
              <w:top w:val="nil"/>
              <w:left w:val="nil"/>
              <w:bottom w:val="single" w:sz="4" w:space="0" w:color="000000"/>
              <w:right w:val="single" w:sz="4" w:space="0" w:color="000000"/>
            </w:tcBorders>
            <w:shd w:val="clear" w:color="000000" w:fill="FFD966"/>
            <w:vAlign w:val="bottom"/>
            <w:hideMark/>
          </w:tcPr>
          <w:p w14:paraId="1F44A5C8"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000000" w:fill="FFD966"/>
            <w:vAlign w:val="bottom"/>
            <w:hideMark/>
          </w:tcPr>
          <w:p w14:paraId="2798AFDE"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000000" w:fill="FFD966"/>
            <w:vAlign w:val="bottom"/>
            <w:hideMark/>
          </w:tcPr>
          <w:p w14:paraId="279F92B2"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000000" w:fill="FFD966"/>
            <w:vAlign w:val="bottom"/>
            <w:hideMark/>
          </w:tcPr>
          <w:p w14:paraId="2FCB6F3C"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r>
      <w:tr w:rsidR="008236D6" w:rsidRPr="008236D6" w14:paraId="5190ACDF"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auto" w:fill="auto"/>
            <w:hideMark/>
          </w:tcPr>
          <w:p w14:paraId="397797B5"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2.1 Trajets locaux</w:t>
            </w:r>
          </w:p>
        </w:tc>
        <w:tc>
          <w:tcPr>
            <w:tcW w:w="1270" w:type="dxa"/>
            <w:tcBorders>
              <w:top w:val="nil"/>
              <w:left w:val="nil"/>
              <w:bottom w:val="single" w:sz="4" w:space="0" w:color="000000"/>
              <w:right w:val="single" w:sz="4" w:space="0" w:color="000000"/>
            </w:tcBorders>
            <w:shd w:val="clear" w:color="auto" w:fill="auto"/>
            <w:hideMark/>
          </w:tcPr>
          <w:p w14:paraId="3C03BC18" w14:textId="77777777" w:rsidR="008236D6" w:rsidRPr="008236D6" w:rsidRDefault="008236D6" w:rsidP="008236D6">
            <w:pPr>
              <w:spacing w:after="0" w:line="240" w:lineRule="auto"/>
              <w:jc w:val="center"/>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Litres</w:t>
            </w:r>
          </w:p>
        </w:tc>
        <w:tc>
          <w:tcPr>
            <w:tcW w:w="1123" w:type="dxa"/>
            <w:tcBorders>
              <w:top w:val="nil"/>
              <w:left w:val="nil"/>
              <w:bottom w:val="single" w:sz="4" w:space="0" w:color="000000"/>
              <w:right w:val="single" w:sz="4" w:space="0" w:color="000000"/>
            </w:tcBorders>
            <w:shd w:val="clear" w:color="auto" w:fill="auto"/>
            <w:noWrap/>
            <w:hideMark/>
          </w:tcPr>
          <w:p w14:paraId="7653A72D" w14:textId="77777777" w:rsidR="008236D6" w:rsidRPr="008236D6" w:rsidRDefault="008236D6" w:rsidP="008236D6">
            <w:pPr>
              <w:spacing w:after="0" w:line="240" w:lineRule="auto"/>
              <w:jc w:val="right"/>
              <w:rPr>
                <w:rFonts w:ascii="Calibri" w:eastAsia="Times New Roman" w:hAnsi="Calibri" w:cs="Calibri"/>
                <w:color w:val="000000"/>
                <w:sz w:val="20"/>
                <w:szCs w:val="20"/>
                <w:lang w:eastAsia="fr-FR"/>
              </w:rPr>
            </w:pPr>
            <w:r w:rsidRPr="008236D6">
              <w:rPr>
                <w:rFonts w:ascii="Calibri" w:eastAsia="Times New Roman" w:hAnsi="Calibri" w:cs="Calibri"/>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noWrap/>
            <w:hideMark/>
          </w:tcPr>
          <w:p w14:paraId="02416DFA" w14:textId="77777777" w:rsidR="008236D6" w:rsidRPr="008236D6" w:rsidRDefault="008236D6" w:rsidP="008236D6">
            <w:pPr>
              <w:spacing w:after="0" w:line="240" w:lineRule="auto"/>
              <w:jc w:val="right"/>
              <w:rPr>
                <w:rFonts w:ascii="Calibri" w:eastAsia="Times New Roman" w:hAnsi="Calibri" w:cs="Calibri"/>
                <w:color w:val="000000"/>
                <w:sz w:val="20"/>
                <w:szCs w:val="20"/>
                <w:lang w:eastAsia="fr-FR"/>
              </w:rPr>
            </w:pPr>
            <w:r w:rsidRPr="008236D6">
              <w:rPr>
                <w:rFonts w:ascii="Calibri" w:eastAsia="Times New Roman" w:hAnsi="Calibri" w:cs="Calibri"/>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noWrap/>
            <w:hideMark/>
          </w:tcPr>
          <w:p w14:paraId="2324B06B"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w:t>
            </w:r>
          </w:p>
        </w:tc>
      </w:tr>
      <w:tr w:rsidR="008236D6" w:rsidRPr="008236D6" w14:paraId="556CAA4B"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auto" w:fill="auto"/>
            <w:hideMark/>
          </w:tcPr>
          <w:p w14:paraId="3644DA1A"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2.3 Hébergement</w:t>
            </w:r>
          </w:p>
        </w:tc>
        <w:tc>
          <w:tcPr>
            <w:tcW w:w="1270" w:type="dxa"/>
            <w:tcBorders>
              <w:top w:val="nil"/>
              <w:left w:val="nil"/>
              <w:bottom w:val="single" w:sz="4" w:space="0" w:color="000000"/>
              <w:right w:val="single" w:sz="4" w:space="0" w:color="000000"/>
            </w:tcBorders>
            <w:shd w:val="clear" w:color="auto" w:fill="auto"/>
            <w:hideMark/>
          </w:tcPr>
          <w:p w14:paraId="0A6FF14A" w14:textId="77777777" w:rsidR="008236D6" w:rsidRPr="008236D6" w:rsidRDefault="008236D6" w:rsidP="008236D6">
            <w:pPr>
              <w:spacing w:after="0" w:line="240" w:lineRule="auto"/>
              <w:jc w:val="center"/>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Jours</w:t>
            </w:r>
          </w:p>
        </w:tc>
        <w:tc>
          <w:tcPr>
            <w:tcW w:w="1123" w:type="dxa"/>
            <w:tcBorders>
              <w:top w:val="nil"/>
              <w:left w:val="nil"/>
              <w:bottom w:val="single" w:sz="4" w:space="0" w:color="000000"/>
              <w:right w:val="single" w:sz="4" w:space="0" w:color="000000"/>
            </w:tcBorders>
            <w:shd w:val="clear" w:color="auto" w:fill="auto"/>
            <w:noWrap/>
            <w:hideMark/>
          </w:tcPr>
          <w:p w14:paraId="03884F32" w14:textId="77777777" w:rsidR="008236D6" w:rsidRPr="008236D6" w:rsidRDefault="008236D6" w:rsidP="008236D6">
            <w:pPr>
              <w:spacing w:after="0" w:line="240" w:lineRule="auto"/>
              <w:jc w:val="right"/>
              <w:rPr>
                <w:rFonts w:ascii="Calibri" w:eastAsia="Times New Roman" w:hAnsi="Calibri" w:cs="Calibri"/>
                <w:color w:val="000000"/>
                <w:sz w:val="20"/>
                <w:szCs w:val="20"/>
                <w:lang w:eastAsia="fr-FR"/>
              </w:rPr>
            </w:pPr>
            <w:r w:rsidRPr="008236D6">
              <w:rPr>
                <w:rFonts w:ascii="Calibri" w:eastAsia="Times New Roman" w:hAnsi="Calibri" w:cs="Calibri"/>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noWrap/>
            <w:hideMark/>
          </w:tcPr>
          <w:p w14:paraId="1F52E431" w14:textId="77777777" w:rsidR="008236D6" w:rsidRPr="008236D6" w:rsidRDefault="008236D6" w:rsidP="008236D6">
            <w:pPr>
              <w:spacing w:after="0" w:line="240" w:lineRule="auto"/>
              <w:jc w:val="right"/>
              <w:rPr>
                <w:rFonts w:ascii="Calibri" w:eastAsia="Times New Roman" w:hAnsi="Calibri" w:cs="Calibri"/>
                <w:color w:val="000000"/>
                <w:sz w:val="20"/>
                <w:szCs w:val="20"/>
                <w:lang w:eastAsia="fr-FR"/>
              </w:rPr>
            </w:pPr>
            <w:r w:rsidRPr="008236D6">
              <w:rPr>
                <w:rFonts w:ascii="Calibri" w:eastAsia="Times New Roman" w:hAnsi="Calibri" w:cs="Calibri"/>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noWrap/>
            <w:hideMark/>
          </w:tcPr>
          <w:p w14:paraId="4A08FA07"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w:t>
            </w:r>
          </w:p>
        </w:tc>
      </w:tr>
      <w:tr w:rsidR="008236D6" w:rsidRPr="008236D6" w14:paraId="58ED8CC7"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000000" w:fill="BEBEBE"/>
            <w:hideMark/>
          </w:tcPr>
          <w:p w14:paraId="44CDF196" w14:textId="77777777" w:rsidR="008236D6" w:rsidRPr="008236D6" w:rsidRDefault="008236D6" w:rsidP="008236D6">
            <w:pPr>
              <w:spacing w:after="0" w:line="240" w:lineRule="auto"/>
              <w:jc w:val="right"/>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Sous-total 2. Voyages</w:t>
            </w:r>
          </w:p>
        </w:tc>
        <w:tc>
          <w:tcPr>
            <w:tcW w:w="1270" w:type="dxa"/>
            <w:tcBorders>
              <w:top w:val="nil"/>
              <w:left w:val="nil"/>
              <w:bottom w:val="single" w:sz="4" w:space="0" w:color="000000"/>
              <w:right w:val="single" w:sz="4" w:space="0" w:color="000000"/>
            </w:tcBorders>
            <w:shd w:val="clear" w:color="000000" w:fill="BEBEBE"/>
            <w:vAlign w:val="bottom"/>
            <w:hideMark/>
          </w:tcPr>
          <w:p w14:paraId="2BB9E860"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000000" w:fill="BEBEBE"/>
            <w:vAlign w:val="bottom"/>
            <w:hideMark/>
          </w:tcPr>
          <w:p w14:paraId="16147F66"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000000" w:fill="BEBEBE"/>
            <w:vAlign w:val="bottom"/>
            <w:hideMark/>
          </w:tcPr>
          <w:p w14:paraId="2B681B56"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000000" w:fill="C0C0C0"/>
            <w:noWrap/>
            <w:hideMark/>
          </w:tcPr>
          <w:p w14:paraId="53ED7D52"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xml:space="preserve">0,00 </w:t>
            </w:r>
          </w:p>
        </w:tc>
      </w:tr>
      <w:tr w:rsidR="008236D6" w:rsidRPr="008236D6" w14:paraId="0BA3E810"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000000" w:fill="FFD966"/>
            <w:hideMark/>
          </w:tcPr>
          <w:p w14:paraId="2C3E8DE7"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3. Equipements et fournitures</w:t>
            </w:r>
          </w:p>
        </w:tc>
        <w:tc>
          <w:tcPr>
            <w:tcW w:w="1270" w:type="dxa"/>
            <w:tcBorders>
              <w:top w:val="nil"/>
              <w:left w:val="nil"/>
              <w:bottom w:val="single" w:sz="4" w:space="0" w:color="000000"/>
              <w:right w:val="single" w:sz="4" w:space="0" w:color="000000"/>
            </w:tcBorders>
            <w:shd w:val="clear" w:color="000000" w:fill="FFD966"/>
            <w:vAlign w:val="bottom"/>
            <w:hideMark/>
          </w:tcPr>
          <w:p w14:paraId="76D6A810"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000000" w:fill="FFD966"/>
            <w:vAlign w:val="bottom"/>
            <w:hideMark/>
          </w:tcPr>
          <w:p w14:paraId="23FA6327"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000000" w:fill="FFD966"/>
            <w:vAlign w:val="bottom"/>
            <w:hideMark/>
          </w:tcPr>
          <w:p w14:paraId="57BA9407"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000000" w:fill="FFD966"/>
            <w:vAlign w:val="bottom"/>
            <w:hideMark/>
          </w:tcPr>
          <w:p w14:paraId="2BCDA79C"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r>
      <w:tr w:rsidR="008236D6" w:rsidRPr="008236D6" w14:paraId="4FAC3B12"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auto" w:fill="auto"/>
            <w:hideMark/>
          </w:tcPr>
          <w:p w14:paraId="2A0A5FDE"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3.1 Equipements</w:t>
            </w:r>
          </w:p>
        </w:tc>
        <w:tc>
          <w:tcPr>
            <w:tcW w:w="1270" w:type="dxa"/>
            <w:tcBorders>
              <w:top w:val="nil"/>
              <w:left w:val="nil"/>
              <w:bottom w:val="single" w:sz="4" w:space="0" w:color="000000"/>
              <w:right w:val="single" w:sz="4" w:space="0" w:color="000000"/>
            </w:tcBorders>
            <w:shd w:val="clear" w:color="auto" w:fill="auto"/>
            <w:hideMark/>
          </w:tcPr>
          <w:p w14:paraId="6B0C8802" w14:textId="77777777" w:rsidR="008236D6" w:rsidRPr="008236D6" w:rsidRDefault="008236D6" w:rsidP="008236D6">
            <w:pPr>
              <w:spacing w:after="0" w:line="240" w:lineRule="auto"/>
              <w:jc w:val="center"/>
              <w:rPr>
                <w:rFonts w:ascii="Calibri" w:eastAsia="Times New Roman" w:hAnsi="Calibri" w:cs="Calibri"/>
                <w:sz w:val="20"/>
                <w:szCs w:val="20"/>
                <w:lang w:eastAsia="fr-FR"/>
              </w:rPr>
            </w:pPr>
            <w:r w:rsidRPr="008236D6">
              <w:rPr>
                <w:rFonts w:ascii="Calibri" w:eastAsia="Times New Roman" w:hAnsi="Calibri" w:cs="Calibri"/>
                <w:sz w:val="20"/>
                <w:szCs w:val="20"/>
                <w:lang w:eastAsia="fr-FR"/>
              </w:rPr>
              <w:t>mois ou jours</w:t>
            </w:r>
          </w:p>
        </w:tc>
        <w:tc>
          <w:tcPr>
            <w:tcW w:w="1123" w:type="dxa"/>
            <w:tcBorders>
              <w:top w:val="nil"/>
              <w:left w:val="nil"/>
              <w:bottom w:val="single" w:sz="4" w:space="0" w:color="000000"/>
              <w:right w:val="single" w:sz="4" w:space="0" w:color="000000"/>
            </w:tcBorders>
            <w:shd w:val="clear" w:color="auto" w:fill="auto"/>
            <w:vAlign w:val="bottom"/>
            <w:hideMark/>
          </w:tcPr>
          <w:p w14:paraId="5ACAB60D"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noWrap/>
            <w:hideMark/>
          </w:tcPr>
          <w:p w14:paraId="2DB6FE58" w14:textId="77777777" w:rsidR="008236D6" w:rsidRPr="008236D6" w:rsidRDefault="008236D6" w:rsidP="008236D6">
            <w:pPr>
              <w:spacing w:after="0" w:line="240" w:lineRule="auto"/>
              <w:jc w:val="right"/>
              <w:rPr>
                <w:rFonts w:ascii="Calibri" w:eastAsia="Times New Roman" w:hAnsi="Calibri" w:cs="Calibri"/>
                <w:color w:val="000000"/>
                <w:sz w:val="20"/>
                <w:szCs w:val="20"/>
                <w:lang w:eastAsia="fr-FR"/>
              </w:rPr>
            </w:pPr>
            <w:r w:rsidRPr="008236D6">
              <w:rPr>
                <w:rFonts w:ascii="Calibri" w:eastAsia="Times New Roman" w:hAnsi="Calibri" w:cs="Calibri"/>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noWrap/>
            <w:hideMark/>
          </w:tcPr>
          <w:p w14:paraId="604845D7"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w:t>
            </w:r>
          </w:p>
        </w:tc>
      </w:tr>
      <w:tr w:rsidR="008236D6" w:rsidRPr="008236D6" w14:paraId="7C679764"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auto" w:fill="auto"/>
            <w:hideMark/>
          </w:tcPr>
          <w:p w14:paraId="1D6305F2"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3.4 Matériels visio conférence</w:t>
            </w:r>
          </w:p>
        </w:tc>
        <w:tc>
          <w:tcPr>
            <w:tcW w:w="1270" w:type="dxa"/>
            <w:tcBorders>
              <w:top w:val="nil"/>
              <w:left w:val="nil"/>
              <w:bottom w:val="single" w:sz="4" w:space="0" w:color="000000"/>
              <w:right w:val="single" w:sz="4" w:space="0" w:color="000000"/>
            </w:tcBorders>
            <w:shd w:val="clear" w:color="auto" w:fill="auto"/>
            <w:hideMark/>
          </w:tcPr>
          <w:p w14:paraId="7AE7D7AC" w14:textId="77777777" w:rsidR="008236D6" w:rsidRPr="008236D6" w:rsidRDefault="008236D6" w:rsidP="008236D6">
            <w:pPr>
              <w:spacing w:after="0" w:line="240" w:lineRule="auto"/>
              <w:jc w:val="center"/>
              <w:rPr>
                <w:rFonts w:ascii="Calibri" w:eastAsia="Times New Roman" w:hAnsi="Calibri" w:cs="Calibri"/>
                <w:sz w:val="20"/>
                <w:szCs w:val="20"/>
                <w:lang w:eastAsia="fr-FR"/>
              </w:rPr>
            </w:pPr>
            <w:r w:rsidRPr="008236D6">
              <w:rPr>
                <w:rFonts w:ascii="Calibri" w:eastAsia="Times New Roman" w:hAnsi="Calibri" w:cs="Calibri"/>
                <w:sz w:val="20"/>
                <w:szCs w:val="20"/>
                <w:lang w:eastAsia="fr-FR"/>
              </w:rPr>
              <w:t>mois ou jours</w:t>
            </w:r>
          </w:p>
        </w:tc>
        <w:tc>
          <w:tcPr>
            <w:tcW w:w="1123" w:type="dxa"/>
            <w:tcBorders>
              <w:top w:val="nil"/>
              <w:left w:val="nil"/>
              <w:bottom w:val="single" w:sz="4" w:space="0" w:color="000000"/>
              <w:right w:val="single" w:sz="4" w:space="0" w:color="000000"/>
            </w:tcBorders>
            <w:shd w:val="clear" w:color="auto" w:fill="auto"/>
            <w:noWrap/>
            <w:hideMark/>
          </w:tcPr>
          <w:p w14:paraId="2B49DB9E" w14:textId="77777777" w:rsidR="008236D6" w:rsidRPr="008236D6" w:rsidRDefault="008236D6" w:rsidP="008236D6">
            <w:pPr>
              <w:spacing w:after="0" w:line="240" w:lineRule="auto"/>
              <w:jc w:val="right"/>
              <w:rPr>
                <w:rFonts w:ascii="Calibri" w:eastAsia="Times New Roman" w:hAnsi="Calibri" w:cs="Calibri"/>
                <w:color w:val="000000"/>
                <w:sz w:val="20"/>
                <w:szCs w:val="20"/>
                <w:lang w:eastAsia="fr-FR"/>
              </w:rPr>
            </w:pPr>
            <w:r w:rsidRPr="008236D6">
              <w:rPr>
                <w:rFonts w:ascii="Calibri" w:eastAsia="Times New Roman" w:hAnsi="Calibri" w:cs="Calibri"/>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noWrap/>
            <w:hideMark/>
          </w:tcPr>
          <w:p w14:paraId="4B7B193C" w14:textId="77777777" w:rsidR="008236D6" w:rsidRPr="008236D6" w:rsidRDefault="008236D6" w:rsidP="008236D6">
            <w:pPr>
              <w:spacing w:after="0" w:line="240" w:lineRule="auto"/>
              <w:jc w:val="right"/>
              <w:rPr>
                <w:rFonts w:ascii="Calibri" w:eastAsia="Times New Roman" w:hAnsi="Calibri" w:cs="Calibri"/>
                <w:color w:val="000000"/>
                <w:sz w:val="20"/>
                <w:szCs w:val="20"/>
                <w:lang w:eastAsia="fr-FR"/>
              </w:rPr>
            </w:pPr>
            <w:r w:rsidRPr="008236D6">
              <w:rPr>
                <w:rFonts w:ascii="Calibri" w:eastAsia="Times New Roman" w:hAnsi="Calibri" w:cs="Calibri"/>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noWrap/>
            <w:hideMark/>
          </w:tcPr>
          <w:p w14:paraId="4C83EEA9"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w:t>
            </w:r>
          </w:p>
        </w:tc>
      </w:tr>
      <w:tr w:rsidR="008236D6" w:rsidRPr="008236D6" w14:paraId="0A7CF4A3"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000000" w:fill="BEBEBE"/>
            <w:hideMark/>
          </w:tcPr>
          <w:p w14:paraId="2D27DAE7" w14:textId="77777777" w:rsidR="008236D6" w:rsidRPr="008236D6" w:rsidRDefault="008236D6" w:rsidP="008236D6">
            <w:pPr>
              <w:spacing w:after="0" w:line="240" w:lineRule="auto"/>
              <w:jc w:val="right"/>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Sous-total 3. Equipements et fournitures</w:t>
            </w:r>
          </w:p>
        </w:tc>
        <w:tc>
          <w:tcPr>
            <w:tcW w:w="1270" w:type="dxa"/>
            <w:tcBorders>
              <w:top w:val="nil"/>
              <w:left w:val="nil"/>
              <w:bottom w:val="single" w:sz="4" w:space="0" w:color="000000"/>
              <w:right w:val="single" w:sz="4" w:space="0" w:color="000000"/>
            </w:tcBorders>
            <w:shd w:val="clear" w:color="000000" w:fill="BEBEBE"/>
            <w:vAlign w:val="bottom"/>
            <w:hideMark/>
          </w:tcPr>
          <w:p w14:paraId="6D05A842"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000000" w:fill="BEBEBE"/>
            <w:vAlign w:val="bottom"/>
            <w:hideMark/>
          </w:tcPr>
          <w:p w14:paraId="0D14CBBD"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000000" w:fill="BEBEBE"/>
            <w:vAlign w:val="bottom"/>
            <w:hideMark/>
          </w:tcPr>
          <w:p w14:paraId="71D8CA87"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000000" w:fill="C0C0C0"/>
            <w:noWrap/>
            <w:hideMark/>
          </w:tcPr>
          <w:p w14:paraId="24DE9814"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xml:space="preserve">0,00 </w:t>
            </w:r>
          </w:p>
        </w:tc>
      </w:tr>
      <w:tr w:rsidR="008236D6" w:rsidRPr="008236D6" w14:paraId="092D859C"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000000" w:fill="FFD966"/>
            <w:hideMark/>
          </w:tcPr>
          <w:p w14:paraId="76C1BB9F"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4. Autres coûts et services</w:t>
            </w:r>
          </w:p>
        </w:tc>
        <w:tc>
          <w:tcPr>
            <w:tcW w:w="1270" w:type="dxa"/>
            <w:tcBorders>
              <w:top w:val="nil"/>
              <w:left w:val="nil"/>
              <w:bottom w:val="single" w:sz="4" w:space="0" w:color="000000"/>
              <w:right w:val="single" w:sz="4" w:space="0" w:color="000000"/>
            </w:tcBorders>
            <w:shd w:val="clear" w:color="000000" w:fill="FFD966"/>
            <w:vAlign w:val="bottom"/>
            <w:hideMark/>
          </w:tcPr>
          <w:p w14:paraId="0147BBA0"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000000" w:fill="FFD966"/>
            <w:vAlign w:val="bottom"/>
            <w:hideMark/>
          </w:tcPr>
          <w:p w14:paraId="37F59C27"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000000" w:fill="FFD966"/>
            <w:vAlign w:val="bottom"/>
            <w:hideMark/>
          </w:tcPr>
          <w:p w14:paraId="64745264"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000000" w:fill="FFD966"/>
            <w:vAlign w:val="bottom"/>
            <w:hideMark/>
          </w:tcPr>
          <w:p w14:paraId="5D89C3E8"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r>
      <w:tr w:rsidR="008236D6" w:rsidRPr="008236D6" w14:paraId="535CCA41"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auto" w:fill="auto"/>
            <w:hideMark/>
          </w:tcPr>
          <w:p w14:paraId="326B5B7C"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4.1 Séminaires et formations</w:t>
            </w:r>
          </w:p>
        </w:tc>
        <w:tc>
          <w:tcPr>
            <w:tcW w:w="1270" w:type="dxa"/>
            <w:tcBorders>
              <w:top w:val="nil"/>
              <w:left w:val="nil"/>
              <w:bottom w:val="single" w:sz="4" w:space="0" w:color="000000"/>
              <w:right w:val="single" w:sz="4" w:space="0" w:color="000000"/>
            </w:tcBorders>
            <w:shd w:val="clear" w:color="auto" w:fill="auto"/>
            <w:vAlign w:val="bottom"/>
            <w:hideMark/>
          </w:tcPr>
          <w:p w14:paraId="5BA16528"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auto" w:fill="auto"/>
            <w:vAlign w:val="bottom"/>
            <w:hideMark/>
          </w:tcPr>
          <w:p w14:paraId="59B2A9D0"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vAlign w:val="bottom"/>
            <w:hideMark/>
          </w:tcPr>
          <w:p w14:paraId="36297B30"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vAlign w:val="bottom"/>
            <w:hideMark/>
          </w:tcPr>
          <w:p w14:paraId="7067A61E" w14:textId="77777777" w:rsidR="008236D6" w:rsidRPr="008236D6" w:rsidRDefault="008236D6" w:rsidP="008236D6">
            <w:pPr>
              <w:spacing w:after="0" w:line="240" w:lineRule="auto"/>
              <w:rPr>
                <w:rFonts w:ascii="Times New Roman" w:eastAsia="Times New Roman" w:hAnsi="Times New Roman" w:cs="Times New Roman"/>
                <w:b/>
                <w:bCs/>
                <w:color w:val="000000"/>
                <w:sz w:val="20"/>
                <w:szCs w:val="20"/>
                <w:lang w:eastAsia="fr-FR"/>
              </w:rPr>
            </w:pPr>
            <w:r w:rsidRPr="008236D6">
              <w:rPr>
                <w:rFonts w:ascii="Times New Roman" w:eastAsia="Times New Roman" w:hAnsi="Times New Roman" w:cs="Times New Roman"/>
                <w:b/>
                <w:bCs/>
                <w:color w:val="000000"/>
                <w:sz w:val="20"/>
                <w:szCs w:val="20"/>
                <w:lang w:eastAsia="fr-FR"/>
              </w:rPr>
              <w:t> </w:t>
            </w:r>
          </w:p>
        </w:tc>
      </w:tr>
      <w:tr w:rsidR="008236D6" w:rsidRPr="008236D6" w14:paraId="6EA256B6"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auto" w:fill="auto"/>
            <w:hideMark/>
          </w:tcPr>
          <w:p w14:paraId="29C7F51C" w14:textId="77777777" w:rsidR="008236D6" w:rsidRPr="008236D6" w:rsidRDefault="008236D6" w:rsidP="008236D6">
            <w:pPr>
              <w:spacing w:after="0" w:line="240" w:lineRule="auto"/>
              <w:rPr>
                <w:rFonts w:ascii="Calibri" w:eastAsia="Times New Roman" w:hAnsi="Calibri" w:cs="Calibri"/>
                <w:sz w:val="20"/>
                <w:szCs w:val="20"/>
                <w:lang w:eastAsia="fr-FR"/>
              </w:rPr>
            </w:pPr>
            <w:r w:rsidRPr="008236D6">
              <w:rPr>
                <w:rFonts w:ascii="Calibri" w:eastAsia="Times New Roman" w:hAnsi="Calibri" w:cs="Calibri"/>
                <w:sz w:val="20"/>
                <w:szCs w:val="20"/>
                <w:lang w:eastAsia="fr-FR"/>
              </w:rPr>
              <w:t>4.1.1 Location et matériels</w:t>
            </w:r>
          </w:p>
        </w:tc>
        <w:tc>
          <w:tcPr>
            <w:tcW w:w="1270" w:type="dxa"/>
            <w:tcBorders>
              <w:top w:val="nil"/>
              <w:left w:val="nil"/>
              <w:bottom w:val="single" w:sz="4" w:space="0" w:color="000000"/>
              <w:right w:val="single" w:sz="4" w:space="0" w:color="000000"/>
            </w:tcBorders>
            <w:shd w:val="clear" w:color="auto" w:fill="auto"/>
            <w:hideMark/>
          </w:tcPr>
          <w:p w14:paraId="7712F04F" w14:textId="77777777" w:rsidR="008236D6" w:rsidRPr="008236D6" w:rsidRDefault="008236D6" w:rsidP="008236D6">
            <w:pPr>
              <w:spacing w:after="0" w:line="240" w:lineRule="auto"/>
              <w:jc w:val="center"/>
              <w:rPr>
                <w:rFonts w:ascii="Calibri" w:eastAsia="Times New Roman" w:hAnsi="Calibri" w:cs="Calibri"/>
                <w:sz w:val="20"/>
                <w:szCs w:val="20"/>
                <w:lang w:eastAsia="fr-FR"/>
              </w:rPr>
            </w:pPr>
            <w:r w:rsidRPr="008236D6">
              <w:rPr>
                <w:rFonts w:ascii="Calibri" w:eastAsia="Times New Roman" w:hAnsi="Calibri" w:cs="Calibri"/>
                <w:sz w:val="20"/>
                <w:szCs w:val="20"/>
                <w:lang w:eastAsia="fr-FR"/>
              </w:rPr>
              <w:t>mois ou jours</w:t>
            </w:r>
          </w:p>
        </w:tc>
        <w:tc>
          <w:tcPr>
            <w:tcW w:w="1123" w:type="dxa"/>
            <w:tcBorders>
              <w:top w:val="nil"/>
              <w:left w:val="nil"/>
              <w:bottom w:val="single" w:sz="4" w:space="0" w:color="000000"/>
              <w:right w:val="single" w:sz="4" w:space="0" w:color="000000"/>
            </w:tcBorders>
            <w:shd w:val="clear" w:color="auto" w:fill="auto"/>
            <w:noWrap/>
            <w:hideMark/>
          </w:tcPr>
          <w:p w14:paraId="2C9A0F4C" w14:textId="77777777" w:rsidR="008236D6" w:rsidRPr="008236D6" w:rsidRDefault="008236D6" w:rsidP="008236D6">
            <w:pPr>
              <w:spacing w:after="0" w:line="240" w:lineRule="auto"/>
              <w:jc w:val="right"/>
              <w:rPr>
                <w:rFonts w:ascii="Calibri" w:eastAsia="Times New Roman" w:hAnsi="Calibri" w:cs="Calibri"/>
                <w:color w:val="000000"/>
                <w:sz w:val="20"/>
                <w:szCs w:val="20"/>
                <w:lang w:eastAsia="fr-FR"/>
              </w:rPr>
            </w:pPr>
            <w:r w:rsidRPr="008236D6">
              <w:rPr>
                <w:rFonts w:ascii="Calibri" w:eastAsia="Times New Roman" w:hAnsi="Calibri" w:cs="Calibri"/>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noWrap/>
            <w:hideMark/>
          </w:tcPr>
          <w:p w14:paraId="2D498F2F" w14:textId="77777777" w:rsidR="008236D6" w:rsidRPr="008236D6" w:rsidRDefault="008236D6" w:rsidP="008236D6">
            <w:pPr>
              <w:spacing w:after="0" w:line="240" w:lineRule="auto"/>
              <w:jc w:val="right"/>
              <w:rPr>
                <w:rFonts w:ascii="Calibri" w:eastAsia="Times New Roman" w:hAnsi="Calibri" w:cs="Calibri"/>
                <w:color w:val="000000"/>
                <w:sz w:val="20"/>
                <w:szCs w:val="20"/>
                <w:lang w:eastAsia="fr-FR"/>
              </w:rPr>
            </w:pPr>
            <w:r w:rsidRPr="008236D6">
              <w:rPr>
                <w:rFonts w:ascii="Calibri" w:eastAsia="Times New Roman" w:hAnsi="Calibri" w:cs="Calibri"/>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noWrap/>
            <w:hideMark/>
          </w:tcPr>
          <w:p w14:paraId="7A06B6DE"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w:t>
            </w:r>
          </w:p>
        </w:tc>
      </w:tr>
      <w:tr w:rsidR="008236D6" w:rsidRPr="008236D6" w14:paraId="692750C9" w14:textId="77777777" w:rsidTr="008236D6">
        <w:trPr>
          <w:trHeight w:val="283"/>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14:paraId="64E56BE4"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0" w:type="dxa"/>
            <w:tcBorders>
              <w:top w:val="nil"/>
              <w:left w:val="nil"/>
              <w:bottom w:val="single" w:sz="4" w:space="0" w:color="000000"/>
              <w:right w:val="single" w:sz="4" w:space="0" w:color="000000"/>
            </w:tcBorders>
            <w:shd w:val="clear" w:color="auto" w:fill="auto"/>
            <w:vAlign w:val="bottom"/>
            <w:hideMark/>
          </w:tcPr>
          <w:p w14:paraId="5068F9B2"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auto" w:fill="auto"/>
            <w:vAlign w:val="bottom"/>
            <w:hideMark/>
          </w:tcPr>
          <w:p w14:paraId="664002C5"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vAlign w:val="bottom"/>
            <w:hideMark/>
          </w:tcPr>
          <w:p w14:paraId="40B728FE"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vAlign w:val="bottom"/>
            <w:hideMark/>
          </w:tcPr>
          <w:p w14:paraId="4DAC618E" w14:textId="77777777" w:rsidR="008236D6" w:rsidRPr="008236D6" w:rsidRDefault="008236D6" w:rsidP="008236D6">
            <w:pPr>
              <w:spacing w:after="0" w:line="240" w:lineRule="auto"/>
              <w:rPr>
                <w:rFonts w:ascii="Times New Roman" w:eastAsia="Times New Roman" w:hAnsi="Times New Roman" w:cs="Times New Roman"/>
                <w:b/>
                <w:bCs/>
                <w:color w:val="000000"/>
                <w:sz w:val="20"/>
                <w:szCs w:val="20"/>
                <w:lang w:eastAsia="fr-FR"/>
              </w:rPr>
            </w:pPr>
            <w:r w:rsidRPr="008236D6">
              <w:rPr>
                <w:rFonts w:ascii="Times New Roman" w:eastAsia="Times New Roman" w:hAnsi="Times New Roman" w:cs="Times New Roman"/>
                <w:b/>
                <w:bCs/>
                <w:color w:val="000000"/>
                <w:sz w:val="20"/>
                <w:szCs w:val="20"/>
                <w:lang w:eastAsia="fr-FR"/>
              </w:rPr>
              <w:t> </w:t>
            </w:r>
          </w:p>
        </w:tc>
      </w:tr>
      <w:tr w:rsidR="008236D6" w:rsidRPr="008236D6" w14:paraId="574434C7"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auto" w:fill="auto"/>
            <w:hideMark/>
          </w:tcPr>
          <w:p w14:paraId="245324CF"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4.1.2 Catering</w:t>
            </w:r>
          </w:p>
        </w:tc>
        <w:tc>
          <w:tcPr>
            <w:tcW w:w="1270" w:type="dxa"/>
            <w:tcBorders>
              <w:top w:val="nil"/>
              <w:left w:val="nil"/>
              <w:bottom w:val="single" w:sz="4" w:space="0" w:color="000000"/>
              <w:right w:val="single" w:sz="4" w:space="0" w:color="000000"/>
            </w:tcBorders>
            <w:shd w:val="clear" w:color="auto" w:fill="auto"/>
            <w:vAlign w:val="bottom"/>
            <w:hideMark/>
          </w:tcPr>
          <w:p w14:paraId="24B7E15B"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auto" w:fill="auto"/>
            <w:vAlign w:val="bottom"/>
            <w:hideMark/>
          </w:tcPr>
          <w:p w14:paraId="3D4D36D3"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vAlign w:val="bottom"/>
            <w:hideMark/>
          </w:tcPr>
          <w:p w14:paraId="563D2387"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vAlign w:val="bottom"/>
            <w:hideMark/>
          </w:tcPr>
          <w:p w14:paraId="0288DAF2" w14:textId="77777777" w:rsidR="008236D6" w:rsidRPr="008236D6" w:rsidRDefault="008236D6" w:rsidP="008236D6">
            <w:pPr>
              <w:spacing w:after="0" w:line="240" w:lineRule="auto"/>
              <w:rPr>
                <w:rFonts w:ascii="Times New Roman" w:eastAsia="Times New Roman" w:hAnsi="Times New Roman" w:cs="Times New Roman"/>
                <w:b/>
                <w:bCs/>
                <w:color w:val="000000"/>
                <w:sz w:val="20"/>
                <w:szCs w:val="20"/>
                <w:lang w:eastAsia="fr-FR"/>
              </w:rPr>
            </w:pPr>
            <w:r w:rsidRPr="008236D6">
              <w:rPr>
                <w:rFonts w:ascii="Times New Roman" w:eastAsia="Times New Roman" w:hAnsi="Times New Roman" w:cs="Times New Roman"/>
                <w:b/>
                <w:bCs/>
                <w:color w:val="000000"/>
                <w:sz w:val="20"/>
                <w:szCs w:val="20"/>
                <w:lang w:eastAsia="fr-FR"/>
              </w:rPr>
              <w:t> </w:t>
            </w:r>
          </w:p>
        </w:tc>
      </w:tr>
      <w:tr w:rsidR="008236D6" w:rsidRPr="008236D6" w14:paraId="398B1AA9"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auto" w:fill="auto"/>
            <w:hideMark/>
          </w:tcPr>
          <w:p w14:paraId="6EA99F58" w14:textId="77777777" w:rsidR="008236D6" w:rsidRPr="008236D6" w:rsidRDefault="008236D6" w:rsidP="008236D6">
            <w:pPr>
              <w:spacing w:after="0" w:line="240" w:lineRule="auto"/>
              <w:rPr>
                <w:rFonts w:ascii="Calibri" w:eastAsia="Times New Roman" w:hAnsi="Calibri" w:cs="Calibri"/>
                <w:sz w:val="20"/>
                <w:szCs w:val="20"/>
                <w:lang w:eastAsia="fr-FR"/>
              </w:rPr>
            </w:pPr>
            <w:r w:rsidRPr="008236D6">
              <w:rPr>
                <w:rFonts w:ascii="Calibri" w:eastAsia="Times New Roman" w:hAnsi="Calibri" w:cs="Calibri"/>
                <w:sz w:val="20"/>
                <w:szCs w:val="20"/>
                <w:lang w:eastAsia="fr-FR"/>
              </w:rPr>
              <w:t>4.1.2.a Pause café / session d'information /Déjeuner</w:t>
            </w:r>
          </w:p>
        </w:tc>
        <w:tc>
          <w:tcPr>
            <w:tcW w:w="1270" w:type="dxa"/>
            <w:tcBorders>
              <w:top w:val="nil"/>
              <w:left w:val="nil"/>
              <w:bottom w:val="single" w:sz="4" w:space="0" w:color="000000"/>
              <w:right w:val="single" w:sz="4" w:space="0" w:color="000000"/>
            </w:tcBorders>
            <w:shd w:val="clear" w:color="auto" w:fill="auto"/>
            <w:hideMark/>
          </w:tcPr>
          <w:p w14:paraId="7C52D6C5" w14:textId="77777777" w:rsidR="008236D6" w:rsidRPr="008236D6" w:rsidRDefault="008236D6" w:rsidP="008236D6">
            <w:pPr>
              <w:spacing w:after="0" w:line="240" w:lineRule="auto"/>
              <w:jc w:val="center"/>
              <w:rPr>
                <w:rFonts w:ascii="Calibri" w:eastAsia="Times New Roman" w:hAnsi="Calibri" w:cs="Calibri"/>
                <w:sz w:val="20"/>
                <w:szCs w:val="20"/>
                <w:lang w:eastAsia="fr-FR"/>
              </w:rPr>
            </w:pPr>
            <w:r w:rsidRPr="008236D6">
              <w:rPr>
                <w:rFonts w:ascii="Calibri" w:eastAsia="Times New Roman" w:hAnsi="Calibri" w:cs="Calibri"/>
                <w:sz w:val="20"/>
                <w:szCs w:val="20"/>
                <w:lang w:eastAsia="fr-FR"/>
              </w:rPr>
              <w:t>pers / J</w:t>
            </w:r>
          </w:p>
        </w:tc>
        <w:tc>
          <w:tcPr>
            <w:tcW w:w="1123" w:type="dxa"/>
            <w:tcBorders>
              <w:top w:val="nil"/>
              <w:left w:val="nil"/>
              <w:bottom w:val="single" w:sz="4" w:space="0" w:color="000000"/>
              <w:right w:val="single" w:sz="4" w:space="0" w:color="000000"/>
            </w:tcBorders>
            <w:shd w:val="clear" w:color="auto" w:fill="auto"/>
            <w:noWrap/>
            <w:hideMark/>
          </w:tcPr>
          <w:p w14:paraId="110641AD" w14:textId="77777777" w:rsidR="008236D6" w:rsidRPr="008236D6" w:rsidRDefault="008236D6" w:rsidP="008236D6">
            <w:pPr>
              <w:spacing w:after="0" w:line="240" w:lineRule="auto"/>
              <w:jc w:val="right"/>
              <w:rPr>
                <w:rFonts w:ascii="Calibri" w:eastAsia="Times New Roman" w:hAnsi="Calibri" w:cs="Calibri"/>
                <w:color w:val="000000"/>
                <w:sz w:val="20"/>
                <w:szCs w:val="20"/>
                <w:lang w:eastAsia="fr-FR"/>
              </w:rPr>
            </w:pPr>
            <w:r w:rsidRPr="008236D6">
              <w:rPr>
                <w:rFonts w:ascii="Calibri" w:eastAsia="Times New Roman" w:hAnsi="Calibri" w:cs="Calibri"/>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noWrap/>
            <w:hideMark/>
          </w:tcPr>
          <w:p w14:paraId="381231EF" w14:textId="77777777" w:rsidR="008236D6" w:rsidRPr="008236D6" w:rsidRDefault="008236D6" w:rsidP="008236D6">
            <w:pPr>
              <w:spacing w:after="0" w:line="240" w:lineRule="auto"/>
              <w:jc w:val="right"/>
              <w:rPr>
                <w:rFonts w:ascii="Calibri" w:eastAsia="Times New Roman" w:hAnsi="Calibri" w:cs="Calibri"/>
                <w:color w:val="000000"/>
                <w:sz w:val="20"/>
                <w:szCs w:val="20"/>
                <w:lang w:eastAsia="fr-FR"/>
              </w:rPr>
            </w:pPr>
            <w:r w:rsidRPr="008236D6">
              <w:rPr>
                <w:rFonts w:ascii="Calibri" w:eastAsia="Times New Roman" w:hAnsi="Calibri" w:cs="Calibri"/>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noWrap/>
            <w:hideMark/>
          </w:tcPr>
          <w:p w14:paraId="2D127E7C"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w:t>
            </w:r>
          </w:p>
        </w:tc>
      </w:tr>
      <w:tr w:rsidR="008236D6" w:rsidRPr="008236D6" w14:paraId="7CF6CC39" w14:textId="77777777" w:rsidTr="008236D6">
        <w:trPr>
          <w:trHeight w:val="283"/>
        </w:trPr>
        <w:tc>
          <w:tcPr>
            <w:tcW w:w="4673" w:type="dxa"/>
            <w:tcBorders>
              <w:top w:val="nil"/>
              <w:left w:val="single" w:sz="4" w:space="0" w:color="000000"/>
              <w:bottom w:val="single" w:sz="4" w:space="0" w:color="000000"/>
              <w:right w:val="single" w:sz="4" w:space="0" w:color="000000"/>
            </w:tcBorders>
            <w:shd w:val="clear" w:color="auto" w:fill="auto"/>
            <w:vAlign w:val="bottom"/>
            <w:hideMark/>
          </w:tcPr>
          <w:p w14:paraId="288AA767"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0" w:type="dxa"/>
            <w:tcBorders>
              <w:top w:val="nil"/>
              <w:left w:val="nil"/>
              <w:bottom w:val="single" w:sz="4" w:space="0" w:color="000000"/>
              <w:right w:val="single" w:sz="4" w:space="0" w:color="000000"/>
            </w:tcBorders>
            <w:shd w:val="clear" w:color="auto" w:fill="auto"/>
            <w:vAlign w:val="bottom"/>
            <w:hideMark/>
          </w:tcPr>
          <w:p w14:paraId="6A44E45F"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auto" w:fill="auto"/>
            <w:vAlign w:val="bottom"/>
            <w:hideMark/>
          </w:tcPr>
          <w:p w14:paraId="6FF9F510"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vAlign w:val="bottom"/>
            <w:hideMark/>
          </w:tcPr>
          <w:p w14:paraId="633B5DDF"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vAlign w:val="bottom"/>
            <w:hideMark/>
          </w:tcPr>
          <w:p w14:paraId="778D25F9" w14:textId="77777777" w:rsidR="008236D6" w:rsidRPr="008236D6" w:rsidRDefault="008236D6" w:rsidP="008236D6">
            <w:pPr>
              <w:spacing w:after="0" w:line="240" w:lineRule="auto"/>
              <w:rPr>
                <w:rFonts w:ascii="Times New Roman" w:eastAsia="Times New Roman" w:hAnsi="Times New Roman" w:cs="Times New Roman"/>
                <w:b/>
                <w:bCs/>
                <w:color w:val="000000"/>
                <w:sz w:val="20"/>
                <w:szCs w:val="20"/>
                <w:lang w:eastAsia="fr-FR"/>
              </w:rPr>
            </w:pPr>
            <w:r w:rsidRPr="008236D6">
              <w:rPr>
                <w:rFonts w:ascii="Times New Roman" w:eastAsia="Times New Roman" w:hAnsi="Times New Roman" w:cs="Times New Roman"/>
                <w:b/>
                <w:bCs/>
                <w:color w:val="000000"/>
                <w:sz w:val="20"/>
                <w:szCs w:val="20"/>
                <w:lang w:eastAsia="fr-FR"/>
              </w:rPr>
              <w:t> </w:t>
            </w:r>
          </w:p>
        </w:tc>
      </w:tr>
      <w:tr w:rsidR="008236D6" w:rsidRPr="008236D6" w14:paraId="7720EEE5"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auto" w:fill="auto"/>
            <w:hideMark/>
          </w:tcPr>
          <w:p w14:paraId="23058FD5"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4.2 Expertise</w:t>
            </w:r>
          </w:p>
        </w:tc>
        <w:tc>
          <w:tcPr>
            <w:tcW w:w="1270" w:type="dxa"/>
            <w:tcBorders>
              <w:top w:val="nil"/>
              <w:left w:val="nil"/>
              <w:bottom w:val="single" w:sz="4" w:space="0" w:color="000000"/>
              <w:right w:val="single" w:sz="4" w:space="0" w:color="000000"/>
            </w:tcBorders>
            <w:shd w:val="clear" w:color="auto" w:fill="auto"/>
            <w:vAlign w:val="bottom"/>
            <w:hideMark/>
          </w:tcPr>
          <w:p w14:paraId="276BB23A"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auto" w:fill="auto"/>
            <w:vAlign w:val="bottom"/>
            <w:hideMark/>
          </w:tcPr>
          <w:p w14:paraId="69A1185C"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vAlign w:val="bottom"/>
            <w:hideMark/>
          </w:tcPr>
          <w:p w14:paraId="64307196"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vAlign w:val="bottom"/>
            <w:hideMark/>
          </w:tcPr>
          <w:p w14:paraId="31828479" w14:textId="77777777" w:rsidR="008236D6" w:rsidRPr="008236D6" w:rsidRDefault="008236D6" w:rsidP="008236D6">
            <w:pPr>
              <w:spacing w:after="0" w:line="240" w:lineRule="auto"/>
              <w:rPr>
                <w:rFonts w:ascii="Times New Roman" w:eastAsia="Times New Roman" w:hAnsi="Times New Roman" w:cs="Times New Roman"/>
                <w:b/>
                <w:bCs/>
                <w:color w:val="000000"/>
                <w:sz w:val="20"/>
                <w:szCs w:val="20"/>
                <w:lang w:eastAsia="fr-FR"/>
              </w:rPr>
            </w:pPr>
            <w:r w:rsidRPr="008236D6">
              <w:rPr>
                <w:rFonts w:ascii="Times New Roman" w:eastAsia="Times New Roman" w:hAnsi="Times New Roman" w:cs="Times New Roman"/>
                <w:b/>
                <w:bCs/>
                <w:color w:val="000000"/>
                <w:sz w:val="20"/>
                <w:szCs w:val="20"/>
                <w:lang w:eastAsia="fr-FR"/>
              </w:rPr>
              <w:t> </w:t>
            </w:r>
          </w:p>
        </w:tc>
      </w:tr>
      <w:tr w:rsidR="008236D6" w:rsidRPr="008236D6" w14:paraId="7E27BFEB"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auto" w:fill="auto"/>
            <w:hideMark/>
          </w:tcPr>
          <w:p w14:paraId="4579B855" w14:textId="77777777" w:rsidR="008236D6" w:rsidRPr="008236D6" w:rsidRDefault="008236D6" w:rsidP="008236D6">
            <w:pPr>
              <w:spacing w:after="0" w:line="240" w:lineRule="auto"/>
              <w:rPr>
                <w:rFonts w:ascii="Calibri" w:eastAsia="Times New Roman" w:hAnsi="Calibri" w:cs="Calibri"/>
                <w:sz w:val="20"/>
                <w:szCs w:val="20"/>
                <w:lang w:eastAsia="fr-FR"/>
              </w:rPr>
            </w:pPr>
            <w:r w:rsidRPr="008236D6">
              <w:rPr>
                <w:rFonts w:ascii="Calibri" w:eastAsia="Times New Roman" w:hAnsi="Calibri" w:cs="Calibri"/>
                <w:sz w:val="20"/>
                <w:szCs w:val="20"/>
                <w:lang w:eastAsia="fr-FR"/>
              </w:rPr>
              <w:t>4.2.1 Expertises</w:t>
            </w:r>
          </w:p>
        </w:tc>
        <w:tc>
          <w:tcPr>
            <w:tcW w:w="1270" w:type="dxa"/>
            <w:tcBorders>
              <w:top w:val="nil"/>
              <w:left w:val="nil"/>
              <w:bottom w:val="single" w:sz="4" w:space="0" w:color="000000"/>
              <w:right w:val="single" w:sz="4" w:space="0" w:color="000000"/>
            </w:tcBorders>
            <w:shd w:val="clear" w:color="auto" w:fill="auto"/>
            <w:hideMark/>
          </w:tcPr>
          <w:p w14:paraId="69A17981" w14:textId="77777777" w:rsidR="008236D6" w:rsidRPr="008236D6" w:rsidRDefault="008236D6" w:rsidP="008236D6">
            <w:pPr>
              <w:spacing w:after="0" w:line="240" w:lineRule="auto"/>
              <w:jc w:val="center"/>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H / Jours</w:t>
            </w:r>
          </w:p>
        </w:tc>
        <w:tc>
          <w:tcPr>
            <w:tcW w:w="1123" w:type="dxa"/>
            <w:tcBorders>
              <w:top w:val="nil"/>
              <w:left w:val="nil"/>
              <w:bottom w:val="single" w:sz="4" w:space="0" w:color="000000"/>
              <w:right w:val="single" w:sz="4" w:space="0" w:color="000000"/>
            </w:tcBorders>
            <w:shd w:val="clear" w:color="auto" w:fill="auto"/>
            <w:noWrap/>
            <w:hideMark/>
          </w:tcPr>
          <w:p w14:paraId="72BF47E4" w14:textId="77777777" w:rsidR="008236D6" w:rsidRPr="008236D6" w:rsidRDefault="008236D6" w:rsidP="008236D6">
            <w:pPr>
              <w:spacing w:after="0" w:line="240" w:lineRule="auto"/>
              <w:jc w:val="right"/>
              <w:rPr>
                <w:rFonts w:ascii="Calibri" w:eastAsia="Times New Roman" w:hAnsi="Calibri" w:cs="Calibri"/>
                <w:color w:val="000000"/>
                <w:sz w:val="20"/>
                <w:szCs w:val="20"/>
                <w:lang w:eastAsia="fr-FR"/>
              </w:rPr>
            </w:pPr>
            <w:r w:rsidRPr="008236D6">
              <w:rPr>
                <w:rFonts w:ascii="Calibri" w:eastAsia="Times New Roman" w:hAnsi="Calibri" w:cs="Calibri"/>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noWrap/>
            <w:hideMark/>
          </w:tcPr>
          <w:p w14:paraId="2F35E399" w14:textId="77777777" w:rsidR="008236D6" w:rsidRPr="008236D6" w:rsidRDefault="008236D6" w:rsidP="008236D6">
            <w:pPr>
              <w:spacing w:after="0" w:line="240" w:lineRule="auto"/>
              <w:jc w:val="right"/>
              <w:rPr>
                <w:rFonts w:ascii="Calibri" w:eastAsia="Times New Roman" w:hAnsi="Calibri" w:cs="Calibri"/>
                <w:color w:val="000000"/>
                <w:sz w:val="20"/>
                <w:szCs w:val="20"/>
                <w:lang w:eastAsia="fr-FR"/>
              </w:rPr>
            </w:pPr>
            <w:r w:rsidRPr="008236D6">
              <w:rPr>
                <w:rFonts w:ascii="Calibri" w:eastAsia="Times New Roman" w:hAnsi="Calibri" w:cs="Calibri"/>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noWrap/>
            <w:hideMark/>
          </w:tcPr>
          <w:p w14:paraId="41694278"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w:t>
            </w:r>
          </w:p>
        </w:tc>
      </w:tr>
      <w:tr w:rsidR="008236D6" w:rsidRPr="008236D6" w14:paraId="0FC4F17C"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000000" w:fill="C0C0C0"/>
            <w:hideMark/>
          </w:tcPr>
          <w:p w14:paraId="55FAA1C4" w14:textId="77777777" w:rsidR="008236D6" w:rsidRPr="008236D6" w:rsidRDefault="008236D6" w:rsidP="008236D6">
            <w:pPr>
              <w:spacing w:after="0" w:line="240" w:lineRule="auto"/>
              <w:jc w:val="right"/>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Sous-total 4. Autres coûts et services</w:t>
            </w:r>
          </w:p>
        </w:tc>
        <w:tc>
          <w:tcPr>
            <w:tcW w:w="1270" w:type="dxa"/>
            <w:tcBorders>
              <w:top w:val="nil"/>
              <w:left w:val="nil"/>
              <w:bottom w:val="single" w:sz="4" w:space="0" w:color="000000"/>
              <w:right w:val="single" w:sz="4" w:space="0" w:color="000000"/>
            </w:tcBorders>
            <w:shd w:val="clear" w:color="000000" w:fill="C0C0C0"/>
            <w:vAlign w:val="bottom"/>
            <w:hideMark/>
          </w:tcPr>
          <w:p w14:paraId="0B1CBEBD"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000000" w:fill="C0C0C0"/>
            <w:vAlign w:val="bottom"/>
            <w:hideMark/>
          </w:tcPr>
          <w:p w14:paraId="68CE06AA"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000000" w:fill="C0C0C0"/>
            <w:vAlign w:val="bottom"/>
            <w:hideMark/>
          </w:tcPr>
          <w:p w14:paraId="42E295D4"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000000" w:fill="C0C0C0"/>
            <w:noWrap/>
            <w:hideMark/>
          </w:tcPr>
          <w:p w14:paraId="099AB957"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xml:space="preserve">0,00 </w:t>
            </w:r>
          </w:p>
        </w:tc>
      </w:tr>
      <w:tr w:rsidR="008236D6" w:rsidRPr="008236D6" w14:paraId="63059AEE"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000000" w:fill="FFD966"/>
            <w:hideMark/>
          </w:tcPr>
          <w:p w14:paraId="1170E257"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5. Autres</w:t>
            </w:r>
          </w:p>
        </w:tc>
        <w:tc>
          <w:tcPr>
            <w:tcW w:w="1270" w:type="dxa"/>
            <w:tcBorders>
              <w:top w:val="nil"/>
              <w:left w:val="nil"/>
              <w:bottom w:val="single" w:sz="4" w:space="0" w:color="000000"/>
              <w:right w:val="single" w:sz="4" w:space="0" w:color="000000"/>
            </w:tcBorders>
            <w:shd w:val="clear" w:color="000000" w:fill="FFD966"/>
            <w:vAlign w:val="bottom"/>
            <w:hideMark/>
          </w:tcPr>
          <w:p w14:paraId="32A7D13D"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000000" w:fill="FFD966"/>
            <w:vAlign w:val="bottom"/>
            <w:hideMark/>
          </w:tcPr>
          <w:p w14:paraId="6B12DC63"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000000" w:fill="FFD966"/>
            <w:vAlign w:val="bottom"/>
            <w:hideMark/>
          </w:tcPr>
          <w:p w14:paraId="4D9DA9E4"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000000" w:fill="FFD966"/>
            <w:vAlign w:val="bottom"/>
            <w:hideMark/>
          </w:tcPr>
          <w:p w14:paraId="348B6745"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r>
      <w:tr w:rsidR="008236D6" w:rsidRPr="008236D6" w14:paraId="73CC69C8"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auto" w:fill="auto"/>
            <w:hideMark/>
          </w:tcPr>
          <w:p w14:paraId="691586A2" w14:textId="77777777" w:rsidR="008236D6" w:rsidRPr="008236D6" w:rsidRDefault="008236D6" w:rsidP="008236D6">
            <w:pPr>
              <w:spacing w:after="0" w:line="240" w:lineRule="auto"/>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5.1 à développer</w:t>
            </w:r>
          </w:p>
        </w:tc>
        <w:tc>
          <w:tcPr>
            <w:tcW w:w="1270" w:type="dxa"/>
            <w:tcBorders>
              <w:top w:val="nil"/>
              <w:left w:val="nil"/>
              <w:bottom w:val="single" w:sz="4" w:space="0" w:color="000000"/>
              <w:right w:val="single" w:sz="4" w:space="0" w:color="000000"/>
            </w:tcBorders>
            <w:shd w:val="clear" w:color="auto" w:fill="auto"/>
            <w:vAlign w:val="bottom"/>
            <w:hideMark/>
          </w:tcPr>
          <w:p w14:paraId="79DADD73"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auto" w:fill="auto"/>
            <w:vAlign w:val="bottom"/>
            <w:hideMark/>
          </w:tcPr>
          <w:p w14:paraId="5C6E747E"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auto" w:fill="auto"/>
            <w:vAlign w:val="bottom"/>
            <w:hideMark/>
          </w:tcPr>
          <w:p w14:paraId="1477FF63"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auto" w:fill="auto"/>
            <w:vAlign w:val="bottom"/>
            <w:hideMark/>
          </w:tcPr>
          <w:p w14:paraId="5A8D24DF"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r>
      <w:tr w:rsidR="008236D6" w:rsidRPr="008236D6" w14:paraId="0C8C7872" w14:textId="77777777" w:rsidTr="008236D6">
        <w:trPr>
          <w:trHeight w:val="300"/>
        </w:trPr>
        <w:tc>
          <w:tcPr>
            <w:tcW w:w="4673" w:type="dxa"/>
            <w:tcBorders>
              <w:top w:val="nil"/>
              <w:left w:val="single" w:sz="4" w:space="0" w:color="000000"/>
              <w:bottom w:val="single" w:sz="4" w:space="0" w:color="000000"/>
              <w:right w:val="single" w:sz="4" w:space="0" w:color="000000"/>
            </w:tcBorders>
            <w:shd w:val="clear" w:color="000000" w:fill="C0C0C0"/>
            <w:hideMark/>
          </w:tcPr>
          <w:p w14:paraId="040317A5" w14:textId="77777777" w:rsidR="008236D6" w:rsidRPr="008236D6" w:rsidRDefault="008236D6" w:rsidP="008236D6">
            <w:pPr>
              <w:spacing w:after="0" w:line="240" w:lineRule="auto"/>
              <w:jc w:val="right"/>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Sous-total 5. Autres</w:t>
            </w:r>
          </w:p>
        </w:tc>
        <w:tc>
          <w:tcPr>
            <w:tcW w:w="1270" w:type="dxa"/>
            <w:tcBorders>
              <w:top w:val="nil"/>
              <w:left w:val="nil"/>
              <w:bottom w:val="single" w:sz="4" w:space="0" w:color="000000"/>
              <w:right w:val="single" w:sz="4" w:space="0" w:color="000000"/>
            </w:tcBorders>
            <w:shd w:val="clear" w:color="000000" w:fill="C0C0C0"/>
            <w:vAlign w:val="bottom"/>
            <w:hideMark/>
          </w:tcPr>
          <w:p w14:paraId="05AEBD55"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000000" w:fill="C0C0C0"/>
            <w:vAlign w:val="bottom"/>
            <w:hideMark/>
          </w:tcPr>
          <w:p w14:paraId="1BA215B0"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000000" w:fill="C0C0C0"/>
            <w:vAlign w:val="bottom"/>
            <w:hideMark/>
          </w:tcPr>
          <w:p w14:paraId="3426B012"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000000" w:fill="C0C0C0"/>
            <w:noWrap/>
            <w:hideMark/>
          </w:tcPr>
          <w:p w14:paraId="4B3D5FAE"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xml:space="preserve">0,00 </w:t>
            </w:r>
          </w:p>
        </w:tc>
      </w:tr>
      <w:tr w:rsidR="008236D6" w:rsidRPr="008236D6" w14:paraId="6C699AD0" w14:textId="77777777" w:rsidTr="008236D6">
        <w:trPr>
          <w:trHeight w:val="405"/>
        </w:trPr>
        <w:tc>
          <w:tcPr>
            <w:tcW w:w="4673" w:type="dxa"/>
            <w:tcBorders>
              <w:top w:val="nil"/>
              <w:left w:val="single" w:sz="4" w:space="0" w:color="000000"/>
              <w:bottom w:val="single" w:sz="4" w:space="0" w:color="000000"/>
              <w:right w:val="single" w:sz="4" w:space="0" w:color="000000"/>
            </w:tcBorders>
            <w:shd w:val="clear" w:color="000000" w:fill="C0C0C0"/>
            <w:hideMark/>
          </w:tcPr>
          <w:p w14:paraId="03F565EA" w14:textId="77777777" w:rsidR="008236D6" w:rsidRPr="008236D6" w:rsidRDefault="008236D6" w:rsidP="008236D6">
            <w:pPr>
              <w:spacing w:after="0" w:line="240" w:lineRule="auto"/>
              <w:jc w:val="center"/>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TOTAL DES COÛTS ĖLIGIBLES</w:t>
            </w:r>
          </w:p>
        </w:tc>
        <w:tc>
          <w:tcPr>
            <w:tcW w:w="1270" w:type="dxa"/>
            <w:tcBorders>
              <w:top w:val="nil"/>
              <w:left w:val="nil"/>
              <w:bottom w:val="single" w:sz="4" w:space="0" w:color="000000"/>
              <w:right w:val="single" w:sz="4" w:space="0" w:color="000000"/>
            </w:tcBorders>
            <w:shd w:val="clear" w:color="000000" w:fill="C0C0C0"/>
            <w:vAlign w:val="center"/>
            <w:hideMark/>
          </w:tcPr>
          <w:p w14:paraId="785373D5"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000000" w:fill="C0C0C0"/>
            <w:vAlign w:val="center"/>
            <w:hideMark/>
          </w:tcPr>
          <w:p w14:paraId="348FAA91"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000000" w:fill="C0C0C0"/>
            <w:vAlign w:val="center"/>
            <w:hideMark/>
          </w:tcPr>
          <w:p w14:paraId="068F3DA4"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000000" w:fill="C0C0C0"/>
            <w:noWrap/>
            <w:hideMark/>
          </w:tcPr>
          <w:p w14:paraId="403C8290"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xml:space="preserve">0,00 </w:t>
            </w:r>
          </w:p>
        </w:tc>
      </w:tr>
      <w:tr w:rsidR="008236D6" w:rsidRPr="008236D6" w14:paraId="7852C4AB" w14:textId="77777777" w:rsidTr="008236D6">
        <w:trPr>
          <w:trHeight w:val="260"/>
        </w:trPr>
        <w:tc>
          <w:tcPr>
            <w:tcW w:w="4673" w:type="dxa"/>
            <w:tcBorders>
              <w:top w:val="nil"/>
              <w:left w:val="single" w:sz="4" w:space="0" w:color="000000"/>
              <w:bottom w:val="single" w:sz="4" w:space="0" w:color="000000"/>
              <w:right w:val="single" w:sz="4" w:space="0" w:color="000000"/>
            </w:tcBorders>
            <w:shd w:val="clear" w:color="000000" w:fill="C0C0C0"/>
            <w:hideMark/>
          </w:tcPr>
          <w:p w14:paraId="2A6508DD" w14:textId="77777777" w:rsidR="008236D6" w:rsidRPr="008236D6" w:rsidRDefault="008236D6" w:rsidP="008236D6">
            <w:pPr>
              <w:spacing w:after="0" w:line="240" w:lineRule="auto"/>
              <w:jc w:val="center"/>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COÛTS INDIRECT (7 %)</w:t>
            </w:r>
          </w:p>
        </w:tc>
        <w:tc>
          <w:tcPr>
            <w:tcW w:w="1270" w:type="dxa"/>
            <w:tcBorders>
              <w:top w:val="nil"/>
              <w:left w:val="nil"/>
              <w:bottom w:val="single" w:sz="4" w:space="0" w:color="000000"/>
              <w:right w:val="single" w:sz="4" w:space="0" w:color="000000"/>
            </w:tcBorders>
            <w:shd w:val="clear" w:color="000000" w:fill="C0C0C0"/>
            <w:vAlign w:val="center"/>
            <w:hideMark/>
          </w:tcPr>
          <w:p w14:paraId="0111BDF6"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000000" w:fill="C0C0C0"/>
            <w:vAlign w:val="center"/>
            <w:hideMark/>
          </w:tcPr>
          <w:p w14:paraId="20B13846"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000000" w:fill="C0C0C0"/>
            <w:vAlign w:val="center"/>
            <w:hideMark/>
          </w:tcPr>
          <w:p w14:paraId="49C887DB"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000000" w:fill="C0C0C0"/>
            <w:noWrap/>
            <w:hideMark/>
          </w:tcPr>
          <w:p w14:paraId="2D10CB44"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xml:space="preserve">0,00 </w:t>
            </w:r>
          </w:p>
        </w:tc>
      </w:tr>
      <w:tr w:rsidR="008236D6" w:rsidRPr="008236D6" w14:paraId="6F3CB426" w14:textId="77777777" w:rsidTr="008236D6">
        <w:trPr>
          <w:trHeight w:val="260"/>
        </w:trPr>
        <w:tc>
          <w:tcPr>
            <w:tcW w:w="4673" w:type="dxa"/>
            <w:tcBorders>
              <w:top w:val="nil"/>
              <w:left w:val="single" w:sz="4" w:space="0" w:color="000000"/>
              <w:bottom w:val="single" w:sz="4" w:space="0" w:color="000000"/>
              <w:right w:val="single" w:sz="4" w:space="0" w:color="000000"/>
            </w:tcBorders>
            <w:shd w:val="clear" w:color="000000" w:fill="C0C0C0"/>
            <w:hideMark/>
          </w:tcPr>
          <w:p w14:paraId="1A4FD394" w14:textId="4CC057BA" w:rsidR="008236D6" w:rsidRPr="008236D6" w:rsidRDefault="008236D6" w:rsidP="008236D6">
            <w:pPr>
              <w:spacing w:after="0" w:line="240" w:lineRule="auto"/>
              <w:jc w:val="center"/>
              <w:rPr>
                <w:rFonts w:ascii="Calibri" w:eastAsia="Times New Roman" w:hAnsi="Calibri" w:cs="Calibri"/>
                <w:b/>
                <w:bCs/>
                <w:sz w:val="20"/>
                <w:szCs w:val="20"/>
                <w:lang w:eastAsia="fr-FR"/>
              </w:rPr>
            </w:pPr>
            <w:r w:rsidRPr="008236D6">
              <w:rPr>
                <w:rFonts w:ascii="Calibri" w:eastAsia="Times New Roman" w:hAnsi="Calibri" w:cs="Calibri"/>
                <w:b/>
                <w:bCs/>
                <w:sz w:val="20"/>
                <w:szCs w:val="20"/>
                <w:lang w:eastAsia="fr-FR"/>
              </w:rPr>
              <w:t xml:space="preserve">TOTAL DES </w:t>
            </w:r>
            <w:r w:rsidR="00A373EC" w:rsidRPr="008236D6">
              <w:rPr>
                <w:rFonts w:ascii="Calibri" w:eastAsia="Times New Roman" w:hAnsi="Calibri" w:cs="Calibri"/>
                <w:b/>
                <w:bCs/>
                <w:sz w:val="20"/>
                <w:szCs w:val="20"/>
                <w:lang w:eastAsia="fr-FR"/>
              </w:rPr>
              <w:t>COÛTS ĖLIGIBLES</w:t>
            </w:r>
          </w:p>
        </w:tc>
        <w:tc>
          <w:tcPr>
            <w:tcW w:w="1270" w:type="dxa"/>
            <w:tcBorders>
              <w:top w:val="nil"/>
              <w:left w:val="nil"/>
              <w:bottom w:val="single" w:sz="4" w:space="0" w:color="000000"/>
              <w:right w:val="single" w:sz="4" w:space="0" w:color="000000"/>
            </w:tcBorders>
            <w:shd w:val="clear" w:color="000000" w:fill="C0C0C0"/>
            <w:vAlign w:val="center"/>
            <w:hideMark/>
          </w:tcPr>
          <w:p w14:paraId="03748732"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123" w:type="dxa"/>
            <w:tcBorders>
              <w:top w:val="nil"/>
              <w:left w:val="nil"/>
              <w:bottom w:val="single" w:sz="4" w:space="0" w:color="000000"/>
              <w:right w:val="single" w:sz="4" w:space="0" w:color="000000"/>
            </w:tcBorders>
            <w:shd w:val="clear" w:color="000000" w:fill="C0C0C0"/>
            <w:vAlign w:val="center"/>
            <w:hideMark/>
          </w:tcPr>
          <w:p w14:paraId="28734602"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72" w:type="dxa"/>
            <w:tcBorders>
              <w:top w:val="nil"/>
              <w:left w:val="nil"/>
              <w:bottom w:val="single" w:sz="4" w:space="0" w:color="000000"/>
              <w:right w:val="single" w:sz="4" w:space="0" w:color="000000"/>
            </w:tcBorders>
            <w:shd w:val="clear" w:color="000000" w:fill="C0C0C0"/>
            <w:vAlign w:val="center"/>
            <w:hideMark/>
          </w:tcPr>
          <w:p w14:paraId="69518115" w14:textId="77777777" w:rsidR="008236D6" w:rsidRPr="008236D6" w:rsidRDefault="008236D6" w:rsidP="008236D6">
            <w:pPr>
              <w:spacing w:after="0" w:line="240" w:lineRule="auto"/>
              <w:rPr>
                <w:rFonts w:ascii="Times New Roman" w:eastAsia="Times New Roman" w:hAnsi="Times New Roman" w:cs="Times New Roman"/>
                <w:color w:val="000000"/>
                <w:sz w:val="20"/>
                <w:szCs w:val="20"/>
                <w:lang w:eastAsia="fr-FR"/>
              </w:rPr>
            </w:pPr>
            <w:r w:rsidRPr="008236D6">
              <w:rPr>
                <w:rFonts w:ascii="Times New Roman" w:eastAsia="Times New Roman" w:hAnsi="Times New Roman" w:cs="Times New Roman"/>
                <w:color w:val="000000"/>
                <w:sz w:val="20"/>
                <w:szCs w:val="20"/>
                <w:lang w:eastAsia="fr-FR"/>
              </w:rPr>
              <w:t> </w:t>
            </w:r>
          </w:p>
        </w:tc>
        <w:tc>
          <w:tcPr>
            <w:tcW w:w="1291" w:type="dxa"/>
            <w:tcBorders>
              <w:top w:val="nil"/>
              <w:left w:val="nil"/>
              <w:bottom w:val="single" w:sz="4" w:space="0" w:color="000000"/>
              <w:right w:val="single" w:sz="4" w:space="0" w:color="000000"/>
            </w:tcBorders>
            <w:shd w:val="clear" w:color="000000" w:fill="C0C0C0"/>
            <w:noWrap/>
            <w:hideMark/>
          </w:tcPr>
          <w:p w14:paraId="76D1F1F8" w14:textId="77777777" w:rsidR="008236D6" w:rsidRPr="008236D6" w:rsidRDefault="008236D6" w:rsidP="008236D6">
            <w:pPr>
              <w:spacing w:after="0" w:line="240" w:lineRule="auto"/>
              <w:jc w:val="right"/>
              <w:rPr>
                <w:rFonts w:ascii="Calibri" w:eastAsia="Times New Roman" w:hAnsi="Calibri" w:cs="Calibri"/>
                <w:b/>
                <w:bCs/>
                <w:color w:val="000000"/>
                <w:sz w:val="20"/>
                <w:szCs w:val="20"/>
                <w:lang w:eastAsia="fr-FR"/>
              </w:rPr>
            </w:pPr>
            <w:r w:rsidRPr="008236D6">
              <w:rPr>
                <w:rFonts w:ascii="Calibri" w:eastAsia="Times New Roman" w:hAnsi="Calibri" w:cs="Calibri"/>
                <w:b/>
                <w:bCs/>
                <w:color w:val="000000"/>
                <w:sz w:val="20"/>
                <w:szCs w:val="20"/>
                <w:lang w:eastAsia="fr-FR"/>
              </w:rPr>
              <w:t xml:space="preserve">0,00 </w:t>
            </w:r>
          </w:p>
        </w:tc>
      </w:tr>
    </w:tbl>
    <w:p w14:paraId="1E293917" w14:textId="77777777" w:rsidR="00E913E7" w:rsidRPr="00BB7EE6" w:rsidRDefault="00E913E7" w:rsidP="00A62D0A">
      <w:pPr>
        <w:widowControl w:val="0"/>
        <w:autoSpaceDE w:val="0"/>
        <w:autoSpaceDN w:val="0"/>
        <w:spacing w:after="120" w:line="240" w:lineRule="auto"/>
        <w:ind w:left="215"/>
        <w:jc w:val="both"/>
      </w:pPr>
    </w:p>
    <w:sectPr w:rsidR="00E913E7" w:rsidRPr="00BB7EE6" w:rsidSect="00E913E7">
      <w:footerReference w:type="default" r:id="rId21"/>
      <w:pgSz w:w="11906" w:h="16838"/>
      <w:pgMar w:top="1134" w:right="1418" w:bottom="9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B764F" w14:textId="77777777" w:rsidR="00D82F79" w:rsidRDefault="00D82F79" w:rsidP="00597B77">
      <w:pPr>
        <w:spacing w:after="0" w:line="240" w:lineRule="auto"/>
      </w:pPr>
      <w:r>
        <w:separator/>
      </w:r>
    </w:p>
  </w:endnote>
  <w:endnote w:type="continuationSeparator" w:id="0">
    <w:p w14:paraId="28695831" w14:textId="77777777" w:rsidR="00D82F79" w:rsidRDefault="00D82F79" w:rsidP="0059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Bold">
    <w:altName w:val="Arial"/>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A65B" w14:textId="5B25D174" w:rsidR="00065015" w:rsidRDefault="00065015">
    <w:pPr>
      <w:pStyle w:val="Pieddepage"/>
      <w:jc w:val="right"/>
    </w:pPr>
  </w:p>
  <w:p w14:paraId="344EDB02" w14:textId="77777777" w:rsidR="00065015" w:rsidRDefault="000650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065023"/>
      <w:docPartObj>
        <w:docPartGallery w:val="Page Numbers (Bottom of Page)"/>
        <w:docPartUnique/>
      </w:docPartObj>
    </w:sdtPr>
    <w:sdtEndPr/>
    <w:sdtContent>
      <w:p w14:paraId="5F38C130" w14:textId="77777777" w:rsidR="00AA2D89" w:rsidRDefault="00AA2D89">
        <w:pPr>
          <w:pStyle w:val="Pieddepage"/>
          <w:jc w:val="right"/>
        </w:pPr>
        <w:r>
          <w:fldChar w:fldCharType="begin"/>
        </w:r>
        <w:r>
          <w:instrText>PAGE   \* MERGEFORMAT</w:instrText>
        </w:r>
        <w:r>
          <w:fldChar w:fldCharType="separate"/>
        </w:r>
        <w:r w:rsidR="002B5E08">
          <w:rPr>
            <w:noProof/>
          </w:rPr>
          <w:t>10</w:t>
        </w:r>
        <w:r>
          <w:fldChar w:fldCharType="end"/>
        </w:r>
      </w:p>
    </w:sdtContent>
  </w:sdt>
  <w:p w14:paraId="1F582582" w14:textId="77777777" w:rsidR="00AA2D89" w:rsidRDefault="00AA2D8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23884" w14:textId="28B5224A" w:rsidR="00BB7EE6" w:rsidRDefault="00BB7EE6">
    <w:pPr>
      <w:pStyle w:val="Pieddepage"/>
      <w:jc w:val="right"/>
    </w:pPr>
  </w:p>
  <w:p w14:paraId="505EDF7E" w14:textId="77777777" w:rsidR="00BB7EE6" w:rsidRDefault="00BB7EE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6208410"/>
      <w:docPartObj>
        <w:docPartGallery w:val="Page Numbers (Bottom of Page)"/>
        <w:docPartUnique/>
      </w:docPartObj>
    </w:sdtPr>
    <w:sdtEndPr/>
    <w:sdtContent>
      <w:p w14:paraId="566CDF50" w14:textId="43F1383B" w:rsidR="00A62D0A" w:rsidRDefault="00A62D0A">
        <w:pPr>
          <w:pStyle w:val="Pieddepage"/>
          <w:jc w:val="center"/>
        </w:pPr>
        <w:r>
          <w:fldChar w:fldCharType="begin"/>
        </w:r>
        <w:r>
          <w:instrText>PAGE   \* MERGEFORMAT</w:instrText>
        </w:r>
        <w:r>
          <w:fldChar w:fldCharType="separate"/>
        </w:r>
        <w:r w:rsidR="002B5E08">
          <w:rPr>
            <w:noProof/>
          </w:rPr>
          <w:t>3</w:t>
        </w:r>
        <w:r>
          <w:fldChar w:fldCharType="end"/>
        </w:r>
      </w:p>
    </w:sdtContent>
  </w:sdt>
  <w:p w14:paraId="47AD0F81" w14:textId="77777777" w:rsidR="00BB7EE6" w:rsidRDefault="00BB7EE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B3ABB" w14:textId="77777777" w:rsidR="00E913E7" w:rsidRDefault="00E913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8BDA4" w14:textId="77777777" w:rsidR="00D82F79" w:rsidRDefault="00D82F79" w:rsidP="00597B77">
      <w:pPr>
        <w:spacing w:after="0" w:line="240" w:lineRule="auto"/>
      </w:pPr>
      <w:r>
        <w:separator/>
      </w:r>
    </w:p>
  </w:footnote>
  <w:footnote w:type="continuationSeparator" w:id="0">
    <w:p w14:paraId="0E40DAD2" w14:textId="77777777" w:rsidR="00D82F79" w:rsidRDefault="00D82F79" w:rsidP="00597B77">
      <w:pPr>
        <w:spacing w:after="0" w:line="240" w:lineRule="auto"/>
      </w:pPr>
      <w:r>
        <w:continuationSeparator/>
      </w:r>
    </w:p>
  </w:footnote>
  <w:footnote w:id="1">
    <w:p w14:paraId="7293E455" w14:textId="6AF43DF5" w:rsidR="009A404B" w:rsidRDefault="009A404B">
      <w:pPr>
        <w:pStyle w:val="Notedebasdepage"/>
      </w:pPr>
      <w:r>
        <w:rPr>
          <w:rStyle w:val="Appelnotedebasdep"/>
        </w:rPr>
        <w:footnoteRef/>
      </w:r>
      <w:r>
        <w:t xml:space="preserve"> </w:t>
      </w:r>
      <w:r w:rsidRPr="009A404B">
        <w:t>Le cadre logique servira à mettre en évidence les objectifs et les résultats attendus des activités, ainsi que les indicateurs de suivi, le modèle de ce document est en annexe 01 et sera renseigné par l'acteur local principal et ensuite validé au fur et à mesure par l'équipe 'THAMM-OFII'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B189C"/>
    <w:multiLevelType w:val="hybridMultilevel"/>
    <w:tmpl w:val="79FC3624"/>
    <w:lvl w:ilvl="0" w:tplc="F766A1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D0678"/>
    <w:multiLevelType w:val="hybridMultilevel"/>
    <w:tmpl w:val="88B61EBC"/>
    <w:lvl w:ilvl="0" w:tplc="F766A168">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19452563"/>
    <w:multiLevelType w:val="hybridMultilevel"/>
    <w:tmpl w:val="31F4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0F7783"/>
    <w:multiLevelType w:val="hybridMultilevel"/>
    <w:tmpl w:val="7B4A2A60"/>
    <w:lvl w:ilvl="0" w:tplc="F766A1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263D24"/>
    <w:multiLevelType w:val="hybridMultilevel"/>
    <w:tmpl w:val="853CD892"/>
    <w:lvl w:ilvl="0" w:tplc="612898F2">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78567D"/>
    <w:multiLevelType w:val="hybridMultilevel"/>
    <w:tmpl w:val="274034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7477DC"/>
    <w:multiLevelType w:val="hybridMultilevel"/>
    <w:tmpl w:val="F0A81E86"/>
    <w:lvl w:ilvl="0" w:tplc="040C000D">
      <w:start w:val="1"/>
      <w:numFmt w:val="bullet"/>
      <w:lvlText w:val=""/>
      <w:lvlJc w:val="left"/>
      <w:pPr>
        <w:ind w:left="51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A70A82"/>
    <w:multiLevelType w:val="hybridMultilevel"/>
    <w:tmpl w:val="61820F9A"/>
    <w:lvl w:ilvl="0" w:tplc="AD2E2BE0">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8A2029"/>
    <w:multiLevelType w:val="hybridMultilevel"/>
    <w:tmpl w:val="C8D0807A"/>
    <w:lvl w:ilvl="0" w:tplc="AD2E2BE0">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3BC5D2B"/>
    <w:multiLevelType w:val="hybridMultilevel"/>
    <w:tmpl w:val="0D2A3EE8"/>
    <w:lvl w:ilvl="0" w:tplc="F766A1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2F092D"/>
    <w:multiLevelType w:val="hybridMultilevel"/>
    <w:tmpl w:val="68783B54"/>
    <w:lvl w:ilvl="0" w:tplc="F766A1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3D6E80"/>
    <w:multiLevelType w:val="hybridMultilevel"/>
    <w:tmpl w:val="57F02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8F471A"/>
    <w:multiLevelType w:val="hybridMultilevel"/>
    <w:tmpl w:val="EFFAF41A"/>
    <w:lvl w:ilvl="0" w:tplc="AD2E2BE0">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87D1CE8"/>
    <w:multiLevelType w:val="hybridMultilevel"/>
    <w:tmpl w:val="15E8A558"/>
    <w:lvl w:ilvl="0" w:tplc="35E061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4"/>
  </w:num>
  <w:num w:numId="5">
    <w:abstractNumId w:val="8"/>
  </w:num>
  <w:num w:numId="6">
    <w:abstractNumId w:val="6"/>
  </w:num>
  <w:num w:numId="7">
    <w:abstractNumId w:val="2"/>
  </w:num>
  <w:num w:numId="8">
    <w:abstractNumId w:val="5"/>
  </w:num>
  <w:num w:numId="9">
    <w:abstractNumId w:val="9"/>
  </w:num>
  <w:num w:numId="10">
    <w:abstractNumId w:val="0"/>
  </w:num>
  <w:num w:numId="11">
    <w:abstractNumId w:val="3"/>
  </w:num>
  <w:num w:numId="12">
    <w:abstractNumId w:val="14"/>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77"/>
    <w:rsid w:val="0004057A"/>
    <w:rsid w:val="00053C8F"/>
    <w:rsid w:val="00065015"/>
    <w:rsid w:val="000710A2"/>
    <w:rsid w:val="000714C2"/>
    <w:rsid w:val="00097020"/>
    <w:rsid w:val="000B05E2"/>
    <w:rsid w:val="000E37F9"/>
    <w:rsid w:val="00163D85"/>
    <w:rsid w:val="00166889"/>
    <w:rsid w:val="001877FC"/>
    <w:rsid w:val="001C6F17"/>
    <w:rsid w:val="00215B76"/>
    <w:rsid w:val="002B5E08"/>
    <w:rsid w:val="002C6D99"/>
    <w:rsid w:val="003228BF"/>
    <w:rsid w:val="003452D7"/>
    <w:rsid w:val="003471AF"/>
    <w:rsid w:val="003B76A4"/>
    <w:rsid w:val="003C71C5"/>
    <w:rsid w:val="003D1CC2"/>
    <w:rsid w:val="00442C3A"/>
    <w:rsid w:val="0048341F"/>
    <w:rsid w:val="004E61A7"/>
    <w:rsid w:val="005025E0"/>
    <w:rsid w:val="00572382"/>
    <w:rsid w:val="00597B77"/>
    <w:rsid w:val="005E1740"/>
    <w:rsid w:val="006540CB"/>
    <w:rsid w:val="00656349"/>
    <w:rsid w:val="00656F18"/>
    <w:rsid w:val="00660E75"/>
    <w:rsid w:val="00675ACF"/>
    <w:rsid w:val="00676630"/>
    <w:rsid w:val="00677C30"/>
    <w:rsid w:val="00685819"/>
    <w:rsid w:val="00693E03"/>
    <w:rsid w:val="006B145D"/>
    <w:rsid w:val="006C3F77"/>
    <w:rsid w:val="006F1FA8"/>
    <w:rsid w:val="006F6722"/>
    <w:rsid w:val="00714D4F"/>
    <w:rsid w:val="008236D6"/>
    <w:rsid w:val="00851469"/>
    <w:rsid w:val="00862954"/>
    <w:rsid w:val="00876C33"/>
    <w:rsid w:val="008A4296"/>
    <w:rsid w:val="008F1728"/>
    <w:rsid w:val="00932DB4"/>
    <w:rsid w:val="0097123C"/>
    <w:rsid w:val="00976CAC"/>
    <w:rsid w:val="009A404B"/>
    <w:rsid w:val="00A373EC"/>
    <w:rsid w:val="00A539C4"/>
    <w:rsid w:val="00A57DB5"/>
    <w:rsid w:val="00A62D0A"/>
    <w:rsid w:val="00A80EDF"/>
    <w:rsid w:val="00AA2D89"/>
    <w:rsid w:val="00AB0CC7"/>
    <w:rsid w:val="00AB1D0A"/>
    <w:rsid w:val="00AC3474"/>
    <w:rsid w:val="00AF13DF"/>
    <w:rsid w:val="00AF1A4C"/>
    <w:rsid w:val="00B01B0A"/>
    <w:rsid w:val="00B07D87"/>
    <w:rsid w:val="00B127A5"/>
    <w:rsid w:val="00B14302"/>
    <w:rsid w:val="00B259DA"/>
    <w:rsid w:val="00B37911"/>
    <w:rsid w:val="00B47586"/>
    <w:rsid w:val="00B82037"/>
    <w:rsid w:val="00BA42CA"/>
    <w:rsid w:val="00BB7EE6"/>
    <w:rsid w:val="00C15F6C"/>
    <w:rsid w:val="00C5685C"/>
    <w:rsid w:val="00C76C16"/>
    <w:rsid w:val="00C82065"/>
    <w:rsid w:val="00C9162E"/>
    <w:rsid w:val="00C9389D"/>
    <w:rsid w:val="00D82F79"/>
    <w:rsid w:val="00D848F5"/>
    <w:rsid w:val="00D8759E"/>
    <w:rsid w:val="00DE3492"/>
    <w:rsid w:val="00E526BA"/>
    <w:rsid w:val="00E54B0B"/>
    <w:rsid w:val="00E631A5"/>
    <w:rsid w:val="00E71EF9"/>
    <w:rsid w:val="00E913E7"/>
    <w:rsid w:val="00E928DE"/>
    <w:rsid w:val="00ED4C9B"/>
    <w:rsid w:val="00EE2A59"/>
    <w:rsid w:val="00F70B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19FD"/>
  <w15:chartTrackingRefBased/>
  <w15:docId w15:val="{A91D208C-D5C6-4A32-8DDF-C67C5512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97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597B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B77"/>
  </w:style>
  <w:style w:type="table" w:customStyle="1" w:styleId="TableNormal">
    <w:name w:val="Table Normal"/>
    <w:uiPriority w:val="2"/>
    <w:semiHidden/>
    <w:unhideWhenUsed/>
    <w:qFormat/>
    <w:rsid w:val="00597B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597B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7B77"/>
    <w:rPr>
      <w:sz w:val="20"/>
      <w:szCs w:val="20"/>
    </w:rPr>
  </w:style>
  <w:style w:type="character" w:styleId="Appelnotedebasdep">
    <w:name w:val="footnote reference"/>
    <w:basedOn w:val="Policepardfaut"/>
    <w:uiPriority w:val="99"/>
    <w:semiHidden/>
    <w:unhideWhenUsed/>
    <w:rsid w:val="00597B77"/>
    <w:rPr>
      <w:vertAlign w:val="superscript"/>
    </w:rPr>
  </w:style>
  <w:style w:type="paragraph" w:styleId="En-tte">
    <w:name w:val="header"/>
    <w:basedOn w:val="Normal"/>
    <w:link w:val="En-tteCar"/>
    <w:uiPriority w:val="99"/>
    <w:unhideWhenUsed/>
    <w:rsid w:val="00BB7EE6"/>
    <w:pPr>
      <w:tabs>
        <w:tab w:val="center" w:pos="4536"/>
        <w:tab w:val="right" w:pos="9072"/>
      </w:tabs>
      <w:spacing w:after="0" w:line="240" w:lineRule="auto"/>
    </w:pPr>
  </w:style>
  <w:style w:type="character" w:customStyle="1" w:styleId="En-tteCar">
    <w:name w:val="En-tête Car"/>
    <w:basedOn w:val="Policepardfaut"/>
    <w:link w:val="En-tte"/>
    <w:uiPriority w:val="99"/>
    <w:rsid w:val="00BB7EE6"/>
  </w:style>
  <w:style w:type="paragraph" w:styleId="Textedebulles">
    <w:name w:val="Balloon Text"/>
    <w:basedOn w:val="Normal"/>
    <w:link w:val="TextedebullesCar"/>
    <w:uiPriority w:val="99"/>
    <w:semiHidden/>
    <w:unhideWhenUsed/>
    <w:rsid w:val="008629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2954"/>
    <w:rPr>
      <w:rFonts w:ascii="Segoe UI" w:hAnsi="Segoe UI" w:cs="Segoe UI"/>
      <w:sz w:val="18"/>
      <w:szCs w:val="18"/>
    </w:rPr>
  </w:style>
  <w:style w:type="paragraph" w:styleId="Paragraphedeliste">
    <w:name w:val="List Paragraph"/>
    <w:basedOn w:val="Normal"/>
    <w:uiPriority w:val="34"/>
    <w:qFormat/>
    <w:rsid w:val="00B01B0A"/>
    <w:pPr>
      <w:ind w:left="720"/>
      <w:contextualSpacing/>
    </w:pPr>
  </w:style>
  <w:style w:type="character" w:styleId="Marquedecommentaire">
    <w:name w:val="annotation reference"/>
    <w:basedOn w:val="Policepardfaut"/>
    <w:uiPriority w:val="99"/>
    <w:semiHidden/>
    <w:unhideWhenUsed/>
    <w:rsid w:val="00851469"/>
    <w:rPr>
      <w:sz w:val="16"/>
      <w:szCs w:val="16"/>
    </w:rPr>
  </w:style>
  <w:style w:type="paragraph" w:styleId="Commentaire">
    <w:name w:val="annotation text"/>
    <w:basedOn w:val="Normal"/>
    <w:link w:val="CommentaireCar"/>
    <w:uiPriority w:val="99"/>
    <w:semiHidden/>
    <w:unhideWhenUsed/>
    <w:rsid w:val="00851469"/>
    <w:pPr>
      <w:spacing w:line="240" w:lineRule="auto"/>
    </w:pPr>
    <w:rPr>
      <w:sz w:val="20"/>
      <w:szCs w:val="20"/>
    </w:rPr>
  </w:style>
  <w:style w:type="character" w:customStyle="1" w:styleId="CommentaireCar">
    <w:name w:val="Commentaire Car"/>
    <w:basedOn w:val="Policepardfaut"/>
    <w:link w:val="Commentaire"/>
    <w:uiPriority w:val="99"/>
    <w:semiHidden/>
    <w:rsid w:val="00851469"/>
    <w:rPr>
      <w:sz w:val="20"/>
      <w:szCs w:val="20"/>
    </w:rPr>
  </w:style>
  <w:style w:type="paragraph" w:styleId="Objetducommentaire">
    <w:name w:val="annotation subject"/>
    <w:basedOn w:val="Commentaire"/>
    <w:next w:val="Commentaire"/>
    <w:link w:val="ObjetducommentaireCar"/>
    <w:uiPriority w:val="99"/>
    <w:semiHidden/>
    <w:unhideWhenUsed/>
    <w:rsid w:val="00851469"/>
    <w:rPr>
      <w:b/>
      <w:bCs/>
    </w:rPr>
  </w:style>
  <w:style w:type="character" w:customStyle="1" w:styleId="ObjetducommentaireCar">
    <w:name w:val="Objet du commentaire Car"/>
    <w:basedOn w:val="CommentaireCar"/>
    <w:link w:val="Objetducommentaire"/>
    <w:uiPriority w:val="99"/>
    <w:semiHidden/>
    <w:rsid w:val="00851469"/>
    <w:rPr>
      <w:b/>
      <w:bCs/>
      <w:sz w:val="20"/>
      <w:szCs w:val="20"/>
    </w:rPr>
  </w:style>
  <w:style w:type="character" w:styleId="Lienhypertexte">
    <w:name w:val="Hyperlink"/>
    <w:basedOn w:val="Policepardfaut"/>
    <w:uiPriority w:val="99"/>
    <w:unhideWhenUsed/>
    <w:rsid w:val="00E526BA"/>
    <w:rPr>
      <w:color w:val="0563C1" w:themeColor="hyperlink"/>
      <w:u w:val="single"/>
    </w:rPr>
  </w:style>
  <w:style w:type="paragraph" w:styleId="Rvision">
    <w:name w:val="Revision"/>
    <w:hidden/>
    <w:uiPriority w:val="99"/>
    <w:semiHidden/>
    <w:rsid w:val="008A4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003651">
      <w:bodyDiv w:val="1"/>
      <w:marLeft w:val="0"/>
      <w:marRight w:val="0"/>
      <w:marTop w:val="0"/>
      <w:marBottom w:val="0"/>
      <w:divBdr>
        <w:top w:val="none" w:sz="0" w:space="0" w:color="auto"/>
        <w:left w:val="none" w:sz="0" w:space="0" w:color="auto"/>
        <w:bottom w:val="none" w:sz="0" w:space="0" w:color="auto"/>
        <w:right w:val="none" w:sz="0" w:space="0" w:color="auto"/>
      </w:divBdr>
    </w:div>
    <w:div w:id="14532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20https:/europa.eu/youreurope/business/selling-in-eu/public-contracts/public-tendering-rules/index_en.htm%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ufmsecretariat.org/wp-content/uploads/2012/09/ePrag-fr-2019.0.pdf" TargetMode="External"/><Relationship Id="rId17" Type="http://schemas.openxmlformats.org/officeDocument/2006/relationships/hyperlink" Target="https://ec.europa.eu/info/funding-tenders/managing-your-project/communicating-and-raising-eu-visibility_fr" TargetMode="External"/><Relationship Id="rId2" Type="http://schemas.openxmlformats.org/officeDocument/2006/relationships/numbering" Target="numbering.xml"/><Relationship Id="rId16" Type="http://schemas.openxmlformats.org/officeDocument/2006/relationships/hyperlink" Target="mailto:thammofii@gmail.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ber.neffati@ofii.fr"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elene.hammouda@ofii.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EEF99-A076-4600-917E-B3CA1560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4216</Words>
  <Characters>23193</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Naffati</dc:creator>
  <cp:keywords/>
  <dc:description/>
  <cp:lastModifiedBy>Saber Naffati</cp:lastModifiedBy>
  <cp:revision>12</cp:revision>
  <cp:lastPrinted>2024-09-16T09:16:00Z</cp:lastPrinted>
  <dcterms:created xsi:type="dcterms:W3CDTF">2024-09-16T09:05:00Z</dcterms:created>
  <dcterms:modified xsi:type="dcterms:W3CDTF">2024-09-16T10:51:00Z</dcterms:modified>
</cp:coreProperties>
</file>