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CDE0" w14:textId="77777777" w:rsidR="007F2F4F" w:rsidRDefault="007F2F4F"/>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8263AC" w14:paraId="54D9A182" w14:textId="77777777" w:rsidTr="005D74EB">
        <w:trPr>
          <w:trHeight w:val="1728"/>
        </w:trPr>
        <w:tc>
          <w:tcPr>
            <w:tcW w:w="1555" w:type="dxa"/>
            <w:vAlign w:val="center"/>
          </w:tcPr>
          <w:p w14:paraId="1605F7FF" w14:textId="77777777" w:rsidR="008263AC" w:rsidRDefault="008263AC" w:rsidP="005D74EB">
            <w:pPr>
              <w:pStyle w:val="En-tte"/>
              <w:spacing w:before="120" w:after="120"/>
              <w:rPr>
                <w:sz w:val="16"/>
                <w:szCs w:val="16"/>
              </w:rPr>
            </w:pPr>
            <w:r>
              <w:rPr>
                <w:noProof/>
                <w:sz w:val="16"/>
                <w:szCs w:val="16"/>
                <w:lang w:eastAsia="fr-FR"/>
              </w:rPr>
              <w:drawing>
                <wp:inline distT="0" distB="0" distL="0" distR="0" wp14:anchorId="013DD694" wp14:editId="67F47F35">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E07C195" w14:textId="77777777" w:rsidR="008263AC" w:rsidRPr="002F3FFD" w:rsidRDefault="008263AC" w:rsidP="005D74EB">
            <w:pPr>
              <w:pStyle w:val="En-tte"/>
              <w:ind w:left="-108"/>
              <w:jc w:val="center"/>
              <w:rPr>
                <w:sz w:val="16"/>
                <w:szCs w:val="16"/>
              </w:rPr>
            </w:pPr>
            <w:bookmarkStart w:id="0" w:name="_Hlk112401769"/>
            <w:r w:rsidRPr="002F3FFD">
              <w:rPr>
                <w:sz w:val="14"/>
                <w:szCs w:val="14"/>
              </w:rPr>
              <w:t>Projet financé par</w:t>
            </w:r>
            <w:r>
              <w:rPr>
                <w:sz w:val="14"/>
                <w:szCs w:val="14"/>
              </w:rPr>
              <w:t xml:space="preserve"> </w:t>
            </w:r>
            <w:r w:rsidRPr="002F3FFD">
              <w:rPr>
                <w:sz w:val="14"/>
                <w:szCs w:val="14"/>
              </w:rPr>
              <w:t>l’Union européenne</w:t>
            </w:r>
            <w:bookmarkEnd w:id="0"/>
          </w:p>
        </w:tc>
        <w:tc>
          <w:tcPr>
            <w:tcW w:w="6964" w:type="dxa"/>
            <w:vAlign w:val="center"/>
          </w:tcPr>
          <w:p w14:paraId="735050CC" w14:textId="77777777" w:rsidR="00AD5D37" w:rsidRDefault="00AD5D37" w:rsidP="00AD5D37">
            <w:pPr>
              <w:pStyle w:val="En-tte"/>
              <w:spacing w:before="120" w:after="120"/>
              <w:ind w:left="-104"/>
              <w:jc w:val="center"/>
              <w:rPr>
                <w:b/>
                <w:bCs/>
                <w:noProof/>
                <w:color w:val="61133D"/>
                <w:sz w:val="40"/>
                <w:szCs w:val="40"/>
                <w:lang w:eastAsia="fr-FR"/>
              </w:rPr>
            </w:pPr>
            <w:r w:rsidRPr="00C81E1A">
              <w:rPr>
                <w:b/>
                <w:bCs/>
                <w:noProof/>
                <w:color w:val="61133D"/>
                <w:sz w:val="40"/>
                <w:szCs w:val="40"/>
                <w:lang w:eastAsia="fr-FR"/>
              </w:rPr>
              <w:t>Projet de coopération technique sur la mobilité professionnelle circulaire</w:t>
            </w:r>
          </w:p>
          <w:p w14:paraId="60E3C83E" w14:textId="6B3884CA" w:rsidR="008263AC" w:rsidRPr="00C81E1A" w:rsidRDefault="00AD5D37" w:rsidP="00AD5D37">
            <w:pPr>
              <w:pStyle w:val="En-tte"/>
              <w:spacing w:before="120" w:after="120"/>
              <w:ind w:left="-104"/>
              <w:jc w:val="center"/>
              <w:rPr>
                <w:b/>
                <w:bCs/>
                <w:color w:val="61133D"/>
                <w:sz w:val="40"/>
                <w:szCs w:val="40"/>
              </w:rPr>
            </w:pPr>
            <w:r>
              <w:rPr>
                <w:b/>
                <w:bCs/>
                <w:noProof/>
                <w:color w:val="61133D"/>
                <w:sz w:val="40"/>
                <w:szCs w:val="40"/>
                <w:lang w:eastAsia="fr-FR"/>
              </w:rPr>
              <w:t>THAMM II</w:t>
            </w:r>
          </w:p>
        </w:tc>
        <w:tc>
          <w:tcPr>
            <w:tcW w:w="1546" w:type="dxa"/>
          </w:tcPr>
          <w:p w14:paraId="1D85E9F6" w14:textId="77777777" w:rsidR="008263AC" w:rsidRDefault="008263AC" w:rsidP="005D74EB">
            <w:pPr>
              <w:pStyle w:val="En-tte"/>
              <w:jc w:val="center"/>
              <w:rPr>
                <w:noProof/>
                <w:sz w:val="16"/>
                <w:szCs w:val="16"/>
                <w:lang w:eastAsia="fr-FR"/>
              </w:rPr>
            </w:pPr>
          </w:p>
          <w:p w14:paraId="356D4A60" w14:textId="77777777" w:rsidR="008263AC" w:rsidRDefault="008263AC" w:rsidP="005D74EB">
            <w:pPr>
              <w:pStyle w:val="En-tte"/>
              <w:spacing w:before="120" w:after="120"/>
              <w:jc w:val="center"/>
              <w:rPr>
                <w:sz w:val="16"/>
                <w:szCs w:val="16"/>
              </w:rPr>
            </w:pPr>
            <w:r>
              <w:rPr>
                <w:noProof/>
                <w:sz w:val="16"/>
                <w:szCs w:val="16"/>
                <w:lang w:eastAsia="fr-FR"/>
              </w:rPr>
              <w:drawing>
                <wp:inline distT="0" distB="0" distL="0" distR="0" wp14:anchorId="6BD3004D" wp14:editId="3243A3E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CCB0DB5" w14:textId="77777777" w:rsidR="008263AC" w:rsidRPr="002F3FFD" w:rsidRDefault="008263AC" w:rsidP="005D74EB">
            <w:pPr>
              <w:pStyle w:val="En-tte"/>
              <w:ind w:left="-108"/>
              <w:jc w:val="center"/>
              <w:rPr>
                <w:sz w:val="14"/>
                <w:szCs w:val="14"/>
              </w:rPr>
            </w:pPr>
            <w:bookmarkStart w:id="1" w:name="_Hlk112401828"/>
            <w:r>
              <w:rPr>
                <w:sz w:val="14"/>
                <w:szCs w:val="14"/>
              </w:rPr>
              <w:t xml:space="preserve">Opérateur de mise en œuvre </w:t>
            </w:r>
            <w:bookmarkEnd w:id="1"/>
          </w:p>
        </w:tc>
      </w:tr>
    </w:tbl>
    <w:p w14:paraId="3C15E061" w14:textId="77777777" w:rsidR="008263AC" w:rsidRDefault="008263AC" w:rsidP="00B41DE5">
      <w:pPr>
        <w:spacing w:after="120" w:line="240" w:lineRule="auto"/>
        <w:ind w:left="-567" w:right="-567"/>
        <w:jc w:val="center"/>
        <w:rPr>
          <w:b/>
          <w:bCs/>
          <w:color w:val="05ADA0"/>
          <w:spacing w:val="20"/>
          <w:sz w:val="28"/>
          <w:szCs w:val="28"/>
        </w:rPr>
      </w:pPr>
    </w:p>
    <w:p w14:paraId="75450A56" w14:textId="350D4A6F" w:rsidR="00BA62C7" w:rsidRPr="00BA62C7" w:rsidRDefault="00BA62C7" w:rsidP="001C7BD7">
      <w:pPr>
        <w:spacing w:after="120" w:line="240" w:lineRule="auto"/>
        <w:ind w:left="-567" w:right="-567"/>
        <w:jc w:val="center"/>
        <w:rPr>
          <w:b/>
          <w:bCs/>
          <w:color w:val="05ADA0"/>
          <w:spacing w:val="20"/>
          <w:sz w:val="28"/>
          <w:szCs w:val="28"/>
        </w:rPr>
      </w:pPr>
    </w:p>
    <w:p w14:paraId="20B0B5D2" w14:textId="30AC12B8" w:rsidR="008263AC" w:rsidRDefault="00D92BA2" w:rsidP="000763CC">
      <w:pPr>
        <w:spacing w:after="120" w:line="240" w:lineRule="auto"/>
        <w:ind w:left="-567" w:right="-567"/>
        <w:jc w:val="center"/>
        <w:rPr>
          <w:b/>
          <w:bCs/>
          <w:color w:val="05ADA0"/>
          <w:spacing w:val="20"/>
          <w:sz w:val="36"/>
          <w:szCs w:val="36"/>
        </w:rPr>
      </w:pPr>
      <w:bookmarkStart w:id="2" w:name="_Hlk149732895"/>
      <w:r>
        <w:rPr>
          <w:b/>
          <w:bCs/>
          <w:color w:val="05ADA0"/>
          <w:spacing w:val="20"/>
          <w:sz w:val="36"/>
          <w:szCs w:val="36"/>
        </w:rPr>
        <w:t xml:space="preserve">APPEL À </w:t>
      </w:r>
      <w:r w:rsidR="003D4D99">
        <w:rPr>
          <w:b/>
          <w:bCs/>
          <w:color w:val="05ADA0"/>
          <w:spacing w:val="20"/>
          <w:sz w:val="36"/>
          <w:szCs w:val="36"/>
        </w:rPr>
        <w:t xml:space="preserve">PROJET </w:t>
      </w:r>
      <w:bookmarkEnd w:id="2"/>
      <w:r w:rsidR="000763CC">
        <w:rPr>
          <w:b/>
          <w:bCs/>
          <w:color w:val="05ADA0"/>
          <w:spacing w:val="20"/>
          <w:sz w:val="36"/>
          <w:szCs w:val="36"/>
        </w:rPr>
        <w:t>DE RENFORCEMENT DE L’EMPLOYABILITÉ DES DIPLÔMÉS DU SUPÉRIEUR</w:t>
      </w:r>
    </w:p>
    <w:p w14:paraId="22B5B9F8" w14:textId="77777777" w:rsidR="000763CC" w:rsidRDefault="000763CC" w:rsidP="000763CC">
      <w:pPr>
        <w:spacing w:after="120" w:line="240" w:lineRule="auto"/>
        <w:ind w:left="-567" w:right="-567"/>
        <w:jc w:val="center"/>
        <w:rPr>
          <w:b/>
          <w:bCs/>
          <w:color w:val="05ADA0"/>
          <w:spacing w:val="20"/>
          <w:sz w:val="36"/>
          <w:szCs w:val="36"/>
        </w:rPr>
      </w:pPr>
    </w:p>
    <w:p w14:paraId="5456FC74" w14:textId="77777777" w:rsidR="000763CC" w:rsidRPr="007650CE" w:rsidRDefault="000763CC" w:rsidP="000763CC">
      <w:pPr>
        <w:spacing w:after="120" w:line="240" w:lineRule="auto"/>
        <w:ind w:left="-567" w:right="-567"/>
        <w:jc w:val="center"/>
        <w:rPr>
          <w:b/>
          <w:color w:val="1D1B11" w:themeColor="background2" w:themeShade="1A"/>
        </w:rPr>
      </w:pPr>
    </w:p>
    <w:p w14:paraId="363C032B" w14:textId="5E75A29A" w:rsidR="008263AC" w:rsidRDefault="008263AC" w:rsidP="00250502">
      <w:pPr>
        <w:spacing w:after="120" w:line="240" w:lineRule="auto"/>
        <w:rPr>
          <w:color w:val="1D1B11" w:themeColor="background2" w:themeShade="1A"/>
        </w:rPr>
      </w:pPr>
      <w:r w:rsidRPr="00AE3C26">
        <w:rPr>
          <w:b/>
          <w:bCs/>
          <w:color w:val="1D1B11" w:themeColor="background2" w:themeShade="1A"/>
        </w:rPr>
        <w:t>Cadre </w:t>
      </w:r>
      <w:r>
        <w:rPr>
          <w:color w:val="1D1B11" w:themeColor="background2" w:themeShade="1A"/>
        </w:rPr>
        <w:t xml:space="preserve">: </w:t>
      </w:r>
      <w:r w:rsidR="003C65F1">
        <w:rPr>
          <w:color w:val="1D1B11" w:themeColor="background2" w:themeShade="1A"/>
        </w:rPr>
        <w:t>C</w:t>
      </w:r>
      <w:r>
        <w:rPr>
          <w:color w:val="1D1B11" w:themeColor="background2" w:themeShade="1A"/>
        </w:rPr>
        <w:t>oopération technique entre la Tunisie et l’Union européenne</w:t>
      </w:r>
    </w:p>
    <w:p w14:paraId="37526635" w14:textId="5E1DFF7A" w:rsidR="008263AC" w:rsidRDefault="008263AC" w:rsidP="00250502">
      <w:pPr>
        <w:spacing w:after="120" w:line="240" w:lineRule="auto"/>
        <w:rPr>
          <w:color w:val="1D1B11" w:themeColor="background2" w:themeShade="1A"/>
        </w:rPr>
      </w:pPr>
      <w:r w:rsidRPr="00AE3C26">
        <w:rPr>
          <w:b/>
          <w:bCs/>
          <w:color w:val="1D1B11" w:themeColor="background2" w:themeShade="1A"/>
        </w:rPr>
        <w:t>Contractant</w:t>
      </w:r>
      <w:r>
        <w:rPr>
          <w:color w:val="1D1B11" w:themeColor="background2" w:themeShade="1A"/>
        </w:rPr>
        <w:t> : Représentation en Tunisie de l’Office français de l’immigration et de l’intégration (OFII, opérateur de mise en œuvre de THAMM OFII)</w:t>
      </w:r>
    </w:p>
    <w:p w14:paraId="6F27D412" w14:textId="1C8591A3" w:rsidR="00530308" w:rsidRDefault="008263AC" w:rsidP="00250502">
      <w:pPr>
        <w:spacing w:after="120" w:line="240" w:lineRule="auto"/>
        <w:rPr>
          <w:color w:val="1D1B11" w:themeColor="background2" w:themeShade="1A"/>
        </w:rPr>
      </w:pPr>
      <w:r w:rsidRPr="00AE3C26">
        <w:rPr>
          <w:b/>
          <w:bCs/>
          <w:color w:val="1D1B11" w:themeColor="background2" w:themeShade="1A"/>
        </w:rPr>
        <w:t>Type de contrat</w:t>
      </w:r>
      <w:r>
        <w:rPr>
          <w:color w:val="1D1B11" w:themeColor="background2" w:themeShade="1A"/>
        </w:rPr>
        <w:t xml:space="preserve"> : </w:t>
      </w:r>
      <w:r w:rsidR="00A84BFF">
        <w:rPr>
          <w:color w:val="1D1B11" w:themeColor="background2" w:themeShade="1A"/>
        </w:rPr>
        <w:t>C</w:t>
      </w:r>
      <w:r>
        <w:rPr>
          <w:color w:val="1D1B11" w:themeColor="background2" w:themeShade="1A"/>
        </w:rPr>
        <w:t xml:space="preserve">ontrat de </w:t>
      </w:r>
      <w:r w:rsidR="00D92BA2">
        <w:rPr>
          <w:color w:val="1D1B11" w:themeColor="background2" w:themeShade="1A"/>
        </w:rPr>
        <w:t>subvention</w:t>
      </w:r>
    </w:p>
    <w:p w14:paraId="65FFA80E" w14:textId="6700FFA3" w:rsidR="0086581D" w:rsidRDefault="0086581D" w:rsidP="00250502">
      <w:pPr>
        <w:spacing w:after="120" w:line="240" w:lineRule="auto"/>
        <w:rPr>
          <w:color w:val="1D1B11" w:themeColor="background2" w:themeShade="1A"/>
        </w:rPr>
      </w:pPr>
      <w:r w:rsidRPr="0086581D">
        <w:rPr>
          <w:b/>
          <w:bCs/>
          <w:color w:val="1D1B11" w:themeColor="background2" w:themeShade="1A"/>
        </w:rPr>
        <w:t>Zone géographique d’intervention</w:t>
      </w:r>
      <w:r>
        <w:rPr>
          <w:color w:val="1D1B11" w:themeColor="background2" w:themeShade="1A"/>
        </w:rPr>
        <w:t xml:space="preserve"> : Tunisie </w:t>
      </w:r>
    </w:p>
    <w:p w14:paraId="1BDF021F" w14:textId="3CBCF67C" w:rsidR="0086581D" w:rsidRDefault="1D951F08" w:rsidP="00A764FC">
      <w:pPr>
        <w:spacing w:after="120" w:line="240" w:lineRule="auto"/>
        <w:rPr>
          <w:color w:val="1D1B11" w:themeColor="background2" w:themeShade="1A"/>
        </w:rPr>
      </w:pPr>
      <w:r w:rsidRPr="1D951F08">
        <w:rPr>
          <w:b/>
          <w:bCs/>
          <w:color w:val="1D1B11" w:themeColor="background2" w:themeShade="1A"/>
        </w:rPr>
        <w:t xml:space="preserve">Date limite de </w:t>
      </w:r>
      <w:r w:rsidR="001C7A06">
        <w:rPr>
          <w:b/>
          <w:bCs/>
          <w:color w:val="1D1B11" w:themeColor="background2" w:themeShade="1A"/>
        </w:rPr>
        <w:t>réception</w:t>
      </w:r>
      <w:r w:rsidRPr="1D951F08">
        <w:rPr>
          <w:b/>
          <w:bCs/>
          <w:color w:val="1D1B11" w:themeColor="background2" w:themeShade="1A"/>
        </w:rPr>
        <w:t xml:space="preserve"> des candidatures</w:t>
      </w:r>
      <w:r w:rsidRPr="1D951F08">
        <w:rPr>
          <w:color w:val="1D1B11" w:themeColor="background2" w:themeShade="1A"/>
        </w:rPr>
        <w:t> : </w:t>
      </w:r>
      <w:r w:rsidR="00B911E9">
        <w:rPr>
          <w:color w:val="1D1B11" w:themeColor="background2" w:themeShade="1A"/>
        </w:rPr>
        <w:t>31</w:t>
      </w:r>
      <w:r w:rsidR="009F6E88">
        <w:rPr>
          <w:color w:val="1D1B11" w:themeColor="background2" w:themeShade="1A"/>
        </w:rPr>
        <w:t xml:space="preserve"> </w:t>
      </w:r>
      <w:r w:rsidR="00E16098">
        <w:rPr>
          <w:color w:val="1D1B11" w:themeColor="background2" w:themeShade="1A"/>
        </w:rPr>
        <w:t>mai</w:t>
      </w:r>
      <w:r w:rsidR="00A764FC">
        <w:rPr>
          <w:color w:val="1D1B11" w:themeColor="background2" w:themeShade="1A"/>
        </w:rPr>
        <w:t xml:space="preserve"> 202</w:t>
      </w:r>
      <w:r w:rsidR="007C7A5F">
        <w:rPr>
          <w:color w:val="1D1B11" w:themeColor="background2" w:themeShade="1A"/>
        </w:rPr>
        <w:t>4</w:t>
      </w:r>
      <w:r w:rsidR="00A07288">
        <w:rPr>
          <w:color w:val="1D1B11" w:themeColor="background2" w:themeShade="1A"/>
        </w:rPr>
        <w:t xml:space="preserve"> à minuit </w:t>
      </w:r>
    </w:p>
    <w:p w14:paraId="55611B5A" w14:textId="0032E341" w:rsidR="0086581D" w:rsidRPr="0086581D" w:rsidRDefault="0086581D" w:rsidP="00250502">
      <w:pPr>
        <w:spacing w:after="120" w:line="240" w:lineRule="auto"/>
        <w:rPr>
          <w:color w:val="1D1B11" w:themeColor="background2" w:themeShade="1A"/>
        </w:rPr>
      </w:pPr>
      <w:r>
        <w:rPr>
          <w:b/>
          <w:bCs/>
          <w:color w:val="1D1B11" w:themeColor="background2" w:themeShade="1A"/>
        </w:rPr>
        <w:t>P</w:t>
      </w:r>
      <w:r w:rsidR="001C7BD7">
        <w:rPr>
          <w:b/>
          <w:bCs/>
          <w:color w:val="1D1B11" w:themeColor="background2" w:themeShade="1A"/>
        </w:rPr>
        <w:t xml:space="preserve">ièces exigées : </w:t>
      </w:r>
      <w:r w:rsidR="008263AC" w:rsidRPr="0086581D">
        <w:rPr>
          <w:color w:val="1D1B11" w:themeColor="background2" w:themeShade="1A"/>
        </w:rPr>
        <w:t xml:space="preserve"> </w:t>
      </w:r>
      <w:r w:rsidR="00ED5A2D">
        <w:rPr>
          <w:color w:val="1D1B11" w:themeColor="background2" w:themeShade="1A"/>
        </w:rPr>
        <w:t>o</w:t>
      </w:r>
      <w:r>
        <w:rPr>
          <w:color w:val="1D1B11" w:themeColor="background2" w:themeShade="1A"/>
        </w:rPr>
        <w:t>ffre technique</w:t>
      </w:r>
      <w:r w:rsidR="003C7332">
        <w:rPr>
          <w:color w:val="1D1B11" w:themeColor="background2" w:themeShade="1A"/>
        </w:rPr>
        <w:t xml:space="preserve"> (méthodologie, approche et équipe de travail)</w:t>
      </w:r>
      <w:r>
        <w:rPr>
          <w:color w:val="1D1B11" w:themeColor="background2" w:themeShade="1A"/>
        </w:rPr>
        <w:t xml:space="preserve"> et</w:t>
      </w:r>
      <w:r w:rsidR="001C7A06">
        <w:rPr>
          <w:color w:val="1D1B11" w:themeColor="background2" w:themeShade="1A"/>
        </w:rPr>
        <w:t xml:space="preserve"> offre</w:t>
      </w:r>
      <w:r>
        <w:rPr>
          <w:color w:val="1D1B11" w:themeColor="background2" w:themeShade="1A"/>
        </w:rPr>
        <w:t xml:space="preserve"> financière</w:t>
      </w:r>
      <w:r w:rsidR="003C7332">
        <w:rPr>
          <w:color w:val="1D1B11" w:themeColor="background2" w:themeShade="1A"/>
        </w:rPr>
        <w:t xml:space="preserve"> détaillée</w:t>
      </w:r>
      <w:r w:rsidR="00D92BA2">
        <w:rPr>
          <w:color w:val="1D1B11" w:themeColor="background2" w:themeShade="1A"/>
        </w:rPr>
        <w:t xml:space="preserve">, </w:t>
      </w:r>
      <w:r w:rsidR="0037499C">
        <w:rPr>
          <w:rFonts w:ascii="Calibri" w:hAnsi="Calibri" w:cs="Arial"/>
          <w:bCs/>
          <w:color w:val="000000"/>
          <w:lang w:eastAsia="fr-FR"/>
        </w:rPr>
        <w:t>références.</w:t>
      </w:r>
    </w:p>
    <w:p w14:paraId="09633F77" w14:textId="77777777" w:rsidR="00BA62C7" w:rsidRDefault="00BA62C7" w:rsidP="00250502">
      <w:pPr>
        <w:spacing w:after="120" w:line="240" w:lineRule="auto"/>
        <w:jc w:val="both"/>
        <w:rPr>
          <w:rFonts w:ascii="HelveticaNeue-Bold" w:hAnsi="HelveticaNeue-Bold" w:cs="HelveticaNeue-Bold"/>
          <w:b/>
          <w:bCs/>
          <w:sz w:val="36"/>
          <w:szCs w:val="36"/>
        </w:rPr>
      </w:pPr>
    </w:p>
    <w:p w14:paraId="281FBF4A" w14:textId="77777777" w:rsidR="000763CC" w:rsidRDefault="000763CC" w:rsidP="00250502">
      <w:pPr>
        <w:spacing w:after="120" w:line="240" w:lineRule="auto"/>
        <w:jc w:val="both"/>
        <w:rPr>
          <w:rFonts w:ascii="HelveticaNeue-Bold" w:hAnsi="HelveticaNeue-Bold" w:cs="HelveticaNeue-Bold"/>
          <w:b/>
          <w:bCs/>
          <w:sz w:val="36"/>
          <w:szCs w:val="36"/>
        </w:rPr>
      </w:pPr>
    </w:p>
    <w:p w14:paraId="3F865DB2" w14:textId="77777777" w:rsidR="00943331" w:rsidRDefault="00943331" w:rsidP="00943331">
      <w:pPr>
        <w:spacing w:after="120" w:line="240" w:lineRule="auto"/>
        <w:jc w:val="center"/>
        <w:rPr>
          <w:rFonts w:ascii="HelveticaNeue-Bold" w:hAnsi="HelveticaNeue-Bold" w:cs="HelveticaNeue-Bold"/>
          <w:b/>
          <w:bCs/>
          <w:sz w:val="36"/>
          <w:szCs w:val="36"/>
        </w:rPr>
      </w:pPr>
      <w:r>
        <w:rPr>
          <w:noProof/>
          <w:color w:val="1D1B11" w:themeColor="background2" w:themeShade="1A"/>
          <w:lang w:eastAsia="fr-FR"/>
        </w:rPr>
        <w:drawing>
          <wp:inline distT="0" distB="0" distL="0" distR="0" wp14:anchorId="05EB6045" wp14:editId="31D8ECDE">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20C5489D" w14:textId="77777777" w:rsidR="00943331" w:rsidRDefault="00943331" w:rsidP="00AE3C26">
      <w:pPr>
        <w:spacing w:after="120" w:line="240" w:lineRule="auto"/>
        <w:jc w:val="both"/>
        <w:rPr>
          <w:rFonts w:ascii="HelveticaNeue-Bold" w:hAnsi="HelveticaNeue-Bold" w:cs="HelveticaNeue-Bold"/>
          <w:b/>
          <w:bCs/>
          <w:sz w:val="36"/>
          <w:szCs w:val="36"/>
        </w:rPr>
      </w:pPr>
    </w:p>
    <w:p w14:paraId="4B7F656F" w14:textId="77777777" w:rsidR="00943331" w:rsidRDefault="00943331" w:rsidP="00AE3C26">
      <w:pPr>
        <w:spacing w:after="120" w:line="240" w:lineRule="auto"/>
        <w:jc w:val="both"/>
        <w:rPr>
          <w:rFonts w:ascii="HelveticaNeue-Bold" w:hAnsi="HelveticaNeue-Bold" w:cs="HelveticaNeue-Bold"/>
          <w:b/>
          <w:bCs/>
          <w:sz w:val="36"/>
          <w:szCs w:val="36"/>
        </w:rPr>
      </w:pPr>
    </w:p>
    <w:p w14:paraId="71632837" w14:textId="77777777" w:rsidR="00943331" w:rsidRDefault="00943331" w:rsidP="00AE3C26">
      <w:pPr>
        <w:spacing w:after="120" w:line="240" w:lineRule="auto"/>
        <w:jc w:val="both"/>
        <w:rPr>
          <w:rFonts w:ascii="HelveticaNeue-Bold" w:hAnsi="HelveticaNeue-Bold" w:cs="HelveticaNeue-Bold"/>
          <w:b/>
          <w:bCs/>
          <w:sz w:val="36"/>
          <w:szCs w:val="36"/>
        </w:rPr>
      </w:pPr>
    </w:p>
    <w:p w14:paraId="040ABE78" w14:textId="77777777" w:rsidR="003C260F" w:rsidRDefault="003C260F" w:rsidP="00AE3C26">
      <w:pPr>
        <w:spacing w:after="120" w:line="240" w:lineRule="auto"/>
        <w:jc w:val="both"/>
        <w:rPr>
          <w:rFonts w:ascii="HelveticaNeue-Bold" w:hAnsi="HelveticaNeue-Bold" w:cs="HelveticaNeue-Bold"/>
          <w:b/>
          <w:bCs/>
          <w:sz w:val="36"/>
          <w:szCs w:val="36"/>
        </w:rPr>
      </w:pPr>
    </w:p>
    <w:p w14:paraId="08A306A3" w14:textId="77777777" w:rsidR="00957383" w:rsidRDefault="00957383" w:rsidP="00250502">
      <w:pPr>
        <w:spacing w:after="120" w:line="240" w:lineRule="auto"/>
        <w:jc w:val="center"/>
        <w:rPr>
          <w:rFonts w:ascii="Calibri" w:hAnsi="Calibri"/>
          <w:b/>
          <w:color w:val="05ADA0"/>
          <w:sz w:val="28"/>
          <w:szCs w:val="28"/>
        </w:rPr>
      </w:pPr>
    </w:p>
    <w:p w14:paraId="2B39B811" w14:textId="1CABDF52" w:rsidR="00142123" w:rsidRPr="00142123" w:rsidRDefault="00201812" w:rsidP="00250502">
      <w:pPr>
        <w:spacing w:after="120" w:line="240" w:lineRule="auto"/>
        <w:jc w:val="center"/>
        <w:rPr>
          <w:rFonts w:ascii="Calibri" w:hAnsi="Calibri"/>
          <w:b/>
          <w:color w:val="05ADA0"/>
          <w:sz w:val="28"/>
          <w:szCs w:val="28"/>
        </w:rPr>
      </w:pPr>
      <w:r>
        <w:rPr>
          <w:rFonts w:ascii="Calibri" w:hAnsi="Calibri"/>
          <w:b/>
          <w:color w:val="05ADA0"/>
          <w:sz w:val="28"/>
          <w:szCs w:val="28"/>
        </w:rPr>
        <w:t xml:space="preserve">I - </w:t>
      </w:r>
      <w:r w:rsidR="00142123" w:rsidRPr="00142123">
        <w:rPr>
          <w:rFonts w:ascii="Calibri" w:hAnsi="Calibri"/>
          <w:b/>
          <w:color w:val="05ADA0"/>
          <w:sz w:val="28"/>
          <w:szCs w:val="28"/>
        </w:rPr>
        <w:t xml:space="preserve">CONTEXTE </w:t>
      </w:r>
    </w:p>
    <w:p w14:paraId="60574009" w14:textId="77777777" w:rsidR="00142123" w:rsidRDefault="00142123" w:rsidP="00250502">
      <w:pPr>
        <w:spacing w:after="120" w:line="240" w:lineRule="auto"/>
        <w:jc w:val="both"/>
        <w:rPr>
          <w:rFonts w:ascii="Calibri" w:hAnsi="Calibri"/>
          <w:b/>
          <w:color w:val="0070C0"/>
          <w:sz w:val="24"/>
          <w:szCs w:val="24"/>
        </w:rPr>
      </w:pPr>
    </w:p>
    <w:p w14:paraId="0E408DA3" w14:textId="7785FB1F" w:rsidR="003655E1" w:rsidRPr="005D74EB" w:rsidRDefault="00A41FED" w:rsidP="00A04B06">
      <w:pPr>
        <w:pStyle w:val="Paragraphedeliste"/>
        <w:numPr>
          <w:ilvl w:val="0"/>
          <w:numId w:val="7"/>
        </w:numPr>
        <w:spacing w:after="120" w:line="240" w:lineRule="auto"/>
        <w:jc w:val="both"/>
        <w:rPr>
          <w:b/>
          <w:bCs/>
          <w:color w:val="05ADA0"/>
          <w:spacing w:val="20"/>
          <w:sz w:val="28"/>
          <w:szCs w:val="28"/>
        </w:rPr>
      </w:pPr>
      <w:r w:rsidRPr="005D74EB">
        <w:rPr>
          <w:b/>
          <w:bCs/>
          <w:color w:val="05ADA0"/>
          <w:spacing w:val="20"/>
          <w:sz w:val="28"/>
          <w:szCs w:val="28"/>
        </w:rPr>
        <w:t>Programme THAMM</w:t>
      </w:r>
    </w:p>
    <w:p w14:paraId="7440AB9B" w14:textId="77777777" w:rsidR="00A41FED" w:rsidRDefault="00A41FED" w:rsidP="00250502">
      <w:pPr>
        <w:spacing w:after="120" w:line="240" w:lineRule="auto"/>
        <w:jc w:val="both"/>
      </w:pPr>
      <w:r w:rsidRPr="008D7D89">
        <w:rPr>
          <w:lang w:val="en-US"/>
        </w:rPr>
        <w:t xml:space="preserve">THAMM </w:t>
      </w:r>
      <w:proofErr w:type="spellStart"/>
      <w:r w:rsidRPr="008D7D89">
        <w:rPr>
          <w:lang w:val="en-US"/>
        </w:rPr>
        <w:t>signifie</w:t>
      </w:r>
      <w:proofErr w:type="spellEnd"/>
      <w:r w:rsidRPr="008D7D89">
        <w:rPr>
          <w:lang w:val="en-US"/>
        </w:rPr>
        <w:t xml:space="preserve"> "</w:t>
      </w:r>
      <w:r w:rsidRPr="008D7D89">
        <w:rPr>
          <w:b/>
          <w:lang w:val="en-US"/>
        </w:rPr>
        <w:t>T</w:t>
      </w:r>
      <w:r w:rsidRPr="008D7D89">
        <w:rPr>
          <w:lang w:val="en-US"/>
        </w:rPr>
        <w:t xml:space="preserve">owards a </w:t>
      </w:r>
      <w:r w:rsidRPr="008D7D89">
        <w:rPr>
          <w:b/>
          <w:lang w:val="en-US"/>
        </w:rPr>
        <w:t>h</w:t>
      </w:r>
      <w:r w:rsidRPr="008D7D89">
        <w:rPr>
          <w:lang w:val="en-US"/>
        </w:rPr>
        <w:t xml:space="preserve">olistic </w:t>
      </w:r>
      <w:r w:rsidRPr="008D7D89">
        <w:rPr>
          <w:b/>
          <w:lang w:val="en-US"/>
        </w:rPr>
        <w:t>a</w:t>
      </w:r>
      <w:r w:rsidRPr="008D7D89">
        <w:rPr>
          <w:lang w:val="en-US"/>
        </w:rPr>
        <w:t xml:space="preserve">pproach to </w:t>
      </w:r>
      <w:proofErr w:type="spellStart"/>
      <w:r w:rsidRPr="008D7D89">
        <w:rPr>
          <w:lang w:val="en-US"/>
        </w:rPr>
        <w:t>labour</w:t>
      </w:r>
      <w:proofErr w:type="spellEnd"/>
      <w:r w:rsidRPr="008D7D89">
        <w:rPr>
          <w:lang w:val="en-US"/>
        </w:rPr>
        <w:t xml:space="preserve"> </w:t>
      </w:r>
      <w:r w:rsidRPr="008D7D89">
        <w:rPr>
          <w:b/>
          <w:lang w:val="en-US"/>
        </w:rPr>
        <w:t>m</w:t>
      </w:r>
      <w:r w:rsidRPr="008D7D89">
        <w:rPr>
          <w:lang w:val="en-US"/>
        </w:rPr>
        <w:t xml:space="preserve">igration governance and </w:t>
      </w:r>
      <w:proofErr w:type="spellStart"/>
      <w:r w:rsidRPr="008D7D89">
        <w:rPr>
          <w:lang w:val="en-US"/>
        </w:rPr>
        <w:t>labour</w:t>
      </w:r>
      <w:proofErr w:type="spellEnd"/>
      <w:r w:rsidRPr="008D7D89">
        <w:rPr>
          <w:lang w:val="en-US"/>
        </w:rPr>
        <w:t xml:space="preserve"> </w:t>
      </w:r>
      <w:r w:rsidRPr="008D7D89">
        <w:rPr>
          <w:b/>
          <w:lang w:val="en-US"/>
        </w:rPr>
        <w:t>m</w:t>
      </w:r>
      <w:r w:rsidRPr="008D7D89">
        <w:rPr>
          <w:lang w:val="en-US"/>
        </w:rPr>
        <w:t xml:space="preserve">obility in North Africa". </w:t>
      </w:r>
      <w:r>
        <w:t xml:space="preserve">Autrement dit : "Vers une approche globale de la gouvernance des migrations de travail et de la mobilité de la main-d'œuvre en Afrique du Nord". Il s’agit d’un programme régional (Tunisie, Maroc, Égypte) financé par l’Union européenne et mis en œuvre de manière conjointe par l’Organisation internationale du travail (OIT), l’Organisation internationale pour les migrations (OIM), la coopération allemande (GIZ), l’Agence belge de développement (Enabel) et l’Office français de l’immigration et de l’intégration (OFII). </w:t>
      </w:r>
    </w:p>
    <w:p w14:paraId="70044DAB" w14:textId="77777777" w:rsidR="00A41FED" w:rsidRDefault="00A41FED" w:rsidP="00250502">
      <w:pPr>
        <w:spacing w:after="120" w:line="240" w:lineRule="auto"/>
        <w:jc w:val="both"/>
      </w:pPr>
      <w:r>
        <w:t>THAMM travaille sur cinq axes :</w:t>
      </w:r>
    </w:p>
    <w:p w14:paraId="70249CC4" w14:textId="77777777" w:rsidR="00A41FED" w:rsidRDefault="00A41FED" w:rsidP="00250502">
      <w:pPr>
        <w:spacing w:after="120" w:line="240" w:lineRule="auto"/>
        <w:jc w:val="both"/>
      </w:pPr>
      <w:r>
        <w:t xml:space="preserve">- 1 : La mise en place progressive d’un cadre politique, législatif, institutionnel et réglementaire dans le domaine de la migration légale et de la mobilité. </w:t>
      </w:r>
    </w:p>
    <w:p w14:paraId="479F10F3" w14:textId="77777777" w:rsidR="00A41FED" w:rsidRDefault="00A41FED" w:rsidP="00250502">
      <w:pPr>
        <w:spacing w:after="120" w:line="240" w:lineRule="auto"/>
        <w:jc w:val="both"/>
      </w:pPr>
      <w:r>
        <w:t xml:space="preserve">- 2 : L’amélioration des mécanismes d’évaluation, de certification, de validation et de reconnaissance des qualifications et des compétences des migrants. </w:t>
      </w:r>
    </w:p>
    <w:p w14:paraId="3C5A1CF5" w14:textId="77777777" w:rsidR="00A41FED" w:rsidRDefault="00A41FED" w:rsidP="00250502">
      <w:pPr>
        <w:spacing w:after="120" w:line="240" w:lineRule="auto"/>
        <w:jc w:val="both"/>
      </w:pPr>
      <w:r>
        <w:t>- 3 : L’amélioration des connaissances et de la gestion de données dans le domaine de la migration légale et de la mobilité.</w:t>
      </w:r>
    </w:p>
    <w:p w14:paraId="6815C54F" w14:textId="77777777" w:rsidR="00A41FED" w:rsidRDefault="00A41FED" w:rsidP="00250502">
      <w:pPr>
        <w:spacing w:after="120" w:line="240" w:lineRule="auto"/>
        <w:jc w:val="both"/>
      </w:pPr>
      <w:r>
        <w:t xml:space="preserve">- 4 : L’établissement ou l’amélioration des schémas de mobilité. </w:t>
      </w:r>
    </w:p>
    <w:p w14:paraId="263F4D87" w14:textId="77777777" w:rsidR="00A41FED" w:rsidRDefault="00A41FED" w:rsidP="00250502">
      <w:pPr>
        <w:spacing w:after="120" w:line="240" w:lineRule="auto"/>
        <w:jc w:val="both"/>
      </w:pPr>
      <w:r>
        <w:t>- 5 : L’amélioration de la coopération entre les acteurs concernés dans le domaine de la migration légale et de la mobilité, en particulier concernant l’insertion professionnelle.</w:t>
      </w:r>
    </w:p>
    <w:p w14:paraId="143FF406" w14:textId="77777777" w:rsidR="005D74EB" w:rsidRDefault="005D74EB" w:rsidP="00250502">
      <w:pPr>
        <w:spacing w:after="120" w:line="240" w:lineRule="auto"/>
        <w:jc w:val="both"/>
      </w:pPr>
    </w:p>
    <w:p w14:paraId="06AD0728" w14:textId="5C6616B5" w:rsidR="003655E1" w:rsidRPr="00142123" w:rsidRDefault="00A41FED" w:rsidP="00A04B06">
      <w:pPr>
        <w:pStyle w:val="Paragraphedeliste"/>
        <w:numPr>
          <w:ilvl w:val="0"/>
          <w:numId w:val="7"/>
        </w:numPr>
        <w:spacing w:after="120" w:line="240" w:lineRule="auto"/>
        <w:jc w:val="both"/>
        <w:rPr>
          <w:b/>
          <w:bCs/>
          <w:color w:val="05ADA0"/>
          <w:spacing w:val="20"/>
          <w:sz w:val="28"/>
          <w:szCs w:val="28"/>
        </w:rPr>
      </w:pPr>
      <w:bookmarkStart w:id="3" w:name="_Toc100131514"/>
      <w:r>
        <w:rPr>
          <w:b/>
          <w:bCs/>
          <w:color w:val="05ADA0"/>
          <w:spacing w:val="20"/>
          <w:sz w:val="28"/>
          <w:szCs w:val="28"/>
        </w:rPr>
        <w:t>P</w:t>
      </w:r>
      <w:r w:rsidR="003655E1" w:rsidRPr="00142123">
        <w:rPr>
          <w:b/>
          <w:bCs/>
          <w:color w:val="05ADA0"/>
          <w:spacing w:val="20"/>
          <w:sz w:val="28"/>
          <w:szCs w:val="28"/>
        </w:rPr>
        <w:t>rojet THAMM OFII</w:t>
      </w:r>
      <w:bookmarkEnd w:id="3"/>
    </w:p>
    <w:p w14:paraId="36F842ED" w14:textId="6FCDAA7C" w:rsidR="003655E1" w:rsidRPr="003655E1" w:rsidRDefault="003655E1" w:rsidP="009F6E88">
      <w:pPr>
        <w:spacing w:after="120" w:line="240" w:lineRule="auto"/>
        <w:jc w:val="both"/>
      </w:pPr>
      <w:r w:rsidRPr="003655E1">
        <w:t xml:space="preserve">L’intervention de l’OFII se concentre sur la Tunisie. L’objectif général est d’accroitre la mobilité professionnelle circulaire entre la Tunisie et les Etats européens, la France en particulier.  Ceci relève des axes 4 et 5 du programme THAMM. Le projet s’étend sur une période de 4 ans (jusqu’au 31 décembre 2025). </w:t>
      </w:r>
    </w:p>
    <w:p w14:paraId="6D2C5D2E" w14:textId="77777777" w:rsidR="003655E1" w:rsidRPr="003655E1" w:rsidRDefault="003655E1" w:rsidP="00250502">
      <w:pPr>
        <w:spacing w:after="120" w:line="240" w:lineRule="auto"/>
        <w:jc w:val="both"/>
      </w:pPr>
      <w:r w:rsidRPr="003655E1">
        <w:t xml:space="preserve">La mobilité circulaire est entendue comme la possibilité pour une personne qui s’est engagée légalement dans un parcours migratoire d’envisager des périodes de sa vie en Europe et d’autres en Tunisie, sans caractère irréversible. </w:t>
      </w:r>
    </w:p>
    <w:p w14:paraId="59FF9ACE" w14:textId="77777777" w:rsidR="003655E1" w:rsidRPr="003655E1" w:rsidRDefault="003655E1" w:rsidP="00250502">
      <w:pPr>
        <w:spacing w:after="120" w:line="240" w:lineRule="auto"/>
        <w:jc w:val="both"/>
      </w:pPr>
      <w:r w:rsidRPr="003655E1">
        <w:t xml:space="preserve">La mobilité circulaire doit bénéficier à toutes les parties prenantes : </w:t>
      </w:r>
    </w:p>
    <w:p w14:paraId="3DE2BCA8" w14:textId="1CD77949" w:rsidR="003655E1" w:rsidRPr="003655E1" w:rsidRDefault="0043404E" w:rsidP="00A04B06">
      <w:pPr>
        <w:numPr>
          <w:ilvl w:val="0"/>
          <w:numId w:val="2"/>
        </w:numPr>
        <w:spacing w:after="120" w:line="240" w:lineRule="auto"/>
        <w:jc w:val="both"/>
      </w:pPr>
      <w:r w:rsidRPr="003655E1">
        <w:t>Aux</w:t>
      </w:r>
      <w:r w:rsidR="003655E1" w:rsidRPr="003655E1">
        <w:t> migrants : séjour légal, couverture sociale, droit à la formation, capacité d’épargne, possibilité d’une aide au retour ou à la réinstallation ;</w:t>
      </w:r>
    </w:p>
    <w:p w14:paraId="3E6C617B" w14:textId="75F13B22" w:rsidR="003655E1" w:rsidRPr="003655E1" w:rsidRDefault="0043404E" w:rsidP="00A04B06">
      <w:pPr>
        <w:numPr>
          <w:ilvl w:val="0"/>
          <w:numId w:val="2"/>
        </w:numPr>
        <w:spacing w:after="120" w:line="240" w:lineRule="auto"/>
        <w:jc w:val="both"/>
      </w:pPr>
      <w:r w:rsidRPr="003655E1">
        <w:t>Aux</w:t>
      </w:r>
      <w:r w:rsidR="003655E1" w:rsidRPr="003655E1">
        <w:t xml:space="preserve"> pays de séjour : en palliant les difficultés de recrutement des entreprises dans certains secteurs (métiers en tension, emplois non pourvus) ;</w:t>
      </w:r>
    </w:p>
    <w:p w14:paraId="5EE48D77" w14:textId="5674F8C4" w:rsidR="003655E1" w:rsidRPr="003655E1" w:rsidRDefault="0043404E" w:rsidP="00A04B06">
      <w:pPr>
        <w:numPr>
          <w:ilvl w:val="0"/>
          <w:numId w:val="2"/>
        </w:numPr>
        <w:spacing w:after="120" w:line="240" w:lineRule="auto"/>
        <w:ind w:left="714" w:hanging="357"/>
        <w:jc w:val="both"/>
      </w:pPr>
      <w:r w:rsidRPr="003655E1">
        <w:t>Aux</w:t>
      </w:r>
      <w:r w:rsidR="003655E1" w:rsidRPr="003655E1">
        <w:t xml:space="preserve"> pays d’origine : lutte contre le chômage, transferts d’argent, retour des compétences accrues par l’expérience migratoire, transfert technologique, réseau international, etc. </w:t>
      </w:r>
    </w:p>
    <w:p w14:paraId="0113E9A6" w14:textId="46D2C25D" w:rsidR="003655E1" w:rsidRPr="003655E1" w:rsidRDefault="4F050E48" w:rsidP="000E306C">
      <w:pPr>
        <w:spacing w:after="120" w:line="240" w:lineRule="auto"/>
        <w:jc w:val="both"/>
      </w:pPr>
      <w:r>
        <w:t xml:space="preserve">Le projet THAMM OFII comporte quatre objectifs spécifiques. Le </w:t>
      </w:r>
      <w:r w:rsidR="00A41FED">
        <w:t xml:space="preserve">quatrième </w:t>
      </w:r>
      <w:r>
        <w:t>concerne l</w:t>
      </w:r>
      <w:r w:rsidR="00A41FED">
        <w:t xml:space="preserve">’employabilité des </w:t>
      </w:r>
      <w:r w:rsidR="000E306C">
        <w:t>sortants de l’université</w:t>
      </w:r>
      <w:r w:rsidR="009F6E88">
        <w:t>.</w:t>
      </w:r>
      <w:r>
        <w:t xml:space="preserve"> </w:t>
      </w:r>
    </w:p>
    <w:p w14:paraId="73F7297E" w14:textId="77777777" w:rsidR="003655E1" w:rsidRPr="00D80A8F" w:rsidRDefault="003655E1" w:rsidP="000E306C">
      <w:pPr>
        <w:shd w:val="clear" w:color="auto" w:fill="FFFFFF" w:themeFill="background1"/>
        <w:autoSpaceDE w:val="0"/>
        <w:autoSpaceDN w:val="0"/>
        <w:adjustRightInd w:val="0"/>
        <w:spacing w:after="120" w:line="240" w:lineRule="auto"/>
        <w:jc w:val="both"/>
        <w:rPr>
          <w:rFonts w:cstheme="minorHAnsi"/>
        </w:rPr>
      </w:pPr>
      <w:r w:rsidRPr="00D80A8F">
        <w:rPr>
          <w:rFonts w:cstheme="minorHAnsi"/>
        </w:rPr>
        <w:t xml:space="preserve">OS1 : promouvoir des programmes de mobilité circulaire </w:t>
      </w:r>
    </w:p>
    <w:p w14:paraId="103515BD" w14:textId="77777777" w:rsidR="003655E1" w:rsidRPr="00D80A8F" w:rsidRDefault="003655E1" w:rsidP="000E306C">
      <w:pPr>
        <w:shd w:val="clear" w:color="auto" w:fill="FFFFFF" w:themeFill="background1"/>
        <w:autoSpaceDE w:val="0"/>
        <w:autoSpaceDN w:val="0"/>
        <w:adjustRightInd w:val="0"/>
        <w:spacing w:after="120" w:line="240" w:lineRule="auto"/>
        <w:jc w:val="both"/>
        <w:rPr>
          <w:rFonts w:cstheme="minorHAnsi"/>
        </w:rPr>
      </w:pPr>
      <w:r w:rsidRPr="00D80A8F">
        <w:rPr>
          <w:rFonts w:cstheme="minorHAnsi"/>
        </w:rPr>
        <w:lastRenderedPageBreak/>
        <w:t>OS 2 : l’attractivité du territoire tunisien est développée aux yeux des compétences expatriées</w:t>
      </w:r>
    </w:p>
    <w:p w14:paraId="5F8FBE5D" w14:textId="77777777" w:rsidR="003655E1" w:rsidRPr="00D80A8F" w:rsidRDefault="003655E1" w:rsidP="000E306C">
      <w:pPr>
        <w:shd w:val="clear" w:color="auto" w:fill="FFFFFF" w:themeFill="background1"/>
        <w:autoSpaceDE w:val="0"/>
        <w:autoSpaceDN w:val="0"/>
        <w:adjustRightInd w:val="0"/>
        <w:spacing w:after="120" w:line="240" w:lineRule="auto"/>
        <w:jc w:val="both"/>
        <w:rPr>
          <w:rFonts w:cstheme="minorHAnsi"/>
        </w:rPr>
      </w:pPr>
      <w:r w:rsidRPr="00D80A8F">
        <w:rPr>
          <w:rFonts w:cstheme="minorHAnsi"/>
        </w:rPr>
        <w:t xml:space="preserve">OS 3 : la coopération entre les administrations tunisiennes et françaises/européennes, autour des métiers en tension est renforcée </w:t>
      </w:r>
    </w:p>
    <w:p w14:paraId="342BF95E" w14:textId="325E194C" w:rsidR="007C4469" w:rsidRPr="00D80A8F" w:rsidRDefault="003655E1" w:rsidP="000E306C">
      <w:pPr>
        <w:shd w:val="clear" w:color="auto" w:fill="95B3D7" w:themeFill="accent1" w:themeFillTint="99"/>
        <w:autoSpaceDE w:val="0"/>
        <w:autoSpaceDN w:val="0"/>
        <w:adjustRightInd w:val="0"/>
        <w:spacing w:after="120" w:line="240" w:lineRule="auto"/>
        <w:jc w:val="both"/>
        <w:rPr>
          <w:rFonts w:cstheme="minorHAnsi"/>
        </w:rPr>
      </w:pPr>
      <w:r w:rsidRPr="00D80A8F">
        <w:rPr>
          <w:rFonts w:cstheme="minorHAnsi"/>
        </w:rPr>
        <w:t xml:space="preserve">OS 4 : l’employabilité en Tunisie et à l’étranger (France) des </w:t>
      </w:r>
      <w:r w:rsidR="000E306C">
        <w:rPr>
          <w:rFonts w:cstheme="minorHAnsi"/>
        </w:rPr>
        <w:t xml:space="preserve">sortants de l’université </w:t>
      </w:r>
      <w:r w:rsidRPr="00D80A8F">
        <w:rPr>
          <w:rFonts w:cstheme="minorHAnsi"/>
        </w:rPr>
        <w:t xml:space="preserve">est renforcée </w:t>
      </w:r>
    </w:p>
    <w:p w14:paraId="23ED47BD" w14:textId="543482ED" w:rsidR="00D80A8F" w:rsidRPr="00D80A8F" w:rsidRDefault="00D80A8F" w:rsidP="000763CC">
      <w:pPr>
        <w:shd w:val="clear" w:color="auto" w:fill="B8CCE4" w:themeFill="accent1" w:themeFillTint="66"/>
        <w:autoSpaceDE w:val="0"/>
        <w:autoSpaceDN w:val="0"/>
        <w:adjustRightInd w:val="0"/>
        <w:spacing w:after="120" w:line="240" w:lineRule="auto"/>
        <w:ind w:left="567"/>
        <w:jc w:val="both"/>
        <w:rPr>
          <w:rFonts w:cstheme="minorHAnsi"/>
        </w:rPr>
      </w:pPr>
      <w:r w:rsidRPr="00D80A8F">
        <w:rPr>
          <w:rFonts w:cstheme="minorHAnsi"/>
        </w:rPr>
        <w:t xml:space="preserve">Résultat 4.1 : la demande du marché français/des marchés extérieurs est prise en compte dans le système de formation tunisien. </w:t>
      </w:r>
    </w:p>
    <w:p w14:paraId="38716D84" w14:textId="1A18B518" w:rsidR="00B26C48" w:rsidRPr="00C5304B" w:rsidRDefault="0043404E" w:rsidP="000763CC">
      <w:pPr>
        <w:shd w:val="clear" w:color="auto" w:fill="DBE5F1" w:themeFill="accent1" w:themeFillTint="33"/>
        <w:spacing w:after="120" w:line="240" w:lineRule="auto"/>
        <w:ind w:left="851"/>
        <w:jc w:val="both"/>
        <w:rPr>
          <w:color w:val="1D1B11" w:themeColor="background2" w:themeShade="1A"/>
        </w:rPr>
      </w:pPr>
      <w:r w:rsidRPr="00D80A8F">
        <w:rPr>
          <w:rFonts w:cstheme="minorHAnsi"/>
          <w:color w:val="1D1B11" w:themeColor="background2" w:themeShade="1A"/>
        </w:rPr>
        <w:t>Activité</w:t>
      </w:r>
      <w:r>
        <w:rPr>
          <w:rFonts w:cstheme="minorHAnsi"/>
          <w:color w:val="1D1B11" w:themeColor="background2" w:themeShade="1A"/>
        </w:rPr>
        <w:t xml:space="preserve"> 4.</w:t>
      </w:r>
      <w:r w:rsidR="007C7A5F">
        <w:rPr>
          <w:rFonts w:cstheme="minorHAnsi"/>
          <w:color w:val="1D1B11" w:themeColor="background2" w:themeShade="1A"/>
        </w:rPr>
        <w:t xml:space="preserve">1.2 </w:t>
      </w:r>
      <w:r w:rsidR="007C7A5F" w:rsidRPr="007C7A5F">
        <w:rPr>
          <w:rFonts w:cstheme="minorHAnsi"/>
          <w:color w:val="1D1B11" w:themeColor="background2" w:themeShade="1A"/>
        </w:rPr>
        <w:t>La demande de compétences sur le marché de l'emploi est prise en considération par l'écosystème de formation</w:t>
      </w:r>
    </w:p>
    <w:p w14:paraId="132BB3A8" w14:textId="3848D20F" w:rsidR="00EF1CD1" w:rsidRDefault="1D951F08" w:rsidP="009F6E88">
      <w:pPr>
        <w:spacing w:after="120" w:line="240" w:lineRule="auto"/>
        <w:ind w:left="1416"/>
        <w:jc w:val="both"/>
        <w:rPr>
          <w:color w:val="1D1B11" w:themeColor="background2" w:themeShade="1A"/>
        </w:rPr>
      </w:pPr>
      <w:r w:rsidRPr="1D951F08">
        <w:rPr>
          <w:color w:val="1D1B11" w:themeColor="background2" w:themeShade="1A"/>
          <w:highlight w:val="yellow"/>
        </w:rPr>
        <w:t>4.</w:t>
      </w:r>
      <w:r w:rsidR="007C7A5F">
        <w:rPr>
          <w:color w:val="1D1B11" w:themeColor="background2" w:themeShade="1A"/>
          <w:highlight w:val="yellow"/>
        </w:rPr>
        <w:t>1</w:t>
      </w:r>
      <w:r w:rsidRPr="1D951F08">
        <w:rPr>
          <w:color w:val="1D1B11" w:themeColor="background2" w:themeShade="1A"/>
          <w:highlight w:val="yellow"/>
        </w:rPr>
        <w:t>.</w:t>
      </w:r>
      <w:r w:rsidR="007C7A5F">
        <w:rPr>
          <w:color w:val="1D1B11" w:themeColor="background2" w:themeShade="1A"/>
          <w:highlight w:val="yellow"/>
        </w:rPr>
        <w:t>2</w:t>
      </w:r>
      <w:r w:rsidRPr="1D951F08">
        <w:rPr>
          <w:color w:val="1D1B11" w:themeColor="background2" w:themeShade="1A"/>
          <w:highlight w:val="yellow"/>
        </w:rPr>
        <w:t>.</w:t>
      </w:r>
      <w:r w:rsidR="007C7A5F">
        <w:rPr>
          <w:color w:val="1D1B11" w:themeColor="background2" w:themeShade="1A"/>
          <w:highlight w:val="yellow"/>
        </w:rPr>
        <w:t>5</w:t>
      </w:r>
      <w:r w:rsidRPr="1D951F08">
        <w:rPr>
          <w:color w:val="1D1B11" w:themeColor="background2" w:themeShade="1A"/>
          <w:highlight w:val="yellow"/>
        </w:rPr>
        <w:t> :</w:t>
      </w:r>
      <w:r w:rsidRPr="007C7A5F">
        <w:rPr>
          <w:color w:val="1D1B11" w:themeColor="background2" w:themeShade="1A"/>
          <w:highlight w:val="yellow"/>
        </w:rPr>
        <w:t xml:space="preserve"> </w:t>
      </w:r>
      <w:r w:rsidR="007C7A5F" w:rsidRPr="007C7A5F">
        <w:rPr>
          <w:color w:val="1D1B11" w:themeColor="background2" w:themeShade="1A"/>
          <w:highlight w:val="yellow"/>
        </w:rPr>
        <w:t>Confier, à travers un appel à projet, la mise en œuvre d'une opération pilote « métiers de demain » = passer de l'analyse prospective à la conception et la mise en œuvre de réponses agiles.</w:t>
      </w:r>
    </w:p>
    <w:p w14:paraId="5EFD5824" w14:textId="77777777" w:rsidR="000E306C" w:rsidRDefault="000E306C" w:rsidP="00F41D8F">
      <w:pPr>
        <w:spacing w:after="120" w:line="240" w:lineRule="auto"/>
        <w:jc w:val="both"/>
        <w:rPr>
          <w:color w:val="1D1B11" w:themeColor="background2" w:themeShade="1A"/>
        </w:rPr>
      </w:pPr>
    </w:p>
    <w:p w14:paraId="3701709B" w14:textId="308B851F" w:rsidR="00E06D9D" w:rsidRPr="005F0B8B" w:rsidRDefault="00FC3704" w:rsidP="004D638D">
      <w:pPr>
        <w:spacing w:after="360" w:line="240" w:lineRule="auto"/>
        <w:jc w:val="center"/>
        <w:rPr>
          <w:rFonts w:ascii="Calibri" w:hAnsi="Calibri"/>
          <w:b/>
          <w:color w:val="05ADA0"/>
          <w:sz w:val="28"/>
          <w:szCs w:val="28"/>
        </w:rPr>
      </w:pPr>
      <w:r>
        <w:rPr>
          <w:rFonts w:ascii="Calibri" w:hAnsi="Calibri"/>
          <w:b/>
          <w:color w:val="05ADA0"/>
          <w:sz w:val="28"/>
          <w:szCs w:val="28"/>
        </w:rPr>
        <w:t xml:space="preserve">II - </w:t>
      </w:r>
      <w:r w:rsidR="000C7B6D" w:rsidRPr="00425360">
        <w:rPr>
          <w:rFonts w:ascii="Calibri" w:hAnsi="Calibri"/>
          <w:b/>
          <w:color w:val="05ADA0"/>
          <w:sz w:val="28"/>
          <w:szCs w:val="28"/>
        </w:rPr>
        <w:t>P</w:t>
      </w:r>
      <w:r w:rsidR="000C7B6D">
        <w:rPr>
          <w:rFonts w:ascii="Calibri" w:hAnsi="Calibri"/>
          <w:b/>
          <w:color w:val="05ADA0"/>
          <w:sz w:val="28"/>
          <w:szCs w:val="28"/>
        </w:rPr>
        <w:t>rojet</w:t>
      </w:r>
      <w:r w:rsidR="000C7B6D" w:rsidRPr="00425360">
        <w:rPr>
          <w:rFonts w:ascii="Calibri" w:hAnsi="Calibri"/>
          <w:b/>
          <w:color w:val="05ADA0"/>
          <w:sz w:val="28"/>
          <w:szCs w:val="28"/>
        </w:rPr>
        <w:t xml:space="preserve"> </w:t>
      </w:r>
      <w:r w:rsidR="004D638D">
        <w:rPr>
          <w:rFonts w:ascii="Calibri" w:hAnsi="Calibri"/>
          <w:b/>
          <w:color w:val="05ADA0"/>
          <w:sz w:val="28"/>
          <w:szCs w:val="28"/>
        </w:rPr>
        <w:t>p</w:t>
      </w:r>
      <w:r w:rsidR="000C7B6D" w:rsidRPr="000C7B6D">
        <w:rPr>
          <w:rFonts w:ascii="Calibri" w:hAnsi="Calibri"/>
          <w:b/>
          <w:color w:val="05ADA0"/>
          <w:sz w:val="28"/>
          <w:szCs w:val="28"/>
        </w:rPr>
        <w:t xml:space="preserve">ilote "Métiers de </w:t>
      </w:r>
      <w:r w:rsidR="004D638D">
        <w:rPr>
          <w:rFonts w:ascii="Calibri" w:hAnsi="Calibri"/>
          <w:b/>
          <w:color w:val="05ADA0"/>
          <w:sz w:val="28"/>
          <w:szCs w:val="28"/>
        </w:rPr>
        <w:t>d</w:t>
      </w:r>
      <w:r w:rsidR="000C7B6D" w:rsidRPr="000C7B6D">
        <w:rPr>
          <w:rFonts w:ascii="Calibri" w:hAnsi="Calibri"/>
          <w:b/>
          <w:color w:val="05ADA0"/>
          <w:sz w:val="28"/>
          <w:szCs w:val="28"/>
        </w:rPr>
        <w:t xml:space="preserve">emain" pour les </w:t>
      </w:r>
      <w:r w:rsidR="000E306C">
        <w:rPr>
          <w:rFonts w:ascii="Calibri" w:hAnsi="Calibri"/>
          <w:b/>
          <w:color w:val="05ADA0"/>
          <w:sz w:val="28"/>
          <w:szCs w:val="28"/>
        </w:rPr>
        <w:t>établissements d’enseignement supérieur et de recherche</w:t>
      </w:r>
      <w:r w:rsidRPr="00425360">
        <w:rPr>
          <w:rFonts w:ascii="Calibri" w:hAnsi="Calibri"/>
          <w:b/>
          <w:color w:val="05ADA0"/>
          <w:sz w:val="28"/>
          <w:szCs w:val="28"/>
        </w:rPr>
        <w:t xml:space="preserve"> </w:t>
      </w:r>
    </w:p>
    <w:p w14:paraId="5FA652A9" w14:textId="77777777" w:rsidR="00E06D9D" w:rsidRDefault="00E06D9D" w:rsidP="00E06D9D">
      <w:pPr>
        <w:pStyle w:val="Paragraphedeliste"/>
        <w:keepNext/>
        <w:keepLines/>
        <w:spacing w:before="200" w:after="120" w:line="276" w:lineRule="auto"/>
        <w:jc w:val="both"/>
        <w:outlineLvl w:val="1"/>
        <w:rPr>
          <w:b/>
          <w:bCs/>
          <w:color w:val="05ADA0"/>
          <w:spacing w:val="20"/>
          <w:sz w:val="28"/>
          <w:szCs w:val="28"/>
        </w:rPr>
      </w:pPr>
    </w:p>
    <w:p w14:paraId="5B6E053E" w14:textId="20DEF654" w:rsidR="00B911E9" w:rsidRPr="00B911E9" w:rsidRDefault="00B911E9" w:rsidP="00B911E9">
      <w:pPr>
        <w:pStyle w:val="Paragraphedeliste"/>
        <w:keepNext/>
        <w:keepLines/>
        <w:numPr>
          <w:ilvl w:val="0"/>
          <w:numId w:val="8"/>
        </w:numPr>
        <w:spacing w:before="200" w:after="120" w:line="276" w:lineRule="auto"/>
        <w:jc w:val="both"/>
        <w:outlineLvl w:val="1"/>
        <w:rPr>
          <w:b/>
          <w:bCs/>
          <w:color w:val="05ADA0"/>
          <w:spacing w:val="20"/>
          <w:sz w:val="28"/>
          <w:szCs w:val="28"/>
        </w:rPr>
      </w:pPr>
      <w:r>
        <w:rPr>
          <w:b/>
          <w:bCs/>
          <w:color w:val="05ADA0"/>
          <w:spacing w:val="20"/>
          <w:sz w:val="28"/>
          <w:szCs w:val="28"/>
        </w:rPr>
        <w:t xml:space="preserve">Objectifs </w:t>
      </w:r>
    </w:p>
    <w:p w14:paraId="5356058A" w14:textId="59EFCCA5" w:rsidR="000E306C" w:rsidRDefault="00D37906" w:rsidP="000E306C">
      <w:pPr>
        <w:spacing w:after="120" w:line="240" w:lineRule="auto"/>
        <w:jc w:val="both"/>
        <w:rPr>
          <w:color w:val="1D1B11" w:themeColor="background2" w:themeShade="1A"/>
        </w:rPr>
      </w:pPr>
      <w:bookmarkStart w:id="4" w:name="_Hlk111716616"/>
      <w:r w:rsidRPr="00D37906">
        <w:rPr>
          <w:color w:val="1D1B11" w:themeColor="background2" w:themeShade="1A"/>
        </w:rPr>
        <w:t xml:space="preserve">L'objectif principal de cette opération pilote est de développer et de tester des approches novatrices permettant de préparer les individus aux métiers de demain, en s'appuyant sur </w:t>
      </w:r>
      <w:r w:rsidR="000E306C">
        <w:rPr>
          <w:color w:val="1D1B11" w:themeColor="background2" w:themeShade="1A"/>
        </w:rPr>
        <w:t xml:space="preserve">les établissements d’enseignement supérieur et de </w:t>
      </w:r>
      <w:r w:rsidR="00B911E9">
        <w:rPr>
          <w:color w:val="1D1B11" w:themeColor="background2" w:themeShade="1A"/>
        </w:rPr>
        <w:t>recherche</w:t>
      </w:r>
      <w:r w:rsidR="005F0B8B">
        <w:rPr>
          <w:color w:val="1D1B11" w:themeColor="background2" w:themeShade="1A"/>
        </w:rPr>
        <w:t xml:space="preserve"> scientifique.</w:t>
      </w:r>
    </w:p>
    <w:p w14:paraId="2BFDA3EF" w14:textId="584E62FD" w:rsidR="00EF1CD1" w:rsidRPr="001A0B9A" w:rsidRDefault="00EF1CD1" w:rsidP="000E306C">
      <w:pPr>
        <w:spacing w:after="120" w:line="240" w:lineRule="auto"/>
        <w:jc w:val="both"/>
        <w:rPr>
          <w:color w:val="1D1B11" w:themeColor="background2" w:themeShade="1A"/>
        </w:rPr>
      </w:pPr>
      <w:r w:rsidRPr="001A0B9A">
        <w:rPr>
          <w:color w:val="1D1B11" w:themeColor="background2" w:themeShade="1A"/>
        </w:rPr>
        <w:t xml:space="preserve">Les objectifs spécifiques de l’appel à projet se déclinent </w:t>
      </w:r>
      <w:r w:rsidR="000D1C3B">
        <w:rPr>
          <w:color w:val="1D1B11" w:themeColor="background2" w:themeShade="1A"/>
        </w:rPr>
        <w:t>comme suit</w:t>
      </w:r>
      <w:r w:rsidRPr="001A0B9A">
        <w:rPr>
          <w:color w:val="1D1B11" w:themeColor="background2" w:themeShade="1A"/>
        </w:rPr>
        <w:t xml:space="preserve"> : </w:t>
      </w:r>
    </w:p>
    <w:bookmarkEnd w:id="4"/>
    <w:p w14:paraId="0C6B85EB" w14:textId="6695CC00" w:rsidR="00D37906" w:rsidRPr="00BC2D73" w:rsidRDefault="00D37906" w:rsidP="00477FA6">
      <w:pPr>
        <w:spacing w:after="120" w:line="240" w:lineRule="auto"/>
      </w:pPr>
      <w:r w:rsidRPr="00BC2D73">
        <w:t xml:space="preserve">a. </w:t>
      </w:r>
      <w:r w:rsidR="000E306C">
        <w:t xml:space="preserve">Identifier des </w:t>
      </w:r>
      <w:r w:rsidRPr="00BC2D73">
        <w:t xml:space="preserve">compétences </w:t>
      </w:r>
      <w:r w:rsidR="000E306C">
        <w:t xml:space="preserve">de plus en plus recherchées ou </w:t>
      </w:r>
      <w:r w:rsidR="00477FA6">
        <w:t>d</w:t>
      </w:r>
      <w:r w:rsidRPr="00BC2D73">
        <w:t>es métiers émergents</w:t>
      </w:r>
      <w:r w:rsidR="00477FA6">
        <w:t xml:space="preserve"> </w:t>
      </w:r>
      <w:r w:rsidR="004D638D">
        <w:t xml:space="preserve">dans un bassin d’emploi </w:t>
      </w:r>
      <w:r w:rsidR="00477FA6">
        <w:t>et justifier ce choix</w:t>
      </w:r>
      <w:r w:rsidRPr="00BC2D73">
        <w:t>.</w:t>
      </w:r>
    </w:p>
    <w:p w14:paraId="13FD38B4" w14:textId="352AA58B" w:rsidR="00D37906" w:rsidRPr="00BC2D73" w:rsidRDefault="00D37906" w:rsidP="000E306C">
      <w:pPr>
        <w:spacing w:after="120" w:line="240" w:lineRule="auto"/>
      </w:pPr>
      <w:r w:rsidRPr="00BC2D73">
        <w:t xml:space="preserve">b. Concevoir </w:t>
      </w:r>
      <w:r>
        <w:t>un</w:t>
      </w:r>
      <w:r w:rsidRPr="00BC2D73">
        <w:t xml:space="preserve"> pro</w:t>
      </w:r>
      <w:r>
        <w:t>jet</w:t>
      </w:r>
      <w:r w:rsidR="000D1C3B">
        <w:t xml:space="preserve"> ou un parcours innovant</w:t>
      </w:r>
      <w:r>
        <w:t xml:space="preserve"> </w:t>
      </w:r>
      <w:r w:rsidR="000D1C3B" w:rsidRPr="00BC2D73">
        <w:t>adapt</w:t>
      </w:r>
      <w:r w:rsidR="000E306C">
        <w:t>é</w:t>
      </w:r>
      <w:r w:rsidRPr="00BC2D73">
        <w:t xml:space="preserve"> aux besoins identifiés.</w:t>
      </w:r>
    </w:p>
    <w:p w14:paraId="74750AEF" w14:textId="77777777" w:rsidR="00D37906" w:rsidRPr="00BC2D73" w:rsidRDefault="00D37906" w:rsidP="000E306C">
      <w:pPr>
        <w:spacing w:after="120" w:line="240" w:lineRule="auto"/>
      </w:pPr>
      <w:r w:rsidRPr="00BC2D73">
        <w:t xml:space="preserve">c. Mettre en œuvre </w:t>
      </w:r>
      <w:r>
        <w:t xml:space="preserve">ce </w:t>
      </w:r>
      <w:r w:rsidRPr="00BC2D73">
        <w:t>pro</w:t>
      </w:r>
      <w:r>
        <w:t>jet</w:t>
      </w:r>
      <w:r w:rsidRPr="00BC2D73">
        <w:t xml:space="preserve"> de manière agile et efficace.</w:t>
      </w:r>
    </w:p>
    <w:p w14:paraId="59877519" w14:textId="79028FCF" w:rsidR="009F6E88" w:rsidRDefault="00D37906" w:rsidP="00D37906">
      <w:r w:rsidRPr="00BC2D73">
        <w:t xml:space="preserve">d. Évaluer l'impact de cette opération pilote sur la préparation des </w:t>
      </w:r>
      <w:r>
        <w:t>étudiants</w:t>
      </w:r>
      <w:r w:rsidRPr="00BC2D73">
        <w:t xml:space="preserve"> aux métiers de demain.</w:t>
      </w:r>
    </w:p>
    <w:p w14:paraId="13C39297" w14:textId="77777777" w:rsidR="000E306C" w:rsidRPr="00D37906" w:rsidRDefault="000E306C" w:rsidP="00D37906"/>
    <w:p w14:paraId="488B6488" w14:textId="639895E7" w:rsidR="00BE4043" w:rsidRPr="00BE4043" w:rsidRDefault="005A15BC" w:rsidP="00BE4043">
      <w:pPr>
        <w:pStyle w:val="Paragraphedeliste"/>
        <w:keepNext/>
        <w:keepLines/>
        <w:numPr>
          <w:ilvl w:val="0"/>
          <w:numId w:val="8"/>
        </w:numPr>
        <w:spacing w:before="200" w:after="120"/>
        <w:jc w:val="both"/>
        <w:outlineLvl w:val="1"/>
        <w:rPr>
          <w:b/>
          <w:bCs/>
          <w:color w:val="05ADA0"/>
          <w:spacing w:val="20"/>
          <w:sz w:val="28"/>
          <w:szCs w:val="28"/>
        </w:rPr>
      </w:pPr>
      <w:r w:rsidRPr="005A15BC">
        <w:rPr>
          <w:b/>
          <w:bCs/>
          <w:color w:val="05ADA0"/>
          <w:spacing w:val="20"/>
          <w:sz w:val="28"/>
          <w:szCs w:val="28"/>
        </w:rPr>
        <w:t>Résultats recherchés</w:t>
      </w:r>
    </w:p>
    <w:p w14:paraId="4EDE7D30" w14:textId="2FB8BD30" w:rsidR="00BE4043" w:rsidRPr="00BE4043" w:rsidRDefault="00957383" w:rsidP="00477FA6">
      <w:pPr>
        <w:spacing w:after="120" w:line="240" w:lineRule="auto"/>
        <w:jc w:val="both"/>
      </w:pPr>
      <w:r>
        <w:t>-</w:t>
      </w:r>
      <w:r w:rsidR="00477FA6">
        <w:t xml:space="preserve"> </w:t>
      </w:r>
      <w:r w:rsidR="00BE4043">
        <w:t xml:space="preserve">Des solutions sont conçues et testées pour </w:t>
      </w:r>
      <w:r w:rsidR="00477FA6">
        <w:t>rapprocher l</w:t>
      </w:r>
      <w:r w:rsidR="00BE4043">
        <w:t>e</w:t>
      </w:r>
      <w:r w:rsidR="00477FA6">
        <w:t xml:space="preserve"> profil de</w:t>
      </w:r>
      <w:r w:rsidR="00BE4043">
        <w:t xml:space="preserve">s étudiants </w:t>
      </w:r>
      <w:r w:rsidR="00477FA6">
        <w:t>des</w:t>
      </w:r>
      <w:r w:rsidR="00BE4043">
        <w:t xml:space="preserve"> exigences du marché du travail local et international.</w:t>
      </w:r>
    </w:p>
    <w:p w14:paraId="2B775544" w14:textId="73DD9A93" w:rsidR="005A15BC" w:rsidRPr="001A0B9A" w:rsidRDefault="00957383" w:rsidP="00477FA6">
      <w:pPr>
        <w:spacing w:after="120" w:line="240" w:lineRule="auto"/>
        <w:jc w:val="both"/>
        <w:rPr>
          <w:color w:val="1D1B11" w:themeColor="background2" w:themeShade="1A"/>
        </w:rPr>
      </w:pPr>
      <w:r>
        <w:rPr>
          <w:color w:val="1D1B11" w:themeColor="background2" w:themeShade="1A"/>
        </w:rPr>
        <w:t>-</w:t>
      </w:r>
      <w:r w:rsidR="00477FA6">
        <w:rPr>
          <w:color w:val="1D1B11" w:themeColor="background2" w:themeShade="1A"/>
        </w:rPr>
        <w:t xml:space="preserve"> </w:t>
      </w:r>
      <w:r w:rsidR="005A15BC" w:rsidRPr="001A0B9A">
        <w:rPr>
          <w:color w:val="1D1B11" w:themeColor="background2" w:themeShade="1A"/>
        </w:rPr>
        <w:t>Les dynamiques de partenariat</w:t>
      </w:r>
      <w:r w:rsidR="00BE4043">
        <w:rPr>
          <w:color w:val="1D1B11" w:themeColor="background2" w:themeShade="1A"/>
        </w:rPr>
        <w:t xml:space="preserve"> nationales ou</w:t>
      </w:r>
      <w:r w:rsidR="005A15BC" w:rsidRPr="001A0B9A">
        <w:rPr>
          <w:color w:val="1D1B11" w:themeColor="background2" w:themeShade="1A"/>
        </w:rPr>
        <w:t xml:space="preserve"> transnationales </w:t>
      </w:r>
      <w:r w:rsidR="00737A88" w:rsidRPr="001A0B9A">
        <w:rPr>
          <w:color w:val="1D1B11" w:themeColor="background2" w:themeShade="1A"/>
        </w:rPr>
        <w:t xml:space="preserve">sont renforcées </w:t>
      </w:r>
      <w:r w:rsidR="005A15BC" w:rsidRPr="001A0B9A">
        <w:rPr>
          <w:color w:val="1D1B11" w:themeColor="background2" w:themeShade="1A"/>
        </w:rPr>
        <w:t xml:space="preserve">dans le secteur de l’emploi et </w:t>
      </w:r>
      <w:r w:rsidR="00737A88" w:rsidRPr="001A0B9A">
        <w:rPr>
          <w:color w:val="1D1B11" w:themeColor="background2" w:themeShade="1A"/>
        </w:rPr>
        <w:t xml:space="preserve">de </w:t>
      </w:r>
      <w:r w:rsidR="005A15BC" w:rsidRPr="001A0B9A">
        <w:rPr>
          <w:color w:val="1D1B11" w:themeColor="background2" w:themeShade="1A"/>
        </w:rPr>
        <w:t>la formation</w:t>
      </w:r>
      <w:r w:rsidR="00D37906">
        <w:rPr>
          <w:color w:val="1D1B11" w:themeColor="background2" w:themeShade="1A"/>
        </w:rPr>
        <w:t xml:space="preserve"> innovante</w:t>
      </w:r>
      <w:r w:rsidR="005A15BC" w:rsidRPr="001A0B9A">
        <w:rPr>
          <w:color w:val="1D1B11" w:themeColor="background2" w:themeShade="1A"/>
        </w:rPr>
        <w:t>.</w:t>
      </w:r>
    </w:p>
    <w:p w14:paraId="5AE122BD" w14:textId="45698993" w:rsidR="00662F18" w:rsidRDefault="00957383" w:rsidP="00BE4043">
      <w:pPr>
        <w:spacing w:after="120" w:line="240" w:lineRule="auto"/>
        <w:jc w:val="both"/>
      </w:pPr>
      <w:r>
        <w:rPr>
          <w:color w:val="1D1B11" w:themeColor="background2" w:themeShade="1A"/>
        </w:rPr>
        <w:t>-</w:t>
      </w:r>
      <w:r w:rsidR="00477FA6">
        <w:rPr>
          <w:color w:val="1D1B11" w:themeColor="background2" w:themeShade="1A"/>
        </w:rPr>
        <w:t xml:space="preserve"> </w:t>
      </w:r>
      <w:r w:rsidR="005A15BC" w:rsidRPr="001A0B9A">
        <w:rPr>
          <w:color w:val="1D1B11" w:themeColor="background2" w:themeShade="1A"/>
        </w:rPr>
        <w:t>Des synergies sont développées entre les acteurs du secteu</w:t>
      </w:r>
      <w:r>
        <w:rPr>
          <w:color w:val="1D1B11" w:themeColor="background2" w:themeShade="1A"/>
        </w:rPr>
        <w:t>r public universitaire</w:t>
      </w:r>
      <w:r w:rsidR="005A15BC" w:rsidRPr="001A0B9A">
        <w:rPr>
          <w:color w:val="1D1B11" w:themeColor="background2" w:themeShade="1A"/>
        </w:rPr>
        <w:t xml:space="preserve"> et ceux du secteur privé.</w:t>
      </w:r>
      <w:r w:rsidR="00C661F1">
        <w:rPr>
          <w:color w:val="1D1B11" w:themeColor="background2" w:themeShade="1A"/>
        </w:rPr>
        <w:t xml:space="preserve"> </w:t>
      </w:r>
      <w:r w:rsidR="00737A88" w:rsidRPr="001A0B9A">
        <w:t xml:space="preserve">Les partenariats </w:t>
      </w:r>
      <w:r>
        <w:t xml:space="preserve">avec </w:t>
      </w:r>
      <w:r w:rsidR="00477FA6">
        <w:t xml:space="preserve">le </w:t>
      </w:r>
      <w:r>
        <w:t xml:space="preserve">secteur privé sont </w:t>
      </w:r>
      <w:r w:rsidR="000D1C3B">
        <w:t xml:space="preserve">vivement </w:t>
      </w:r>
      <w:r>
        <w:t>encouragés.</w:t>
      </w:r>
      <w:r w:rsidR="00737A88">
        <w:t xml:space="preserve"> </w:t>
      </w:r>
    </w:p>
    <w:p w14:paraId="630D8FC0" w14:textId="77777777" w:rsidR="00477FA6" w:rsidRPr="00BE4043" w:rsidRDefault="00477FA6" w:rsidP="00BE4043">
      <w:pPr>
        <w:spacing w:after="120" w:line="240" w:lineRule="auto"/>
        <w:jc w:val="both"/>
      </w:pPr>
    </w:p>
    <w:p w14:paraId="379F59C0" w14:textId="77777777" w:rsidR="000372CF" w:rsidRPr="005D74EB" w:rsidRDefault="000372CF" w:rsidP="00A04B06">
      <w:pPr>
        <w:pStyle w:val="Paragraphedeliste"/>
        <w:keepNext/>
        <w:keepLines/>
        <w:numPr>
          <w:ilvl w:val="0"/>
          <w:numId w:val="8"/>
        </w:numPr>
        <w:spacing w:before="200" w:after="120"/>
        <w:outlineLvl w:val="1"/>
        <w:rPr>
          <w:b/>
          <w:bCs/>
          <w:color w:val="05ADA0"/>
          <w:spacing w:val="20"/>
          <w:sz w:val="28"/>
          <w:szCs w:val="28"/>
        </w:rPr>
      </w:pPr>
      <w:r w:rsidRPr="005D74EB">
        <w:rPr>
          <w:b/>
          <w:bCs/>
          <w:color w:val="05ADA0"/>
          <w:spacing w:val="20"/>
          <w:sz w:val="28"/>
          <w:szCs w:val="28"/>
        </w:rPr>
        <w:t xml:space="preserve">Montant mis à disposition </w:t>
      </w:r>
    </w:p>
    <w:p w14:paraId="3DC8FF32" w14:textId="3BD4A5A0" w:rsidR="00BE4043" w:rsidRDefault="000372CF" w:rsidP="00477FA6">
      <w:pPr>
        <w:spacing w:after="120" w:line="240" w:lineRule="auto"/>
        <w:jc w:val="both"/>
      </w:pPr>
      <w:r>
        <w:t xml:space="preserve">Le montant indicatif global mis à disposition au titre du présent appel à propositions s'élève à </w:t>
      </w:r>
      <w:r w:rsidR="00477FA6">
        <w:t>18</w:t>
      </w:r>
      <w:r w:rsidR="00AD5D37">
        <w:t>0</w:t>
      </w:r>
      <w:r w:rsidR="00F41D8F">
        <w:t>.000</w:t>
      </w:r>
      <w:r>
        <w:t xml:space="preserve">€. </w:t>
      </w:r>
      <w:r w:rsidR="00BE4043">
        <w:t xml:space="preserve">Les </w:t>
      </w:r>
      <w:r w:rsidR="00477FA6">
        <w:rPr>
          <w:color w:val="1D1B11" w:themeColor="background2" w:themeShade="1A"/>
        </w:rPr>
        <w:t>établissements d’enseignement supérieur et de recherche</w:t>
      </w:r>
      <w:r w:rsidR="00477FA6" w:rsidRPr="001A0B9A">
        <w:t xml:space="preserve"> </w:t>
      </w:r>
      <w:r w:rsidRPr="001A0B9A">
        <w:t xml:space="preserve">qui soumettront </w:t>
      </w:r>
      <w:r w:rsidR="00D24C41">
        <w:t>les</w:t>
      </w:r>
      <w:r w:rsidRPr="001A0B9A">
        <w:t xml:space="preserve"> propositions les plus pertinentes pourront être soutenus au travers d’une subvention </w:t>
      </w:r>
      <w:r w:rsidR="00D24C41">
        <w:t xml:space="preserve">maximum </w:t>
      </w:r>
      <w:r w:rsidRPr="001A0B9A">
        <w:t>de 60.000 €, conformément aux conditions générales</w:t>
      </w:r>
      <w:r w:rsidR="00C643E7">
        <w:t xml:space="preserve"> </w:t>
      </w:r>
      <w:r w:rsidR="00C161A0">
        <w:t xml:space="preserve">des appel d’offres </w:t>
      </w:r>
      <w:r w:rsidRPr="001A0B9A">
        <w:t>applicables</w:t>
      </w:r>
      <w:r w:rsidR="00C161A0">
        <w:t xml:space="preserve"> à l’</w:t>
      </w:r>
      <w:r w:rsidR="00477FA6">
        <w:t>U</w:t>
      </w:r>
      <w:r w:rsidR="00C161A0">
        <w:t xml:space="preserve">nion </w:t>
      </w:r>
      <w:r w:rsidR="00C161A0">
        <w:lastRenderedPageBreak/>
        <w:t>européenne :</w:t>
      </w:r>
      <w:hyperlink r:id="rId11" w:history="1">
        <w:r w:rsidR="00455B23" w:rsidRPr="00E44D80">
          <w:rPr>
            <w:rStyle w:val="Lienhypertexte"/>
          </w:rPr>
          <w:t xml:space="preserve"> </w:t>
        </w:r>
        <w:r w:rsidR="00C161A0" w:rsidRPr="00E44D80">
          <w:rPr>
            <w:rStyle w:val="Lienhypertexte"/>
          </w:rPr>
          <w:t>https://europa.eu/youreurope/business/selling-in-eu/public-contracts/public-tendering-rules/index_en.htm</w:t>
        </w:r>
      </w:hyperlink>
      <w:r>
        <w:t xml:space="preserve">. </w:t>
      </w:r>
    </w:p>
    <w:p w14:paraId="6846B493" w14:textId="75D9BC25" w:rsidR="00D24C41" w:rsidRDefault="00BE4043" w:rsidP="00EF6377">
      <w:pPr>
        <w:spacing w:after="120" w:line="240" w:lineRule="auto"/>
        <w:jc w:val="both"/>
      </w:pPr>
      <w:r>
        <w:t xml:space="preserve">Les </w:t>
      </w:r>
      <w:r w:rsidR="00EF6377">
        <w:rPr>
          <w:color w:val="1D1B11" w:themeColor="background2" w:themeShade="1A"/>
        </w:rPr>
        <w:t>établissements d’enseignement supérieur et de recherche</w:t>
      </w:r>
      <w:r w:rsidR="00EF6377" w:rsidRPr="001A0B9A">
        <w:t xml:space="preserve"> </w:t>
      </w:r>
      <w:r w:rsidR="00EF6377">
        <w:t xml:space="preserve">intéressés sont invités à présenter des projets correspondant à leurs </w:t>
      </w:r>
      <w:r>
        <w:t xml:space="preserve">capacités </w:t>
      </w:r>
      <w:r w:rsidR="00DF577E">
        <w:t>financières</w:t>
      </w:r>
      <w:r w:rsidR="00EF6377">
        <w:t xml:space="preserve"> et leurs possibilités de mise en </w:t>
      </w:r>
      <w:r w:rsidR="004D638D">
        <w:t>œuvre</w:t>
      </w:r>
      <w:r w:rsidR="00DF577E">
        <w:t>. L’administration</w:t>
      </w:r>
      <w:r w:rsidR="000372CF">
        <w:t xml:space="preserve"> contractante se réserve la possibilité de ne pas attribuer tous les fonds disponibles.</w:t>
      </w:r>
    </w:p>
    <w:p w14:paraId="02F2B3E7" w14:textId="77777777" w:rsidR="00A764FC" w:rsidRDefault="00A764FC" w:rsidP="00D24C41">
      <w:pPr>
        <w:spacing w:after="120" w:line="240" w:lineRule="auto"/>
        <w:jc w:val="both"/>
        <w:rPr>
          <w:b/>
          <w:bCs/>
          <w:color w:val="05ADA0"/>
          <w:spacing w:val="20"/>
          <w:sz w:val="28"/>
          <w:szCs w:val="28"/>
        </w:rPr>
      </w:pPr>
    </w:p>
    <w:p w14:paraId="1C15EC8B" w14:textId="0D918146" w:rsidR="001A291C" w:rsidRPr="001A291C" w:rsidRDefault="00317FBC" w:rsidP="001A291C">
      <w:pPr>
        <w:pStyle w:val="Paragraphedeliste"/>
        <w:keepNext/>
        <w:keepLines/>
        <w:numPr>
          <w:ilvl w:val="0"/>
          <w:numId w:val="8"/>
        </w:numPr>
        <w:spacing w:before="200" w:after="120"/>
        <w:outlineLvl w:val="1"/>
        <w:rPr>
          <w:b/>
          <w:bCs/>
          <w:color w:val="05ADA0"/>
          <w:spacing w:val="20"/>
          <w:sz w:val="28"/>
          <w:szCs w:val="28"/>
        </w:rPr>
      </w:pPr>
      <w:r w:rsidRPr="00D24C41">
        <w:rPr>
          <w:b/>
          <w:bCs/>
          <w:color w:val="05ADA0"/>
          <w:spacing w:val="20"/>
          <w:sz w:val="28"/>
          <w:szCs w:val="28"/>
        </w:rPr>
        <w:t>É</w:t>
      </w:r>
      <w:r w:rsidR="00CB0C59" w:rsidRPr="00D24C41">
        <w:rPr>
          <w:b/>
          <w:bCs/>
          <w:color w:val="05ADA0"/>
          <w:spacing w:val="20"/>
          <w:sz w:val="28"/>
          <w:szCs w:val="28"/>
        </w:rPr>
        <w:t>ligibilité du demandeur </w:t>
      </w:r>
      <w:r w:rsidR="00BE4043">
        <w:rPr>
          <w:b/>
          <w:bCs/>
          <w:color w:val="05ADA0"/>
          <w:spacing w:val="20"/>
          <w:sz w:val="28"/>
          <w:szCs w:val="28"/>
        </w:rPr>
        <w:t>et</w:t>
      </w:r>
      <w:r w:rsidR="001A291C">
        <w:rPr>
          <w:b/>
          <w:bCs/>
          <w:color w:val="05ADA0"/>
          <w:spacing w:val="20"/>
          <w:sz w:val="28"/>
          <w:szCs w:val="28"/>
        </w:rPr>
        <w:t xml:space="preserve"> du</w:t>
      </w:r>
      <w:r w:rsidR="00BE4043">
        <w:rPr>
          <w:b/>
          <w:bCs/>
          <w:color w:val="05ADA0"/>
          <w:spacing w:val="20"/>
          <w:sz w:val="28"/>
          <w:szCs w:val="28"/>
        </w:rPr>
        <w:t xml:space="preserve"> </w:t>
      </w:r>
      <w:r w:rsidR="001A291C">
        <w:rPr>
          <w:b/>
          <w:bCs/>
          <w:color w:val="05ADA0"/>
          <w:spacing w:val="20"/>
          <w:sz w:val="28"/>
          <w:szCs w:val="28"/>
        </w:rPr>
        <w:t>codemandeur</w:t>
      </w:r>
      <w:r w:rsidR="00BE4043">
        <w:rPr>
          <w:b/>
          <w:bCs/>
          <w:color w:val="05ADA0"/>
          <w:spacing w:val="20"/>
          <w:sz w:val="28"/>
          <w:szCs w:val="28"/>
        </w:rPr>
        <w:t xml:space="preserve"> </w:t>
      </w:r>
    </w:p>
    <w:p w14:paraId="5AE5F59A" w14:textId="1D0B29BF" w:rsidR="00EF6377" w:rsidRDefault="001A291C" w:rsidP="004D638D">
      <w:pPr>
        <w:keepNext/>
        <w:keepLines/>
        <w:spacing w:after="120" w:line="240" w:lineRule="auto"/>
        <w:jc w:val="both"/>
        <w:outlineLvl w:val="1"/>
      </w:pPr>
      <w:r>
        <w:t xml:space="preserve">Les demandeurs sont les </w:t>
      </w:r>
      <w:r w:rsidR="00EF6377">
        <w:rPr>
          <w:color w:val="1D1B11" w:themeColor="background2" w:themeShade="1A"/>
        </w:rPr>
        <w:t xml:space="preserve">établissements d’enseignement supérieur et de recherche. </w:t>
      </w:r>
    </w:p>
    <w:p w14:paraId="494B0060" w14:textId="0FEBB535" w:rsidR="00BE4043" w:rsidRDefault="001A291C" w:rsidP="004D638D">
      <w:pPr>
        <w:keepNext/>
        <w:keepLines/>
        <w:spacing w:after="120" w:line="240" w:lineRule="auto"/>
        <w:jc w:val="both"/>
        <w:outlineLvl w:val="1"/>
      </w:pPr>
      <w:r>
        <w:t>Le</w:t>
      </w:r>
      <w:r w:rsidR="00EF6377">
        <w:t xml:space="preserve">s établissements demandeurs ont </w:t>
      </w:r>
      <w:r>
        <w:t xml:space="preserve">la possibilité de soumettre une </w:t>
      </w:r>
      <w:r w:rsidR="00EF6377">
        <w:t xml:space="preserve">candidature </w:t>
      </w:r>
      <w:r w:rsidR="00881ED6">
        <w:t xml:space="preserve">                                                                                                                                                                                                                                                                                                                                                                                               </w:t>
      </w:r>
      <w:r>
        <w:t>sous la forme d'un consortium, dans lequel il</w:t>
      </w:r>
      <w:r w:rsidR="00881ED6">
        <w:t>s</w:t>
      </w:r>
      <w:r>
        <w:t xml:space="preserve"> agir</w:t>
      </w:r>
      <w:r w:rsidR="00881ED6">
        <w:t>ont</w:t>
      </w:r>
      <w:r>
        <w:t xml:space="preserve"> en tant que coordinateur</w:t>
      </w:r>
      <w:r w:rsidR="00881ED6">
        <w:t>s</w:t>
      </w:r>
      <w:r>
        <w:t>.</w:t>
      </w:r>
      <w:r w:rsidRPr="00BE4043">
        <w:t xml:space="preserve"> </w:t>
      </w:r>
      <w:r w:rsidR="00881ED6">
        <w:t>L</w:t>
      </w:r>
      <w:r w:rsidR="00BE4043" w:rsidRPr="00BE4043">
        <w:t>es codemandeurs présente</w:t>
      </w:r>
      <w:r w:rsidR="00881ED6">
        <w:t>ro</w:t>
      </w:r>
      <w:r w:rsidR="00BE4043" w:rsidRPr="00BE4043">
        <w:t xml:space="preserve">nt un seul dossier au nom du demandeur, soit la personne morale qui sera considérée comme l’interlocuteur principal de l’autorité contractante. </w:t>
      </w:r>
      <w:r w:rsidR="00881ED6">
        <w:t>Elle</w:t>
      </w:r>
      <w:r w:rsidR="00BE4043" w:rsidRPr="00BE4043">
        <w:t xml:space="preserve"> représentera les éventuels codemandeurs et agira en leur nom, concevant et coordonnant l’action.</w:t>
      </w:r>
    </w:p>
    <w:p w14:paraId="1E6371FB" w14:textId="0CA24D7B" w:rsidR="00DE4C07" w:rsidRDefault="00DE4C07" w:rsidP="004D638D">
      <w:pPr>
        <w:spacing w:after="120" w:line="240" w:lineRule="auto"/>
        <w:jc w:val="both"/>
      </w:pPr>
      <w:r w:rsidRPr="00727ADF">
        <w:rPr>
          <w:color w:val="000000" w:themeColor="text1"/>
        </w:rPr>
        <w:t>Les présentes lignes directrices définissent les règles de soumission, de sélection et de mise en œuvre des actions financées dans le cadre du présent appel à propositions.</w:t>
      </w:r>
      <w:r>
        <w:rPr>
          <w:color w:val="000000" w:themeColor="text1"/>
        </w:rPr>
        <w:t xml:space="preserve"> </w:t>
      </w:r>
      <w:r w:rsidRPr="00A2520A">
        <w:t>Les critères d’éligibilité des demandeurs sont les suivants :</w:t>
      </w:r>
    </w:p>
    <w:p w14:paraId="191D917F" w14:textId="77C456DD" w:rsidR="00DE4C07" w:rsidRDefault="00DE4C07" w:rsidP="00DA040A">
      <w:pPr>
        <w:pStyle w:val="Paragraphedeliste"/>
        <w:numPr>
          <w:ilvl w:val="0"/>
          <w:numId w:val="12"/>
        </w:numPr>
        <w:spacing w:after="60" w:line="240" w:lineRule="auto"/>
        <w:ind w:left="357" w:hanging="357"/>
        <w:contextualSpacing w:val="0"/>
        <w:jc w:val="both"/>
      </w:pPr>
      <w:r>
        <w:t xml:space="preserve">Être un établissement d’enseignement supérieur public ; </w:t>
      </w:r>
    </w:p>
    <w:p w14:paraId="51918637" w14:textId="77777777" w:rsidR="00DE4C07" w:rsidRDefault="00DE4C07" w:rsidP="00DA040A">
      <w:pPr>
        <w:pStyle w:val="Paragraphedeliste"/>
        <w:numPr>
          <w:ilvl w:val="0"/>
          <w:numId w:val="12"/>
        </w:numPr>
        <w:spacing w:after="60" w:line="240" w:lineRule="auto"/>
        <w:ind w:left="357" w:hanging="357"/>
        <w:contextualSpacing w:val="0"/>
        <w:jc w:val="both"/>
      </w:pPr>
      <w:r w:rsidRPr="00A2520A">
        <w:t>Être directement chargé de la préparation et de la gestion de l’action avec le(s) codemandeur(s) éventuel(s) et non agir en tant qu’intermédiaire ;</w:t>
      </w:r>
    </w:p>
    <w:p w14:paraId="5BCE6F12" w14:textId="77777777" w:rsidR="00166DA7" w:rsidRDefault="00DE4C07" w:rsidP="00DA040A">
      <w:pPr>
        <w:pStyle w:val="Paragraphedeliste"/>
        <w:numPr>
          <w:ilvl w:val="0"/>
          <w:numId w:val="12"/>
        </w:numPr>
        <w:spacing w:after="60" w:line="240" w:lineRule="auto"/>
        <w:ind w:left="357" w:hanging="357"/>
        <w:contextualSpacing w:val="0"/>
        <w:jc w:val="both"/>
      </w:pPr>
      <w:r w:rsidRPr="00A2520A">
        <w:t>Faire preuve de sa capacité à gérer des activités relatives aux thèmes concernés et correspondant à l’ampleur du projet nécessitant une subvention en fournissant</w:t>
      </w:r>
      <w:r w:rsidR="00166DA7">
        <w:t> :</w:t>
      </w:r>
    </w:p>
    <w:p w14:paraId="491DFD0F" w14:textId="4A0F39C0" w:rsidR="00DE4C07" w:rsidRDefault="00166DA7" w:rsidP="00DA040A">
      <w:pPr>
        <w:pStyle w:val="Paragraphedeliste"/>
        <w:numPr>
          <w:ilvl w:val="1"/>
          <w:numId w:val="12"/>
        </w:numPr>
        <w:spacing w:after="60" w:line="240" w:lineRule="auto"/>
        <w:contextualSpacing w:val="0"/>
        <w:jc w:val="both"/>
      </w:pPr>
      <w:r>
        <w:t>u</w:t>
      </w:r>
      <w:r w:rsidR="00DE4C07" w:rsidRPr="00A2520A">
        <w:t xml:space="preserve">ne présentation des </w:t>
      </w:r>
      <w:r>
        <w:t xml:space="preserve">projets </w:t>
      </w:r>
      <w:r w:rsidR="00DE4C07" w:rsidRPr="00A2520A">
        <w:t>mis en œuvre par l’</w:t>
      </w:r>
      <w:r>
        <w:t xml:space="preserve">établissement </w:t>
      </w:r>
      <w:r w:rsidR="00DE4C07" w:rsidRPr="00A2520A">
        <w:t>pendant les deux dern</w:t>
      </w:r>
      <w:r>
        <w:t>ières années,</w:t>
      </w:r>
    </w:p>
    <w:p w14:paraId="5F689454" w14:textId="2927CE58" w:rsidR="00166DA7" w:rsidRDefault="00166DA7" w:rsidP="00DA040A">
      <w:pPr>
        <w:pStyle w:val="Paragraphedeliste"/>
        <w:numPr>
          <w:ilvl w:val="1"/>
          <w:numId w:val="12"/>
        </w:numPr>
        <w:spacing w:after="120" w:line="240" w:lineRule="auto"/>
        <w:contextualSpacing w:val="0"/>
        <w:jc w:val="both"/>
      </w:pPr>
      <w:r>
        <w:t xml:space="preserve">la liste et les CV des personnes qui seront impliquées dans la mise en œuvre du projet. </w:t>
      </w:r>
    </w:p>
    <w:p w14:paraId="5D7E1EEC" w14:textId="77777777" w:rsidR="00DE4C07" w:rsidRDefault="00DE4C07" w:rsidP="00DA040A">
      <w:pPr>
        <w:spacing w:after="120" w:line="240" w:lineRule="auto"/>
        <w:jc w:val="both"/>
      </w:pPr>
    </w:p>
    <w:p w14:paraId="63825846" w14:textId="47D8929B" w:rsidR="00A2520A" w:rsidRDefault="00CB0C59" w:rsidP="00DA040A">
      <w:pPr>
        <w:spacing w:after="120" w:line="240" w:lineRule="auto"/>
        <w:jc w:val="both"/>
      </w:pPr>
      <w:r w:rsidRPr="00A2520A">
        <w:t xml:space="preserve">Les critères d’éligibilité des </w:t>
      </w:r>
      <w:r w:rsidR="00DE4C07">
        <w:t>co</w:t>
      </w:r>
      <w:r w:rsidRPr="00A2520A">
        <w:t>demandeurs sont les suivants :</w:t>
      </w:r>
    </w:p>
    <w:p w14:paraId="300EE8BF" w14:textId="3ADDFEED" w:rsidR="00340734" w:rsidRPr="00A2520A" w:rsidRDefault="002764BE" w:rsidP="00DA040A">
      <w:pPr>
        <w:pStyle w:val="Paragraphedeliste"/>
        <w:numPr>
          <w:ilvl w:val="0"/>
          <w:numId w:val="12"/>
        </w:numPr>
        <w:spacing w:after="60" w:line="240" w:lineRule="auto"/>
        <w:ind w:left="357" w:hanging="357"/>
        <w:contextualSpacing w:val="0"/>
        <w:jc w:val="both"/>
      </w:pPr>
      <w:r w:rsidRPr="00A2520A">
        <w:t>Ê</w:t>
      </w:r>
      <w:r w:rsidR="000E2B44" w:rsidRPr="00A2520A">
        <w:t>tre une organisation non gouvernementale à but non lucratif</w:t>
      </w:r>
      <w:r w:rsidRPr="00A2520A">
        <w:t xml:space="preserve">, un </w:t>
      </w:r>
      <w:r w:rsidR="00BA63E7" w:rsidRPr="00A2520A">
        <w:t>groupement de professionnels</w:t>
      </w:r>
      <w:r w:rsidR="00881ED6">
        <w:t xml:space="preserve"> ou un entreprise </w:t>
      </w:r>
      <w:r w:rsidRPr="00A2520A">
        <w:t>;</w:t>
      </w:r>
    </w:p>
    <w:p w14:paraId="74B4FB24" w14:textId="36C13514" w:rsidR="00A2520A" w:rsidRDefault="002764BE" w:rsidP="00DA040A">
      <w:pPr>
        <w:pStyle w:val="Paragraphedeliste"/>
        <w:numPr>
          <w:ilvl w:val="0"/>
          <w:numId w:val="12"/>
        </w:numPr>
        <w:spacing w:after="60" w:line="240" w:lineRule="auto"/>
        <w:ind w:left="357" w:hanging="357"/>
        <w:contextualSpacing w:val="0"/>
        <w:jc w:val="both"/>
      </w:pPr>
      <w:r w:rsidRPr="00A2520A">
        <w:t>Ê</w:t>
      </w:r>
      <w:r w:rsidR="000E2B44" w:rsidRPr="00A2520A">
        <w:t xml:space="preserve">tre enregistré légalement depuis au moins </w:t>
      </w:r>
      <w:r w:rsidRPr="00A2520A">
        <w:t>deux</w:t>
      </w:r>
      <w:r w:rsidR="000E2B44" w:rsidRPr="00A2520A">
        <w:t xml:space="preserve"> ans au moment du dépôt de la demande ;</w:t>
      </w:r>
    </w:p>
    <w:p w14:paraId="2FCAA44D" w14:textId="0A200264" w:rsidR="00A2520A" w:rsidRDefault="00ED3BCE" w:rsidP="00DA040A">
      <w:pPr>
        <w:pStyle w:val="Paragraphedeliste"/>
        <w:numPr>
          <w:ilvl w:val="0"/>
          <w:numId w:val="12"/>
        </w:numPr>
        <w:spacing w:after="60" w:line="240" w:lineRule="auto"/>
        <w:ind w:left="357" w:hanging="357"/>
        <w:contextualSpacing w:val="0"/>
        <w:jc w:val="both"/>
      </w:pPr>
      <w:r w:rsidRPr="00A2520A">
        <w:t xml:space="preserve">Être établi </w:t>
      </w:r>
      <w:r w:rsidR="00881ED6">
        <w:t xml:space="preserve">en Tunisie ou </w:t>
      </w:r>
      <w:r w:rsidRPr="00A2520A">
        <w:t>dans un État membre de l’Union européenne</w:t>
      </w:r>
      <w:r w:rsidR="00881ED6">
        <w:t xml:space="preserve"> </w:t>
      </w:r>
      <w:r w:rsidR="0024545A">
        <w:t>;</w:t>
      </w:r>
      <w:r w:rsidR="0024545A" w:rsidRPr="00DA040A">
        <w:t xml:space="preserve"> </w:t>
      </w:r>
    </w:p>
    <w:p w14:paraId="6FF9C559" w14:textId="0CA8BF0D" w:rsidR="00166DA7" w:rsidRDefault="00166DA7" w:rsidP="00DA040A">
      <w:pPr>
        <w:pStyle w:val="Paragraphedeliste"/>
        <w:numPr>
          <w:ilvl w:val="0"/>
          <w:numId w:val="12"/>
        </w:numPr>
        <w:spacing w:after="120" w:line="240" w:lineRule="auto"/>
        <w:ind w:left="357" w:hanging="357"/>
        <w:contextualSpacing w:val="0"/>
        <w:jc w:val="both"/>
      </w:pPr>
      <w:r>
        <w:t>Fournir u</w:t>
      </w:r>
      <w:r w:rsidR="000E2B44" w:rsidRPr="00A2520A">
        <w:t xml:space="preserve">ne copie du dernier rapport </w:t>
      </w:r>
      <w:r>
        <w:t xml:space="preserve">d’activités </w:t>
      </w:r>
      <w:r w:rsidR="000E2B44" w:rsidRPr="00A2520A">
        <w:t xml:space="preserve">de l’organisation, ou </w:t>
      </w:r>
      <w:r>
        <w:t>l</w:t>
      </w:r>
      <w:r w:rsidR="000E2B44" w:rsidRPr="00A2520A">
        <w:t>es états financiers les plus récents de l’</w:t>
      </w:r>
      <w:r>
        <w:t xml:space="preserve">entreprise </w:t>
      </w:r>
      <w:r w:rsidR="000E2B44" w:rsidRPr="00A2520A">
        <w:t>: comptes clos certifiés</w:t>
      </w:r>
      <w:r w:rsidR="00641BCF" w:rsidRPr="00A2520A">
        <w:t xml:space="preserve"> </w:t>
      </w:r>
      <w:r w:rsidR="000E2B44" w:rsidRPr="00A2520A">
        <w:t>20</w:t>
      </w:r>
      <w:r w:rsidR="00742089" w:rsidRPr="00A2520A">
        <w:t>2</w:t>
      </w:r>
      <w:r>
        <w:t>1</w:t>
      </w:r>
      <w:r w:rsidR="000E2B44" w:rsidRPr="00A2520A">
        <w:t xml:space="preserve"> et 20</w:t>
      </w:r>
      <w:r w:rsidR="00742089" w:rsidRPr="00A2520A">
        <w:t>2</w:t>
      </w:r>
      <w:r>
        <w:t xml:space="preserve">2 ou 2022 et 2023. </w:t>
      </w:r>
    </w:p>
    <w:p w14:paraId="6378F776" w14:textId="77777777" w:rsidR="00DA040A" w:rsidRPr="00DA040A" w:rsidRDefault="00DA040A" w:rsidP="00DA040A">
      <w:pPr>
        <w:keepNext/>
        <w:spacing w:after="120" w:line="240" w:lineRule="auto"/>
        <w:rPr>
          <w:b/>
          <w:color w:val="000000" w:themeColor="text1"/>
        </w:rPr>
      </w:pPr>
      <w:r w:rsidRPr="00DA040A">
        <w:rPr>
          <w:b/>
          <w:color w:val="000000" w:themeColor="text1"/>
        </w:rPr>
        <w:t>Si le codemandeur ne satisfait pas à ces critères d’éligibilité, la demande ne sera pas étudiée.</w:t>
      </w:r>
    </w:p>
    <w:p w14:paraId="3A54D4EA" w14:textId="77777777" w:rsidR="00DA040A" w:rsidRDefault="00DA040A" w:rsidP="00DA040A">
      <w:pPr>
        <w:pStyle w:val="Paragraphedeliste"/>
        <w:spacing w:after="120" w:line="240" w:lineRule="auto"/>
        <w:ind w:left="357"/>
        <w:contextualSpacing w:val="0"/>
        <w:jc w:val="both"/>
      </w:pPr>
    </w:p>
    <w:p w14:paraId="1690BCD3" w14:textId="40BCB16B" w:rsidR="00A2520A" w:rsidRDefault="000E2B44" w:rsidP="00DA040A">
      <w:pPr>
        <w:spacing w:after="120" w:line="240" w:lineRule="auto"/>
        <w:jc w:val="both"/>
      </w:pPr>
      <w:r w:rsidRPr="00317FBC">
        <w:t xml:space="preserve">Toute expérience préalable et expertise prouvée </w:t>
      </w:r>
      <w:r w:rsidR="00DA040A">
        <w:t xml:space="preserve">des codemandeurs </w:t>
      </w:r>
      <w:r w:rsidRPr="00317FBC">
        <w:t>dans le domaine de l</w:t>
      </w:r>
      <w:r w:rsidR="00742089" w:rsidRPr="00317FBC">
        <w:t>a formation professionnelle et de l</w:t>
      </w:r>
      <w:r w:rsidRPr="00317FBC">
        <w:t>’accompagnement à</w:t>
      </w:r>
      <w:r w:rsidR="00742089" w:rsidRPr="00317FBC">
        <w:t xml:space="preserve"> l’emploi</w:t>
      </w:r>
      <w:r w:rsidRPr="00317FBC">
        <w:t xml:space="preserve"> doit être présentée dans le formulaire de demande (voir</w:t>
      </w:r>
      <w:r w:rsidR="00153BEA" w:rsidRPr="00317FBC">
        <w:t xml:space="preserve"> </w:t>
      </w:r>
      <w:r w:rsidR="00974F34">
        <w:t xml:space="preserve">Annexe A </w:t>
      </w:r>
      <w:r w:rsidRPr="00317FBC">
        <w:t>; maximum 1 page).</w:t>
      </w:r>
    </w:p>
    <w:p w14:paraId="668C2638" w14:textId="21EF3A80" w:rsidR="005C6ABB" w:rsidRDefault="000E2B44" w:rsidP="00DA040A">
      <w:pPr>
        <w:spacing w:after="120" w:line="240" w:lineRule="auto"/>
        <w:jc w:val="both"/>
        <w:rPr>
          <w:rStyle w:val="Lienhypertexte"/>
        </w:rPr>
      </w:pPr>
      <w:r w:rsidRPr="0023723C">
        <w:t xml:space="preserve">Aucun </w:t>
      </w:r>
      <w:r w:rsidR="00DA040A">
        <w:t>co</w:t>
      </w:r>
      <w:r w:rsidRPr="0023723C">
        <w:t>demandeur ne peut participer à l’appel à projet s'il se trouve dans une des situations</w:t>
      </w:r>
      <w:r w:rsidR="00641BCF" w:rsidRPr="0023723C">
        <w:t xml:space="preserve"> </w:t>
      </w:r>
      <w:r w:rsidRPr="0023723C">
        <w:t xml:space="preserve">mentionnées à l’article </w:t>
      </w:r>
      <w:r w:rsidR="00955B47" w:rsidRPr="0023723C">
        <w:t>2.</w:t>
      </w:r>
      <w:r w:rsidR="002F36EC" w:rsidRPr="0023723C">
        <w:t>6.10</w:t>
      </w:r>
      <w:r w:rsidR="007A1259">
        <w:t xml:space="preserve"> des </w:t>
      </w:r>
      <w:r w:rsidR="00D96B0D">
        <w:t>c</w:t>
      </w:r>
      <w:r w:rsidRPr="0023723C">
        <w:t xml:space="preserve">onditions générales </w:t>
      </w:r>
      <w:r w:rsidR="007A1259">
        <w:t xml:space="preserve">précisées dans le Guide pratique des procédures contractuelles applicables à l’action extérieure de l’Union européenne </w:t>
      </w:r>
      <w:r w:rsidRPr="0023723C">
        <w:t>:</w:t>
      </w:r>
      <w:r w:rsidR="00BA63E7" w:rsidRPr="0023723C">
        <w:t xml:space="preserve"> </w:t>
      </w:r>
      <w:hyperlink r:id="rId12" w:history="1">
        <w:r w:rsidR="007A1259" w:rsidRPr="00200CE6">
          <w:rPr>
            <w:rStyle w:val="Lienhypertexte"/>
          </w:rPr>
          <w:t>https://wikis.ec.europa.eu/display/ExactExternalWikiFR/ePRAG</w:t>
        </w:r>
      </w:hyperlink>
      <w:r w:rsidR="007A1259">
        <w:t xml:space="preserve"> </w:t>
      </w:r>
    </w:p>
    <w:p w14:paraId="74A618BA" w14:textId="6E54C095" w:rsidR="005C6ABB" w:rsidRDefault="00ED3BCE" w:rsidP="00DA040A">
      <w:pPr>
        <w:spacing w:after="120" w:line="240" w:lineRule="auto"/>
        <w:jc w:val="both"/>
        <w:rPr>
          <w:rStyle w:val="Lienhypertexte"/>
        </w:rPr>
      </w:pPr>
      <w:r>
        <w:rPr>
          <w:color w:val="000000" w:themeColor="text1"/>
        </w:rPr>
        <w:t xml:space="preserve">Les subventions </w:t>
      </w:r>
      <w:r w:rsidRPr="0023723C">
        <w:rPr>
          <w:color w:val="000000" w:themeColor="text1"/>
        </w:rPr>
        <w:t>ne seront attribuées qu’après vérification du statut d</w:t>
      </w:r>
      <w:r w:rsidR="00166DA7">
        <w:rPr>
          <w:color w:val="000000" w:themeColor="text1"/>
        </w:rPr>
        <w:t>es co</w:t>
      </w:r>
      <w:r w:rsidRPr="0023723C">
        <w:rPr>
          <w:color w:val="000000" w:themeColor="text1"/>
        </w:rPr>
        <w:t>demandeur</w:t>
      </w:r>
      <w:r w:rsidR="00166DA7">
        <w:rPr>
          <w:color w:val="000000" w:themeColor="text1"/>
        </w:rPr>
        <w:t>s</w:t>
      </w:r>
      <w:r w:rsidRPr="0023723C">
        <w:rPr>
          <w:color w:val="000000" w:themeColor="text1"/>
        </w:rPr>
        <w:t xml:space="preserve"> dans la base de données </w:t>
      </w:r>
      <w:proofErr w:type="spellStart"/>
      <w:r w:rsidRPr="0023723C">
        <w:rPr>
          <w:color w:val="000000" w:themeColor="text1"/>
        </w:rPr>
        <w:t>Early</w:t>
      </w:r>
      <w:proofErr w:type="spellEnd"/>
      <w:r w:rsidRPr="0023723C">
        <w:rPr>
          <w:color w:val="000000" w:themeColor="text1"/>
        </w:rPr>
        <w:t xml:space="preserve"> </w:t>
      </w:r>
      <w:proofErr w:type="spellStart"/>
      <w:r w:rsidRPr="0023723C">
        <w:rPr>
          <w:color w:val="000000" w:themeColor="text1"/>
        </w:rPr>
        <w:t>Detection</w:t>
      </w:r>
      <w:proofErr w:type="spellEnd"/>
      <w:r w:rsidRPr="0023723C">
        <w:rPr>
          <w:color w:val="000000" w:themeColor="text1"/>
        </w:rPr>
        <w:t xml:space="preserve"> and Exclusion System. La présentation d’EDES est disponible en suivant le</w:t>
      </w:r>
      <w:r>
        <w:rPr>
          <w:color w:val="000000" w:themeColor="text1"/>
        </w:rPr>
        <w:t xml:space="preserve"> </w:t>
      </w:r>
      <w:r w:rsidRPr="0023723C">
        <w:rPr>
          <w:color w:val="000000" w:themeColor="text1"/>
        </w:rPr>
        <w:t>lien :</w:t>
      </w:r>
      <w:hyperlink r:id="rId13" w:history="1">
        <w:r w:rsidR="00B911E9" w:rsidRPr="008B3D8E">
          <w:rPr>
            <w:rStyle w:val="Lienhypertexte"/>
          </w:rPr>
          <w:t>https://commission.europa.eu/strategy-and-policy/eu-budget/how-it-works/annual-lifecycle/implementation/anti-fraud-measures/edes_fr</w:t>
        </w:r>
      </w:hyperlink>
      <w:r w:rsidR="0024545A">
        <w:rPr>
          <w:color w:val="000000" w:themeColor="text1"/>
        </w:rPr>
        <w:t xml:space="preserve"> </w:t>
      </w:r>
    </w:p>
    <w:p w14:paraId="3F3FF107" w14:textId="77777777" w:rsidR="00DA040A" w:rsidRDefault="000E2B44" w:rsidP="00DA040A">
      <w:pPr>
        <w:spacing w:after="120" w:line="240" w:lineRule="auto"/>
        <w:jc w:val="both"/>
      </w:pPr>
      <w:r w:rsidRPr="000D02F5">
        <w:lastRenderedPageBreak/>
        <w:t xml:space="preserve">Les </w:t>
      </w:r>
      <w:r w:rsidR="00DA040A">
        <w:t>co</w:t>
      </w:r>
      <w:r w:rsidRPr="000D02F5">
        <w:t xml:space="preserve">demandeurs </w:t>
      </w:r>
      <w:r w:rsidR="00153BEA" w:rsidRPr="000D02F5">
        <w:t>qui ne sont pas établis en Tunisie</w:t>
      </w:r>
      <w:r w:rsidRPr="000D02F5">
        <w:t xml:space="preserve"> devront démontrer que leur expérience apporte une valeur</w:t>
      </w:r>
      <w:r w:rsidR="00153BEA" w:rsidRPr="000D02F5">
        <w:t xml:space="preserve"> </w:t>
      </w:r>
      <w:r w:rsidRPr="000D02F5">
        <w:t>ajoutée au projet, que leur action (i) répond à une demande et à des besoins</w:t>
      </w:r>
      <w:r w:rsidR="000D02F5" w:rsidRPr="000D02F5">
        <w:t xml:space="preserve"> </w:t>
      </w:r>
      <w:r w:rsidR="00641BCF" w:rsidRPr="000D02F5">
        <w:t>i</w:t>
      </w:r>
      <w:r w:rsidRPr="000D02F5">
        <w:t>dentifiés au</w:t>
      </w:r>
      <w:r w:rsidR="00153BEA" w:rsidRPr="000D02F5">
        <w:t xml:space="preserve"> </w:t>
      </w:r>
      <w:r w:rsidRPr="000D02F5">
        <w:t>niveau local et (ii) inclut un soutien actif aux partenaires locaux (renforcement des</w:t>
      </w:r>
      <w:r w:rsidR="00641BCF" w:rsidRPr="000D02F5">
        <w:t xml:space="preserve"> </w:t>
      </w:r>
      <w:r w:rsidRPr="000D02F5">
        <w:t xml:space="preserve">capacités, transfert de compétences). </w:t>
      </w:r>
    </w:p>
    <w:p w14:paraId="7C7E92D7" w14:textId="77777777" w:rsidR="00DA040A" w:rsidRDefault="000E2B44" w:rsidP="00DA040A">
      <w:pPr>
        <w:spacing w:after="120" w:line="240" w:lineRule="auto"/>
        <w:jc w:val="both"/>
      </w:pPr>
      <w:r w:rsidRPr="000D02F5">
        <w:t>Le demandeur doit s’assurer que la structure locale</w:t>
      </w:r>
      <w:r w:rsidR="00153BEA" w:rsidRPr="000D02F5">
        <w:t xml:space="preserve"> </w:t>
      </w:r>
      <w:r w:rsidRPr="000D02F5">
        <w:t>avec laquelle il est en partenariat respecte les mêmes règles d’éligibilité du présent appel.</w:t>
      </w:r>
      <w:r w:rsidR="00A764FC">
        <w:t xml:space="preserve"> </w:t>
      </w:r>
      <w:r w:rsidRPr="000D02F5">
        <w:t>Si la subvention lui est attribuée, le demandeur devient le bénéficiaire identifié comme le</w:t>
      </w:r>
      <w:r w:rsidR="00641BCF" w:rsidRPr="000D02F5">
        <w:t xml:space="preserve"> </w:t>
      </w:r>
      <w:r w:rsidRPr="000D02F5">
        <w:t>coordinateur et est l’interlocuteur principal de l’autorité contractante. Il représente les</w:t>
      </w:r>
      <w:r w:rsidR="00641BCF" w:rsidRPr="000D02F5">
        <w:t xml:space="preserve"> </w:t>
      </w:r>
      <w:r w:rsidRPr="000D02F5">
        <w:t>éventuels autres bénéficiaires et agit en leur nom, il conçoit et coordonne l’action.</w:t>
      </w:r>
    </w:p>
    <w:p w14:paraId="4C7CEB00" w14:textId="77777777" w:rsidR="00DA040A" w:rsidRPr="00524717" w:rsidRDefault="00DA040A" w:rsidP="00DA040A">
      <w:pPr>
        <w:spacing w:after="120" w:line="240" w:lineRule="auto"/>
        <w:jc w:val="both"/>
        <w:rPr>
          <w:b/>
          <w:bCs/>
          <w:color w:val="05ADA0"/>
          <w:spacing w:val="20"/>
          <w:sz w:val="28"/>
          <w:szCs w:val="28"/>
        </w:rPr>
      </w:pPr>
    </w:p>
    <w:p w14:paraId="4CB2F491" w14:textId="77777777" w:rsidR="00DA040A" w:rsidRPr="00524717" w:rsidRDefault="000E2B44" w:rsidP="00524717">
      <w:pPr>
        <w:pStyle w:val="Paragraphedeliste"/>
        <w:keepNext/>
        <w:keepLines/>
        <w:numPr>
          <w:ilvl w:val="0"/>
          <w:numId w:val="8"/>
        </w:numPr>
        <w:spacing w:before="200" w:after="120"/>
        <w:outlineLvl w:val="1"/>
        <w:rPr>
          <w:b/>
          <w:bCs/>
          <w:color w:val="05ADA0"/>
          <w:spacing w:val="20"/>
          <w:sz w:val="28"/>
          <w:szCs w:val="28"/>
        </w:rPr>
      </w:pPr>
      <w:r w:rsidRPr="00524717">
        <w:rPr>
          <w:b/>
          <w:bCs/>
          <w:color w:val="05ADA0"/>
          <w:spacing w:val="20"/>
          <w:sz w:val="28"/>
          <w:szCs w:val="28"/>
        </w:rPr>
        <w:t>Eligibilité des actions</w:t>
      </w:r>
    </w:p>
    <w:p w14:paraId="4472C0CC" w14:textId="77777777" w:rsidR="00DA040A" w:rsidRDefault="000E2B44" w:rsidP="00524717">
      <w:pPr>
        <w:spacing w:after="60"/>
        <w:rPr>
          <w:b/>
          <w:color w:val="05ADA0"/>
        </w:rPr>
      </w:pPr>
      <w:r w:rsidRPr="00F84DA2">
        <w:rPr>
          <w:b/>
          <w:color w:val="05ADA0"/>
        </w:rPr>
        <w:t>Durée</w:t>
      </w:r>
    </w:p>
    <w:p w14:paraId="3B768A07" w14:textId="015B2D87" w:rsidR="000E2B44" w:rsidRDefault="000E2B44" w:rsidP="00524717">
      <w:pPr>
        <w:spacing w:after="60" w:line="240" w:lineRule="auto"/>
        <w:jc w:val="both"/>
      </w:pPr>
      <w:r w:rsidRPr="00F84DA2">
        <w:t xml:space="preserve">La durée d’une action ne pourra être inférieure à </w:t>
      </w:r>
      <w:r w:rsidR="00A42150">
        <w:t>3</w:t>
      </w:r>
      <w:r w:rsidRPr="00F84DA2">
        <w:t xml:space="preserve"> mois ni excéder une période de 1</w:t>
      </w:r>
      <w:r w:rsidR="00A42150">
        <w:t>2</w:t>
      </w:r>
      <w:r w:rsidRPr="00F84DA2">
        <w:t xml:space="preserve"> mois, sauf</w:t>
      </w:r>
      <w:r w:rsidR="005A35F2" w:rsidRPr="00F84DA2">
        <w:t xml:space="preserve"> </w:t>
      </w:r>
      <w:r w:rsidRPr="00F84DA2">
        <w:t xml:space="preserve">en cas d’avenant. L’action devra démarrer dès la signature du contrat avec l’OFII </w:t>
      </w:r>
      <w:r w:rsidR="005A35F2" w:rsidRPr="00F84DA2">
        <w:t xml:space="preserve">et </w:t>
      </w:r>
      <w:r w:rsidRPr="00F84DA2">
        <w:t>respecter le calendrier du projet THAMM OFII.</w:t>
      </w:r>
    </w:p>
    <w:p w14:paraId="6CDA4188" w14:textId="77777777" w:rsidR="00524717" w:rsidRDefault="00524717" w:rsidP="00524717">
      <w:pPr>
        <w:spacing w:after="60" w:line="240" w:lineRule="auto"/>
        <w:jc w:val="both"/>
      </w:pPr>
    </w:p>
    <w:p w14:paraId="188B1C60" w14:textId="77777777" w:rsidR="000E2B44" w:rsidRPr="00F84DA2" w:rsidRDefault="000E2B44" w:rsidP="00524717">
      <w:pPr>
        <w:spacing w:after="60" w:line="240" w:lineRule="auto"/>
        <w:jc w:val="both"/>
        <w:rPr>
          <w:b/>
          <w:color w:val="05ADA0"/>
        </w:rPr>
      </w:pPr>
      <w:r w:rsidRPr="00F84DA2">
        <w:rPr>
          <w:b/>
          <w:color w:val="05ADA0"/>
        </w:rPr>
        <w:t>Couverture géographique</w:t>
      </w:r>
    </w:p>
    <w:p w14:paraId="56314755" w14:textId="1038A93B" w:rsidR="000E2B44" w:rsidRDefault="000E2B44" w:rsidP="00524717">
      <w:pPr>
        <w:spacing w:after="60" w:line="240" w:lineRule="auto"/>
        <w:jc w:val="both"/>
      </w:pPr>
      <w:r w:rsidRPr="00F84DA2">
        <w:t>Les actions devront principalement être mises en œuvre en Tunisie</w:t>
      </w:r>
      <w:r w:rsidR="00ED5A2D">
        <w:t>.</w:t>
      </w:r>
    </w:p>
    <w:p w14:paraId="0C10F5C5" w14:textId="77777777" w:rsidR="00524717" w:rsidRPr="00F84DA2" w:rsidRDefault="00524717" w:rsidP="00524717">
      <w:pPr>
        <w:spacing w:after="60" w:line="240" w:lineRule="auto"/>
        <w:jc w:val="both"/>
      </w:pPr>
    </w:p>
    <w:p w14:paraId="3B8A66AA" w14:textId="77777777" w:rsidR="000E2B44" w:rsidRPr="00F84DA2" w:rsidRDefault="000E2B44" w:rsidP="00524717">
      <w:pPr>
        <w:spacing w:after="60" w:line="240" w:lineRule="auto"/>
        <w:jc w:val="both"/>
        <w:rPr>
          <w:b/>
          <w:color w:val="05ADA0"/>
        </w:rPr>
      </w:pPr>
      <w:r w:rsidRPr="00F84DA2">
        <w:rPr>
          <w:b/>
          <w:color w:val="05ADA0"/>
        </w:rPr>
        <w:t>Types d’action</w:t>
      </w:r>
    </w:p>
    <w:p w14:paraId="7DA1E135" w14:textId="7330D8C4" w:rsidR="001B274C" w:rsidRPr="00F84DA2" w:rsidRDefault="001B274C" w:rsidP="00524717">
      <w:pPr>
        <w:spacing w:after="60" w:line="240" w:lineRule="auto"/>
        <w:jc w:val="both"/>
      </w:pPr>
      <w:r w:rsidRPr="00F84DA2">
        <w:t xml:space="preserve">Les actions proposées seront cohérentes avec les priorités identifiées dans le présent appel à propositions. Elles devront respecter les directives fixées dans les sections 1 à 4 de la rubrique II.  </w:t>
      </w:r>
      <w:r w:rsidR="000E2B44" w:rsidRPr="00F84DA2">
        <w:t xml:space="preserve"> </w:t>
      </w:r>
    </w:p>
    <w:p w14:paraId="2B70B7CD" w14:textId="370BA53A" w:rsidR="000E2B44" w:rsidRDefault="000E2B44" w:rsidP="00524717">
      <w:pPr>
        <w:spacing w:after="60" w:line="240" w:lineRule="auto"/>
        <w:jc w:val="both"/>
      </w:pPr>
      <w:r w:rsidRPr="00F84DA2">
        <w:t>Une action doit</w:t>
      </w:r>
      <w:r w:rsidR="00992926" w:rsidRPr="00F84DA2">
        <w:t xml:space="preserve"> </w:t>
      </w:r>
      <w:r w:rsidRPr="00F84DA2">
        <w:t>être décrite comme un ensemble lisible et cohérent d’activités conçues pour répondre aux besoins</w:t>
      </w:r>
      <w:r w:rsidR="00992926" w:rsidRPr="00F84DA2">
        <w:t xml:space="preserve"> </w:t>
      </w:r>
      <w:r w:rsidRPr="00F84DA2">
        <w:t>spécifiques des groupes cibles et atteindre des objectifs particuliers dans un délai limité. Par</w:t>
      </w:r>
      <w:r w:rsidR="00992926" w:rsidRPr="00F84DA2">
        <w:t xml:space="preserve"> </w:t>
      </w:r>
      <w:r w:rsidRPr="00F84DA2">
        <w:t xml:space="preserve">conséquent, le projet suppose la mise en œuvre d’une action nouvelle, ou l’élargissement </w:t>
      </w:r>
      <w:r w:rsidR="00F41D8F">
        <w:t xml:space="preserve">des </w:t>
      </w:r>
      <w:r w:rsidRPr="00F84DA2">
        <w:t>activités d’une action en cours à d’autres sujets ou d’autres situations. Des indicateurs de</w:t>
      </w:r>
      <w:r w:rsidR="00992926" w:rsidRPr="00F84DA2">
        <w:t xml:space="preserve"> </w:t>
      </w:r>
      <w:r w:rsidRPr="00F84DA2">
        <w:t xml:space="preserve">performance mesurables et vérifiables devront être proposés par le </w:t>
      </w:r>
      <w:r w:rsidR="0043404E" w:rsidRPr="00F84DA2">
        <w:t>demandeur.</w:t>
      </w:r>
    </w:p>
    <w:p w14:paraId="01B147AF" w14:textId="77777777" w:rsidR="00524717" w:rsidRPr="00F84DA2" w:rsidRDefault="00524717" w:rsidP="00524717">
      <w:pPr>
        <w:spacing w:after="60" w:line="240" w:lineRule="auto"/>
        <w:jc w:val="both"/>
      </w:pPr>
    </w:p>
    <w:p w14:paraId="6C726A05" w14:textId="77777777" w:rsidR="00F84DA2" w:rsidRPr="00F84DA2" w:rsidRDefault="000E2B44" w:rsidP="00524717">
      <w:pPr>
        <w:spacing w:after="60" w:line="240" w:lineRule="auto"/>
        <w:jc w:val="both"/>
        <w:rPr>
          <w:b/>
          <w:color w:val="05ADA0"/>
        </w:rPr>
      </w:pPr>
      <w:r w:rsidRPr="00F84DA2">
        <w:rPr>
          <w:b/>
          <w:color w:val="05ADA0"/>
        </w:rPr>
        <w:t>Les types d’action suivants ne sont pas éligibles :</w:t>
      </w:r>
    </w:p>
    <w:p w14:paraId="00BC9A3B" w14:textId="4B39F129" w:rsidR="00316810" w:rsidRPr="00316810" w:rsidRDefault="00316810" w:rsidP="00524717">
      <w:pPr>
        <w:pStyle w:val="Paragraphedeliste"/>
        <w:numPr>
          <w:ilvl w:val="0"/>
          <w:numId w:val="3"/>
        </w:numPr>
        <w:spacing w:after="0" w:line="240" w:lineRule="auto"/>
        <w:ind w:left="357" w:hanging="357"/>
        <w:contextualSpacing w:val="0"/>
        <w:jc w:val="both"/>
      </w:pPr>
      <w:r w:rsidRPr="00316810">
        <w:t xml:space="preserve">Actions dont les </w:t>
      </w:r>
      <w:r w:rsidR="00ED5A2D">
        <w:t>étudiants</w:t>
      </w:r>
      <w:r w:rsidRPr="00316810">
        <w:t xml:space="preserve"> ne seraient pas les bénéficiaires directs ou indirects ; </w:t>
      </w:r>
    </w:p>
    <w:p w14:paraId="0F2D6CCC" w14:textId="4B8E83A9" w:rsidR="000E2B44" w:rsidRPr="00316810" w:rsidRDefault="001B274C" w:rsidP="00524717">
      <w:pPr>
        <w:pStyle w:val="Paragraphedeliste"/>
        <w:numPr>
          <w:ilvl w:val="0"/>
          <w:numId w:val="3"/>
        </w:numPr>
        <w:spacing w:after="0" w:line="240" w:lineRule="auto"/>
        <w:ind w:left="357" w:hanging="357"/>
        <w:contextualSpacing w:val="0"/>
        <w:jc w:val="both"/>
      </w:pPr>
      <w:r w:rsidRPr="00316810">
        <w:t>A</w:t>
      </w:r>
      <w:r w:rsidR="000E2B44" w:rsidRPr="00316810">
        <w:t>ctions consistant à financer des entreprises individuelles</w:t>
      </w:r>
      <w:r w:rsidRPr="00316810">
        <w:t> ;</w:t>
      </w:r>
    </w:p>
    <w:p w14:paraId="6196B55B" w14:textId="6D19869C" w:rsidR="000E2B44" w:rsidRPr="00316810" w:rsidRDefault="000C7B6D" w:rsidP="00524717">
      <w:pPr>
        <w:pStyle w:val="Paragraphedeliste"/>
        <w:numPr>
          <w:ilvl w:val="0"/>
          <w:numId w:val="3"/>
        </w:numPr>
        <w:spacing w:after="0" w:line="240" w:lineRule="auto"/>
        <w:ind w:left="357" w:hanging="357"/>
        <w:contextualSpacing w:val="0"/>
        <w:jc w:val="both"/>
      </w:pPr>
      <w:r w:rsidRPr="00316810">
        <w:t>Actions consistant</w:t>
      </w:r>
      <w:r w:rsidR="000E2B44" w:rsidRPr="00316810">
        <w:t xml:space="preserve"> exclusivement ou prioritairement en dépenses en capital, par ex. l’achat</w:t>
      </w:r>
      <w:r w:rsidR="00F84DA2">
        <w:t xml:space="preserve"> </w:t>
      </w:r>
      <w:r w:rsidR="000E2B44" w:rsidRPr="00316810">
        <w:t>de terrains, de bâtiments, d’équipements et de véhicules ;</w:t>
      </w:r>
    </w:p>
    <w:p w14:paraId="5313F0BB" w14:textId="590A5832" w:rsidR="000E2B44" w:rsidRPr="00316810" w:rsidRDefault="000C7B6D" w:rsidP="00524717">
      <w:pPr>
        <w:pStyle w:val="Paragraphedeliste"/>
        <w:numPr>
          <w:ilvl w:val="0"/>
          <w:numId w:val="3"/>
        </w:numPr>
        <w:spacing w:after="0" w:line="240" w:lineRule="auto"/>
        <w:ind w:left="357" w:hanging="357"/>
        <w:contextualSpacing w:val="0"/>
        <w:jc w:val="both"/>
      </w:pPr>
      <w:r w:rsidRPr="00316810">
        <w:t>Actions consistant</w:t>
      </w:r>
      <w:r w:rsidR="000E2B44" w:rsidRPr="00316810">
        <w:t xml:space="preserve"> exclusivement ou prioritairement en l’achat de petits équipements ou</w:t>
      </w:r>
      <w:r w:rsidR="00316810" w:rsidRPr="00316810">
        <w:t xml:space="preserve"> </w:t>
      </w:r>
      <w:r w:rsidR="000E2B44" w:rsidRPr="00316810">
        <w:t>intrants</w:t>
      </w:r>
      <w:r w:rsidR="00F84DA2">
        <w:t> </w:t>
      </w:r>
      <w:r w:rsidR="000E2B44" w:rsidRPr="00316810">
        <w:t>;</w:t>
      </w:r>
    </w:p>
    <w:p w14:paraId="6F5C7595" w14:textId="6A14C6EF" w:rsidR="00316810" w:rsidRPr="00316810" w:rsidRDefault="000C7B6D" w:rsidP="00524717">
      <w:pPr>
        <w:pStyle w:val="Paragraphedeliste"/>
        <w:numPr>
          <w:ilvl w:val="0"/>
          <w:numId w:val="3"/>
        </w:numPr>
        <w:spacing w:after="0" w:line="240" w:lineRule="auto"/>
        <w:ind w:left="357" w:hanging="357"/>
        <w:contextualSpacing w:val="0"/>
        <w:jc w:val="both"/>
      </w:pPr>
      <w:r>
        <w:t>A</w:t>
      </w:r>
      <w:r w:rsidRPr="00316810">
        <w:t>ctions soutenant</w:t>
      </w:r>
      <w:r w:rsidR="00316810" w:rsidRPr="00316810">
        <w:t xml:space="preserve"> financièrement et/ou politiquement des partis politiques</w:t>
      </w:r>
      <w:r w:rsidR="00524717">
        <w:t xml:space="preserve"> ou</w:t>
      </w:r>
      <w:r w:rsidR="00316810" w:rsidRPr="00316810">
        <w:t xml:space="preserve"> groupes religieux ; </w:t>
      </w:r>
    </w:p>
    <w:p w14:paraId="4917D867" w14:textId="4DAAF539" w:rsidR="00316810" w:rsidRPr="00316810" w:rsidRDefault="00316810" w:rsidP="00524717">
      <w:pPr>
        <w:pStyle w:val="Paragraphedeliste"/>
        <w:numPr>
          <w:ilvl w:val="0"/>
          <w:numId w:val="3"/>
        </w:numPr>
        <w:spacing w:after="0" w:line="240" w:lineRule="auto"/>
        <w:ind w:left="357" w:hanging="357"/>
        <w:contextualSpacing w:val="0"/>
        <w:jc w:val="both"/>
      </w:pPr>
      <w:r>
        <w:t>A</w:t>
      </w:r>
      <w:r w:rsidRPr="00316810">
        <w:t xml:space="preserve">ctions incluant des aspects de prosélytisme religieux ou politique ; </w:t>
      </w:r>
    </w:p>
    <w:p w14:paraId="32D5CA40" w14:textId="1F1EF7E6" w:rsidR="00316810" w:rsidRDefault="00316810" w:rsidP="00524717">
      <w:pPr>
        <w:pStyle w:val="Paragraphedeliste"/>
        <w:numPr>
          <w:ilvl w:val="0"/>
          <w:numId w:val="3"/>
        </w:numPr>
        <w:spacing w:after="60" w:line="240" w:lineRule="auto"/>
        <w:ind w:left="357" w:hanging="357"/>
        <w:contextualSpacing w:val="0"/>
        <w:jc w:val="both"/>
      </w:pPr>
      <w:r>
        <w:t>A</w:t>
      </w:r>
      <w:r w:rsidRPr="00316810">
        <w:t>ctions incluant des aspects de discrimination.</w:t>
      </w:r>
    </w:p>
    <w:p w14:paraId="424EB32A" w14:textId="77777777" w:rsidR="0060067B" w:rsidRDefault="0060067B" w:rsidP="00F41D8F">
      <w:pPr>
        <w:pStyle w:val="Paragraphedeliste"/>
        <w:keepNext/>
        <w:spacing w:after="120" w:line="240" w:lineRule="auto"/>
        <w:ind w:left="357"/>
        <w:jc w:val="both"/>
      </w:pPr>
    </w:p>
    <w:p w14:paraId="5101A9D0" w14:textId="77777777" w:rsidR="00F84DA2" w:rsidRPr="00316810" w:rsidRDefault="00F84DA2" w:rsidP="00F41D8F">
      <w:pPr>
        <w:pStyle w:val="Paragraphedeliste"/>
        <w:keepNext/>
        <w:spacing w:after="120" w:line="240" w:lineRule="auto"/>
        <w:ind w:left="357"/>
      </w:pPr>
    </w:p>
    <w:p w14:paraId="12393315" w14:textId="7D32BB8A" w:rsidR="000E2B44" w:rsidRPr="00316810" w:rsidRDefault="000E2B44" w:rsidP="00A04B06">
      <w:pPr>
        <w:pStyle w:val="Paragraphedeliste"/>
        <w:keepNext/>
        <w:keepLines/>
        <w:numPr>
          <w:ilvl w:val="0"/>
          <w:numId w:val="8"/>
        </w:numPr>
        <w:spacing w:before="200" w:after="120"/>
        <w:outlineLvl w:val="1"/>
        <w:rPr>
          <w:b/>
          <w:bCs/>
          <w:color w:val="05ADA0"/>
          <w:spacing w:val="20"/>
          <w:sz w:val="28"/>
          <w:szCs w:val="28"/>
        </w:rPr>
      </w:pPr>
      <w:r w:rsidRPr="00316810">
        <w:rPr>
          <w:b/>
          <w:bCs/>
          <w:color w:val="05ADA0"/>
          <w:spacing w:val="20"/>
          <w:sz w:val="28"/>
          <w:szCs w:val="28"/>
        </w:rPr>
        <w:t>Eligibilité des coûts</w:t>
      </w:r>
    </w:p>
    <w:p w14:paraId="6502B4CB" w14:textId="77777777" w:rsidR="00316810" w:rsidRPr="00CA13FD" w:rsidRDefault="00316810" w:rsidP="00F41D8F">
      <w:pPr>
        <w:keepNext/>
        <w:spacing w:after="120" w:line="240" w:lineRule="auto"/>
        <w:jc w:val="both"/>
        <w:rPr>
          <w:b/>
          <w:color w:val="05ADA0"/>
        </w:rPr>
      </w:pPr>
      <w:r w:rsidRPr="00CA13FD">
        <w:rPr>
          <w:b/>
          <w:color w:val="05ADA0"/>
        </w:rPr>
        <w:t xml:space="preserve">Coûts inéligibles </w:t>
      </w:r>
    </w:p>
    <w:p w14:paraId="33DEC1B7" w14:textId="77777777" w:rsidR="00316810" w:rsidRPr="001A0B9A" w:rsidRDefault="00316810" w:rsidP="00A04B06">
      <w:pPr>
        <w:pStyle w:val="Paragraphedeliste"/>
        <w:numPr>
          <w:ilvl w:val="0"/>
          <w:numId w:val="6"/>
        </w:numPr>
        <w:spacing w:after="120" w:line="240" w:lineRule="auto"/>
        <w:ind w:left="357" w:hanging="357"/>
        <w:jc w:val="both"/>
      </w:pPr>
      <w:r w:rsidRPr="001A0B9A">
        <w:t xml:space="preserve">les dettes et les intérêts qui en découlent ; </w:t>
      </w:r>
    </w:p>
    <w:p w14:paraId="03BA4786" w14:textId="77777777" w:rsidR="00316810" w:rsidRPr="001A0B9A" w:rsidRDefault="00316810" w:rsidP="00A04B06">
      <w:pPr>
        <w:pStyle w:val="Paragraphedeliste"/>
        <w:numPr>
          <w:ilvl w:val="0"/>
          <w:numId w:val="6"/>
        </w:numPr>
        <w:spacing w:after="120" w:line="240" w:lineRule="auto"/>
        <w:ind w:left="357" w:hanging="357"/>
        <w:jc w:val="both"/>
      </w:pPr>
      <w:r w:rsidRPr="001A0B9A">
        <w:t>les provisions pour pertes ou dettes futures éventuelles ;</w:t>
      </w:r>
    </w:p>
    <w:p w14:paraId="1C56A271" w14:textId="77777777" w:rsidR="00316810" w:rsidRPr="001A0B9A" w:rsidRDefault="00316810" w:rsidP="00A04B06">
      <w:pPr>
        <w:pStyle w:val="Paragraphedeliste"/>
        <w:numPr>
          <w:ilvl w:val="0"/>
          <w:numId w:val="6"/>
        </w:numPr>
        <w:spacing w:after="120" w:line="240" w:lineRule="auto"/>
        <w:ind w:left="357" w:hanging="357"/>
        <w:jc w:val="both"/>
      </w:pPr>
      <w:r w:rsidRPr="001A0B9A">
        <w:t xml:space="preserve">les coûts déclarés par le(s) bénéficiaire(s) et financés par une autre action ou un autre programme de travail bénéficiant d'une subvention de l'Union (y compris par le FED) ; </w:t>
      </w:r>
    </w:p>
    <w:p w14:paraId="42A29CD2" w14:textId="77777777" w:rsidR="00316810" w:rsidRPr="001A0B9A" w:rsidRDefault="00316810" w:rsidP="00A04B06">
      <w:pPr>
        <w:pStyle w:val="Paragraphedeliste"/>
        <w:numPr>
          <w:ilvl w:val="0"/>
          <w:numId w:val="6"/>
        </w:numPr>
        <w:spacing w:after="120" w:line="240" w:lineRule="auto"/>
        <w:ind w:left="357" w:hanging="357"/>
        <w:jc w:val="both"/>
      </w:pPr>
      <w:r w:rsidRPr="001A0B9A">
        <w:t xml:space="preserve">les achats de terrains ou d’immeubles ; </w:t>
      </w:r>
    </w:p>
    <w:p w14:paraId="736700F9" w14:textId="77777777" w:rsidR="00316810" w:rsidRPr="001A0B9A" w:rsidRDefault="00316810" w:rsidP="00A04B06">
      <w:pPr>
        <w:pStyle w:val="Paragraphedeliste"/>
        <w:numPr>
          <w:ilvl w:val="0"/>
          <w:numId w:val="6"/>
        </w:numPr>
        <w:spacing w:after="120" w:line="240" w:lineRule="auto"/>
        <w:ind w:left="357" w:hanging="357"/>
        <w:jc w:val="both"/>
      </w:pPr>
      <w:r w:rsidRPr="001A0B9A">
        <w:t xml:space="preserve">les pertes de change ;  </w:t>
      </w:r>
    </w:p>
    <w:p w14:paraId="519D44BF" w14:textId="77777777" w:rsidR="00316810" w:rsidRPr="001A0B9A" w:rsidRDefault="00316810" w:rsidP="00A04B06">
      <w:pPr>
        <w:pStyle w:val="Paragraphedeliste"/>
        <w:numPr>
          <w:ilvl w:val="0"/>
          <w:numId w:val="6"/>
        </w:numPr>
        <w:spacing w:after="120" w:line="240" w:lineRule="auto"/>
        <w:ind w:left="357" w:hanging="357"/>
        <w:jc w:val="both"/>
      </w:pPr>
      <w:r w:rsidRPr="001A0B9A">
        <w:t xml:space="preserve">les crédits à des tiers ; </w:t>
      </w:r>
    </w:p>
    <w:p w14:paraId="0C40E1F4" w14:textId="63751057" w:rsidR="00316810" w:rsidRPr="00DA040A" w:rsidRDefault="00316810" w:rsidP="008212EF">
      <w:pPr>
        <w:pStyle w:val="Paragraphedeliste"/>
        <w:numPr>
          <w:ilvl w:val="0"/>
          <w:numId w:val="6"/>
        </w:numPr>
        <w:spacing w:after="120" w:line="360" w:lineRule="auto"/>
        <w:ind w:left="357" w:hanging="357"/>
        <w:jc w:val="both"/>
        <w:rPr>
          <w:b/>
        </w:rPr>
      </w:pPr>
      <w:r w:rsidRPr="001A0B9A">
        <w:lastRenderedPageBreak/>
        <w:t>Le coût des salaires du personnel de l’administration nationale ou centrale.</w:t>
      </w:r>
    </w:p>
    <w:p w14:paraId="1A3602B4" w14:textId="77777777" w:rsidR="0071410F" w:rsidRDefault="0071410F" w:rsidP="0071410F">
      <w:pPr>
        <w:pStyle w:val="Paragraphedeliste"/>
        <w:spacing w:after="0" w:line="240" w:lineRule="auto"/>
        <w:ind w:left="357"/>
        <w:contextualSpacing w:val="0"/>
        <w:jc w:val="both"/>
        <w:rPr>
          <w:b/>
        </w:rPr>
      </w:pPr>
    </w:p>
    <w:p w14:paraId="1B2F0F35" w14:textId="77777777" w:rsidR="0071410F" w:rsidRDefault="0071410F" w:rsidP="0071410F">
      <w:pPr>
        <w:pStyle w:val="Paragraphedeliste"/>
        <w:spacing w:after="0" w:line="240" w:lineRule="auto"/>
        <w:ind w:left="357"/>
        <w:contextualSpacing w:val="0"/>
        <w:jc w:val="both"/>
        <w:rPr>
          <w:b/>
        </w:rPr>
      </w:pPr>
    </w:p>
    <w:p w14:paraId="505955F3" w14:textId="77777777" w:rsidR="0071410F" w:rsidRPr="005C6ABB" w:rsidRDefault="0071410F" w:rsidP="0071410F">
      <w:pPr>
        <w:pStyle w:val="Paragraphedeliste"/>
        <w:spacing w:after="0" w:line="240" w:lineRule="auto"/>
        <w:ind w:left="357"/>
        <w:contextualSpacing w:val="0"/>
        <w:jc w:val="both"/>
        <w:rPr>
          <w:b/>
        </w:rPr>
      </w:pPr>
    </w:p>
    <w:p w14:paraId="7415F459" w14:textId="33EC5E64" w:rsidR="007A2003" w:rsidRPr="007A2003" w:rsidRDefault="007A2003" w:rsidP="00F41D8F">
      <w:pPr>
        <w:spacing w:after="120" w:line="240" w:lineRule="auto"/>
        <w:jc w:val="center"/>
        <w:rPr>
          <w:rFonts w:ascii="Calibri" w:hAnsi="Calibri"/>
          <w:b/>
          <w:color w:val="05ADA0"/>
          <w:sz w:val="28"/>
          <w:szCs w:val="28"/>
        </w:rPr>
      </w:pPr>
      <w:r>
        <w:rPr>
          <w:rFonts w:ascii="Calibri" w:hAnsi="Calibri"/>
          <w:b/>
          <w:color w:val="05ADA0"/>
          <w:sz w:val="28"/>
          <w:szCs w:val="28"/>
        </w:rPr>
        <w:t>III</w:t>
      </w:r>
      <w:r w:rsidR="00CA13FD">
        <w:rPr>
          <w:rFonts w:ascii="Calibri" w:hAnsi="Calibri"/>
          <w:b/>
          <w:color w:val="05ADA0"/>
          <w:sz w:val="28"/>
          <w:szCs w:val="28"/>
        </w:rPr>
        <w:t xml:space="preserve"> -</w:t>
      </w:r>
      <w:r w:rsidRPr="007A2003">
        <w:rPr>
          <w:rFonts w:ascii="Calibri" w:hAnsi="Calibri"/>
          <w:b/>
          <w:color w:val="05ADA0"/>
          <w:sz w:val="28"/>
          <w:szCs w:val="28"/>
        </w:rPr>
        <w:t xml:space="preserve"> </w:t>
      </w:r>
      <w:r w:rsidR="00CA13FD" w:rsidRPr="007A2003">
        <w:rPr>
          <w:rFonts w:ascii="Calibri" w:hAnsi="Calibri"/>
          <w:b/>
          <w:color w:val="05ADA0"/>
          <w:sz w:val="28"/>
          <w:szCs w:val="28"/>
        </w:rPr>
        <w:t>VISIBILIT</w:t>
      </w:r>
      <w:r w:rsidR="00CA13FD">
        <w:rPr>
          <w:rFonts w:ascii="Calibri" w:hAnsi="Calibri"/>
          <w:b/>
          <w:color w:val="05ADA0"/>
          <w:sz w:val="28"/>
          <w:szCs w:val="28"/>
        </w:rPr>
        <w:t>É</w:t>
      </w:r>
    </w:p>
    <w:p w14:paraId="7A04B36D" w14:textId="77777777" w:rsidR="00A764FC" w:rsidRDefault="00A764FC" w:rsidP="00F41D8F">
      <w:pPr>
        <w:spacing w:after="120"/>
        <w:jc w:val="both"/>
      </w:pPr>
    </w:p>
    <w:p w14:paraId="440FD372" w14:textId="11D7C9DF" w:rsidR="007A2003" w:rsidRPr="007A2003" w:rsidRDefault="007A2003" w:rsidP="0071410F">
      <w:pPr>
        <w:spacing w:after="120"/>
        <w:jc w:val="both"/>
      </w:pPr>
      <w:r w:rsidRPr="007A2003">
        <w:t xml:space="preserve">Les </w:t>
      </w:r>
      <w:r w:rsidR="0071410F">
        <w:t xml:space="preserve">établissements bénéficiaires de la subvention </w:t>
      </w:r>
      <w:r w:rsidRPr="007A2003">
        <w:t>doivent prendre toutes les mesures nécessaires pour assurer la visibilité du financement ou cofinancement par l’Union européenne ainsi que la visibilité de l’administration contractante</w:t>
      </w:r>
      <w:r>
        <w:t xml:space="preserve"> (l’OFII)</w:t>
      </w:r>
      <w:r w:rsidRPr="007A2003">
        <w:t>, et du pro</w:t>
      </w:r>
      <w:r>
        <w:t>gramme</w:t>
      </w:r>
      <w:r w:rsidRPr="007A2003">
        <w:t xml:space="preserve"> </w:t>
      </w:r>
      <w:r>
        <w:t>THAMM</w:t>
      </w:r>
      <w:r w:rsidRPr="007A2003">
        <w:t xml:space="preserve">. Les actions financées entièrement ou partiellement par l’Union européenne doivent intégrer autant que possible des activités d’information et de communication visant à sensibiliser tout ou partie du public aux motifs de l’action, au motif de l’aide fournie par l’Union européenne dans le pays ou la région concernée, ainsi qu’aux résultats et impact de cette aide. </w:t>
      </w:r>
    </w:p>
    <w:p w14:paraId="7AFC4B2D" w14:textId="77777777" w:rsidR="00F41D8F" w:rsidRDefault="007A2003" w:rsidP="00F41D8F">
      <w:pPr>
        <w:spacing w:after="120"/>
        <w:jc w:val="both"/>
      </w:pPr>
      <w:r w:rsidRPr="00515D32">
        <w:t>Les demandeurs doivent se conformer aux objectifs et priorités et garantir la visibilité du financement de l'UE. Ils doivent se référer au</w:t>
      </w:r>
      <w:r w:rsidR="009C0E6F" w:rsidRPr="00515D32">
        <w:t xml:space="preserve">x règles </w:t>
      </w:r>
      <w:r w:rsidRPr="00515D32">
        <w:t xml:space="preserve">de communication et de visibilité pour les actions extérieures de l'UE </w:t>
      </w:r>
      <w:r w:rsidR="009C0E6F" w:rsidRPr="00515D32">
        <w:t xml:space="preserve">fixées </w:t>
      </w:r>
      <w:r w:rsidRPr="00515D32">
        <w:t>par la Commission européenne, qui peu</w:t>
      </w:r>
      <w:r w:rsidR="009C0E6F" w:rsidRPr="00515D32">
        <w:t>ven</w:t>
      </w:r>
      <w:r w:rsidRPr="00515D32">
        <w:t>t être consulté</w:t>
      </w:r>
      <w:r w:rsidR="009C0E6F" w:rsidRPr="00515D32">
        <w:t>es</w:t>
      </w:r>
      <w:r w:rsidRPr="00515D32">
        <w:t xml:space="preserve"> à l'adresse suivante : </w:t>
      </w:r>
      <w:hyperlink r:id="rId14" w:history="1">
        <w:r w:rsidR="00967573" w:rsidRPr="00515D32">
          <w:rPr>
            <w:rStyle w:val="Lienhypertexte"/>
          </w:rPr>
          <w:t>https://ec.europa.eu/info/funding-tenders/managing-your-project/communicating-and-raising-eu-visibility_fr</w:t>
        </w:r>
      </w:hyperlink>
      <w:r w:rsidR="00967573" w:rsidRPr="00515D32">
        <w:t xml:space="preserve">. </w:t>
      </w:r>
    </w:p>
    <w:p w14:paraId="7D5329B3" w14:textId="77777777" w:rsidR="00C83323" w:rsidRDefault="007A2003" w:rsidP="00F41D8F">
      <w:pPr>
        <w:spacing w:after="120"/>
        <w:jc w:val="both"/>
        <w:rPr>
          <w:color w:val="FF0000"/>
        </w:rPr>
      </w:pPr>
      <w:r w:rsidRPr="00515D32">
        <w:t>Le</w:t>
      </w:r>
      <w:r w:rsidRPr="007A2003">
        <w:t xml:space="preserve"> document « règles de visibilité </w:t>
      </w:r>
      <w:r w:rsidR="009C0E6F">
        <w:t xml:space="preserve">THAMM OFII </w:t>
      </w:r>
      <w:r w:rsidRPr="007A2003">
        <w:t xml:space="preserve">» sera signé et joint au contrat. </w:t>
      </w:r>
      <w:r>
        <w:rPr>
          <w:color w:val="FF0000"/>
        </w:rPr>
        <w:tab/>
      </w:r>
    </w:p>
    <w:p w14:paraId="7D6F2693" w14:textId="77777777" w:rsidR="0071410F" w:rsidRDefault="0071410F" w:rsidP="0071410F">
      <w:pPr>
        <w:pStyle w:val="Paragraphedeliste"/>
        <w:spacing w:after="0" w:line="240" w:lineRule="auto"/>
        <w:ind w:left="357"/>
        <w:contextualSpacing w:val="0"/>
        <w:jc w:val="both"/>
        <w:rPr>
          <w:b/>
        </w:rPr>
      </w:pPr>
    </w:p>
    <w:p w14:paraId="2C27C3A0" w14:textId="77777777" w:rsidR="0071410F" w:rsidRDefault="0071410F" w:rsidP="0071410F">
      <w:pPr>
        <w:pStyle w:val="Paragraphedeliste"/>
        <w:spacing w:after="0" w:line="240" w:lineRule="auto"/>
        <w:ind w:left="357"/>
        <w:contextualSpacing w:val="0"/>
        <w:jc w:val="both"/>
        <w:rPr>
          <w:b/>
        </w:rPr>
      </w:pPr>
    </w:p>
    <w:p w14:paraId="0C888C19" w14:textId="77777777" w:rsidR="0071410F" w:rsidRPr="005C6ABB" w:rsidRDefault="0071410F" w:rsidP="0071410F">
      <w:pPr>
        <w:pStyle w:val="Paragraphedeliste"/>
        <w:spacing w:after="0" w:line="240" w:lineRule="auto"/>
        <w:ind w:left="357"/>
        <w:contextualSpacing w:val="0"/>
        <w:jc w:val="both"/>
        <w:rPr>
          <w:b/>
        </w:rPr>
      </w:pPr>
    </w:p>
    <w:p w14:paraId="22EE5362" w14:textId="672B19E2" w:rsidR="009C0E6F" w:rsidRDefault="009C0E6F" w:rsidP="0071410F">
      <w:pPr>
        <w:spacing w:after="120"/>
        <w:jc w:val="center"/>
        <w:rPr>
          <w:rFonts w:ascii="Calibri" w:hAnsi="Calibri"/>
          <w:b/>
          <w:color w:val="05ADA0"/>
          <w:sz w:val="28"/>
          <w:szCs w:val="28"/>
        </w:rPr>
      </w:pPr>
      <w:r>
        <w:rPr>
          <w:rFonts w:ascii="Calibri" w:hAnsi="Calibri"/>
          <w:b/>
          <w:color w:val="05ADA0"/>
          <w:sz w:val="28"/>
          <w:szCs w:val="28"/>
        </w:rPr>
        <w:t xml:space="preserve">IV </w:t>
      </w:r>
      <w:r w:rsidR="00CA13FD">
        <w:rPr>
          <w:rFonts w:ascii="Calibri" w:hAnsi="Calibri"/>
          <w:b/>
          <w:color w:val="05ADA0"/>
          <w:sz w:val="28"/>
          <w:szCs w:val="28"/>
        </w:rPr>
        <w:t xml:space="preserve">- </w:t>
      </w:r>
      <w:r w:rsidRPr="009C0E6F">
        <w:rPr>
          <w:rFonts w:ascii="Calibri" w:hAnsi="Calibri"/>
          <w:b/>
          <w:color w:val="05ADA0"/>
          <w:sz w:val="28"/>
          <w:szCs w:val="28"/>
        </w:rPr>
        <w:t>PR</w:t>
      </w:r>
      <w:r>
        <w:rPr>
          <w:rFonts w:ascii="Calibri" w:hAnsi="Calibri"/>
          <w:b/>
          <w:color w:val="05ADA0"/>
          <w:sz w:val="28"/>
          <w:szCs w:val="28"/>
        </w:rPr>
        <w:t>É</w:t>
      </w:r>
      <w:r w:rsidRPr="009C0E6F">
        <w:rPr>
          <w:rFonts w:ascii="Calibri" w:hAnsi="Calibri"/>
          <w:b/>
          <w:color w:val="05ADA0"/>
          <w:sz w:val="28"/>
          <w:szCs w:val="28"/>
        </w:rPr>
        <w:t>SENTATION DE LA DEMANDE ET PROC</w:t>
      </w:r>
      <w:r>
        <w:rPr>
          <w:rFonts w:ascii="Calibri" w:hAnsi="Calibri"/>
          <w:b/>
          <w:color w:val="05ADA0"/>
          <w:sz w:val="28"/>
          <w:szCs w:val="28"/>
        </w:rPr>
        <w:t>É</w:t>
      </w:r>
      <w:r w:rsidRPr="009C0E6F">
        <w:rPr>
          <w:rFonts w:ascii="Calibri" w:hAnsi="Calibri"/>
          <w:b/>
          <w:color w:val="05ADA0"/>
          <w:sz w:val="28"/>
          <w:szCs w:val="28"/>
        </w:rPr>
        <w:t xml:space="preserve">DURE </w:t>
      </w:r>
      <w:r w:rsidR="00CA13FD">
        <w:rPr>
          <w:rFonts w:ascii="Calibri" w:hAnsi="Calibri"/>
          <w:b/>
          <w:color w:val="05ADA0"/>
          <w:sz w:val="28"/>
          <w:szCs w:val="28"/>
        </w:rPr>
        <w:t>À</w:t>
      </w:r>
      <w:r w:rsidRPr="009C0E6F">
        <w:rPr>
          <w:rFonts w:ascii="Calibri" w:hAnsi="Calibri"/>
          <w:b/>
          <w:color w:val="05ADA0"/>
          <w:sz w:val="28"/>
          <w:szCs w:val="28"/>
        </w:rPr>
        <w:t xml:space="preserve"> SUIVRE</w:t>
      </w:r>
    </w:p>
    <w:p w14:paraId="21646618" w14:textId="77777777" w:rsidR="00A764FC" w:rsidRPr="00A07288" w:rsidRDefault="00A764FC" w:rsidP="00F5377B">
      <w:pPr>
        <w:spacing w:after="120" w:line="240" w:lineRule="auto"/>
        <w:rPr>
          <w:b/>
          <w:bCs/>
          <w:highlight w:val="yellow"/>
        </w:rPr>
      </w:pPr>
    </w:p>
    <w:p w14:paraId="4FF599F0" w14:textId="485E51C5" w:rsidR="00615B6F" w:rsidRPr="009C0E6F" w:rsidRDefault="00615B6F" w:rsidP="00A04B06">
      <w:pPr>
        <w:pStyle w:val="Paragraphedeliste"/>
        <w:keepNext/>
        <w:keepLines/>
        <w:numPr>
          <w:ilvl w:val="0"/>
          <w:numId w:val="10"/>
        </w:numPr>
        <w:spacing w:before="200" w:after="120"/>
        <w:outlineLvl w:val="1"/>
        <w:rPr>
          <w:b/>
          <w:bCs/>
          <w:color w:val="05ADA0"/>
          <w:spacing w:val="20"/>
          <w:sz w:val="28"/>
          <w:szCs w:val="28"/>
        </w:rPr>
      </w:pPr>
      <w:r w:rsidRPr="009C0E6F">
        <w:rPr>
          <w:b/>
          <w:bCs/>
          <w:color w:val="05ADA0"/>
          <w:spacing w:val="20"/>
          <w:sz w:val="28"/>
          <w:szCs w:val="28"/>
        </w:rPr>
        <w:t>Contenu du formulaire de demande</w:t>
      </w:r>
    </w:p>
    <w:p w14:paraId="36BECE65" w14:textId="423EE6F1" w:rsidR="009C0E6F" w:rsidRPr="00C33B8F" w:rsidRDefault="009C0E6F" w:rsidP="00F41D8F">
      <w:pPr>
        <w:spacing w:after="120"/>
        <w:jc w:val="both"/>
      </w:pPr>
      <w:r w:rsidRPr="00C33B8F">
        <w:t xml:space="preserve">Les formulaires de demande (annexe A) doivent être soumis en français. La demande ne devra pas excéder 10 pages, dont 1 page maximum </w:t>
      </w:r>
      <w:bookmarkStart w:id="5" w:name="_Hlk111715000"/>
      <w:r w:rsidRPr="00C33B8F">
        <w:t xml:space="preserve">pour la présentation de l’expérience préalable et de l’expertise prouvée dans le domaine de l’accompagnement </w:t>
      </w:r>
      <w:r>
        <w:t>des diplômés en recherche d’emploi</w:t>
      </w:r>
      <w:bookmarkEnd w:id="5"/>
      <w:r w:rsidRPr="00C33B8F">
        <w:t xml:space="preserve">. Il est très important que ce document contienne </w:t>
      </w:r>
      <w:r w:rsidRPr="00A42150">
        <w:rPr>
          <w:bCs/>
        </w:rPr>
        <w:t xml:space="preserve">toutes </w:t>
      </w:r>
      <w:r w:rsidRPr="00C33B8F">
        <w:t xml:space="preserve">les informations pertinentes concernant l’action. </w:t>
      </w:r>
    </w:p>
    <w:p w14:paraId="5100D66D" w14:textId="77777777" w:rsidR="009C0E6F" w:rsidRPr="00C33B8F" w:rsidRDefault="009C0E6F" w:rsidP="00F41D8F">
      <w:pPr>
        <w:spacing w:after="120"/>
        <w:jc w:val="both"/>
      </w:pPr>
      <w:r w:rsidRPr="00C33B8F">
        <w:t>Le formulaire de demande devra :</w:t>
      </w:r>
    </w:p>
    <w:p w14:paraId="282EF65B" w14:textId="4235A1E4" w:rsidR="009C0E6F" w:rsidRPr="00C33B8F" w:rsidRDefault="009C0E6F" w:rsidP="0071410F">
      <w:pPr>
        <w:pStyle w:val="Paragraphedeliste"/>
        <w:numPr>
          <w:ilvl w:val="0"/>
          <w:numId w:val="6"/>
        </w:numPr>
        <w:spacing w:after="120" w:line="240" w:lineRule="auto"/>
        <w:ind w:left="357" w:hanging="357"/>
        <w:contextualSpacing w:val="0"/>
        <w:jc w:val="both"/>
      </w:pPr>
      <w:r w:rsidRPr="00C33B8F">
        <w:t>Préciser comment l'action favorisera l</w:t>
      </w:r>
      <w:r>
        <w:t>’</w:t>
      </w:r>
      <w:r w:rsidRPr="00C33B8F">
        <w:t xml:space="preserve">insertion </w:t>
      </w:r>
      <w:r>
        <w:t xml:space="preserve">professionnelle des </w:t>
      </w:r>
      <w:r w:rsidR="00A67CFA">
        <w:t xml:space="preserve">futurs diplômés </w:t>
      </w:r>
      <w:r>
        <w:t>en recherche d’emploi</w:t>
      </w:r>
      <w:r w:rsidRPr="00C33B8F">
        <w:t xml:space="preserve"> à travers </w:t>
      </w:r>
      <w:bookmarkStart w:id="6" w:name="_Hlk111724413"/>
      <w:r w:rsidRPr="00C33B8F">
        <w:t xml:space="preserve">un accompagnement innovant et de qualité. </w:t>
      </w:r>
      <w:bookmarkEnd w:id="6"/>
    </w:p>
    <w:p w14:paraId="2CADC3F9" w14:textId="77777777" w:rsidR="009C0E6F" w:rsidRDefault="009C0E6F" w:rsidP="00A04B06">
      <w:pPr>
        <w:pStyle w:val="Paragraphedeliste"/>
        <w:numPr>
          <w:ilvl w:val="0"/>
          <w:numId w:val="6"/>
        </w:numPr>
        <w:spacing w:after="120" w:line="240" w:lineRule="auto"/>
        <w:ind w:left="357" w:hanging="357"/>
        <w:contextualSpacing w:val="0"/>
        <w:jc w:val="both"/>
      </w:pPr>
      <w:r w:rsidRPr="00C33B8F">
        <w:t>Définir et décrire en détail chaque activité (ou groupe de tâches) à entreprendre pour produire des résultats, en justifiant le choix des activités et en spécifiant éventuellement le rôle de chaque codemandeur. Une attention particulière sera portée au réalisme du calendrier et au ciblage des activités proposées.</w:t>
      </w:r>
    </w:p>
    <w:p w14:paraId="5493C4CF" w14:textId="4BCB647C" w:rsidR="00C33B8F" w:rsidRPr="00C74F30" w:rsidRDefault="00C33B8F" w:rsidP="00A04B06">
      <w:pPr>
        <w:pStyle w:val="Paragraphedeliste"/>
        <w:numPr>
          <w:ilvl w:val="0"/>
          <w:numId w:val="6"/>
        </w:numPr>
        <w:spacing w:after="120" w:line="240" w:lineRule="auto"/>
        <w:ind w:left="357" w:hanging="357"/>
        <w:contextualSpacing w:val="0"/>
        <w:jc w:val="both"/>
      </w:pPr>
      <w:r>
        <w:t xml:space="preserve">Le cas échéant, </w:t>
      </w:r>
      <w:r w:rsidRPr="00C74F30">
        <w:t xml:space="preserve">décrire de quelle manière </w:t>
      </w:r>
      <w:r w:rsidR="00C74F30" w:rsidRPr="004E1746">
        <w:t>l’action prolonge une action existante</w:t>
      </w:r>
      <w:r w:rsidR="00C74F30">
        <w:t xml:space="preserve"> en reposant </w:t>
      </w:r>
      <w:r w:rsidRPr="00C74F30">
        <w:t>sur les</w:t>
      </w:r>
      <w:r w:rsidR="00C74F30">
        <w:t xml:space="preserve"> </w:t>
      </w:r>
      <w:r w:rsidRPr="00C74F30">
        <w:t>résultats de cette action (principales conclusions et recommandations d'éventuelles</w:t>
      </w:r>
      <w:r w:rsidR="00C74F30">
        <w:t xml:space="preserve"> </w:t>
      </w:r>
      <w:r w:rsidR="00C74F30" w:rsidRPr="00C74F30">
        <w:t>évaluations</w:t>
      </w:r>
      <w:r w:rsidRPr="00C74F30">
        <w:t>)</w:t>
      </w:r>
      <w:r w:rsidR="00C74F30">
        <w:t>.</w:t>
      </w:r>
    </w:p>
    <w:p w14:paraId="60BC6935" w14:textId="5ECCEA7C" w:rsidR="00C33B8F" w:rsidRPr="00C74F30" w:rsidRDefault="00C74F30" w:rsidP="00A04B06">
      <w:pPr>
        <w:pStyle w:val="Paragraphedeliste"/>
        <w:numPr>
          <w:ilvl w:val="0"/>
          <w:numId w:val="6"/>
        </w:numPr>
        <w:spacing w:after="120" w:line="240" w:lineRule="auto"/>
        <w:ind w:left="357" w:hanging="357"/>
        <w:contextualSpacing w:val="0"/>
        <w:jc w:val="both"/>
      </w:pPr>
      <w:r>
        <w:t>Le cas échéant, décri</w:t>
      </w:r>
      <w:r w:rsidR="00872D27">
        <w:t>r</w:t>
      </w:r>
      <w:r>
        <w:t xml:space="preserve">e de quelle manière </w:t>
      </w:r>
      <w:r w:rsidR="00C33B8F" w:rsidRPr="00C74F30">
        <w:t>l’action s’inscrit dans le cadre d’un programme plus vaste</w:t>
      </w:r>
      <w:r>
        <w:t xml:space="preserve"> et </w:t>
      </w:r>
      <w:r w:rsidR="00C33B8F" w:rsidRPr="00C74F30">
        <w:t xml:space="preserve">comment la coordination </w:t>
      </w:r>
      <w:r>
        <w:t xml:space="preserve">sera </w:t>
      </w:r>
      <w:r w:rsidR="00C33B8F" w:rsidRPr="00C74F30">
        <w:t>assurée avec ce programme ou</w:t>
      </w:r>
      <w:r>
        <w:t xml:space="preserve"> </w:t>
      </w:r>
      <w:r w:rsidR="00C33B8F" w:rsidRPr="00C74F30">
        <w:t xml:space="preserve">avec un </w:t>
      </w:r>
      <w:r>
        <w:t>autre p</w:t>
      </w:r>
      <w:r w:rsidR="00C33B8F" w:rsidRPr="00C74F30">
        <w:t>rojet planifié (synergies potentielles avec d’autres initiatives, notamment</w:t>
      </w:r>
      <w:r>
        <w:t xml:space="preserve"> </w:t>
      </w:r>
      <w:r w:rsidR="00C33B8F" w:rsidRPr="00C74F30">
        <w:t>de l'Union européenne)</w:t>
      </w:r>
      <w:r>
        <w:t>.</w:t>
      </w:r>
    </w:p>
    <w:p w14:paraId="2143E2CD" w14:textId="77777777" w:rsidR="009C0E6F" w:rsidRPr="00C33B8F" w:rsidRDefault="009C0E6F" w:rsidP="00A04B06">
      <w:pPr>
        <w:pStyle w:val="Paragraphedeliste"/>
        <w:numPr>
          <w:ilvl w:val="0"/>
          <w:numId w:val="6"/>
        </w:numPr>
        <w:spacing w:after="120" w:line="240" w:lineRule="auto"/>
        <w:ind w:left="357" w:hanging="357"/>
        <w:contextualSpacing w:val="0"/>
        <w:jc w:val="both"/>
      </w:pPr>
      <w:r w:rsidRPr="00C33B8F">
        <w:t xml:space="preserve">Présenter la méthodologie : </w:t>
      </w:r>
    </w:p>
    <w:p w14:paraId="3E38935D" w14:textId="5EC33A0D" w:rsidR="00C33B8F" w:rsidRPr="00C33B8F" w:rsidRDefault="009C0E6F" w:rsidP="00A04B06">
      <w:pPr>
        <w:pStyle w:val="Paragraphedeliste"/>
        <w:widowControl w:val="0"/>
        <w:numPr>
          <w:ilvl w:val="0"/>
          <w:numId w:val="9"/>
        </w:numPr>
        <w:spacing w:after="120" w:line="240" w:lineRule="auto"/>
        <w:ind w:left="1037" w:hanging="357"/>
        <w:jc w:val="both"/>
      </w:pPr>
      <w:r w:rsidRPr="00C33B8F">
        <w:t xml:space="preserve">la description du rôle des différents acteurs et parties prenantes (codemandeur(s), </w:t>
      </w:r>
      <w:r w:rsidR="00C33B8F">
        <w:t xml:space="preserve">groupes </w:t>
      </w:r>
      <w:r w:rsidR="00C33B8F">
        <w:lastRenderedPageBreak/>
        <w:t>cibles</w:t>
      </w:r>
      <w:r w:rsidRPr="00C33B8F">
        <w:t xml:space="preserve">, services de l’État, etc.) dans l’action et les raisons pour lesquelles ce rôle leur a été assigné ; </w:t>
      </w:r>
      <w:r w:rsidR="00C33B8F" w:rsidRPr="00C33B8F">
        <w:t>le</w:t>
      </w:r>
      <w:r w:rsidR="00C74F30">
        <w:t>ur</w:t>
      </w:r>
      <w:r w:rsidR="00C33B8F" w:rsidRPr="00C33B8F">
        <w:t xml:space="preserve"> attitude vis-à-vis de l'action en général et des activités en particulier ;</w:t>
      </w:r>
    </w:p>
    <w:p w14:paraId="4AF0540C" w14:textId="77777777" w:rsidR="009C0E6F" w:rsidRPr="00C33B8F" w:rsidRDefault="009C0E6F" w:rsidP="00A04B06">
      <w:pPr>
        <w:pStyle w:val="Paragraphedeliste"/>
        <w:widowControl w:val="0"/>
        <w:numPr>
          <w:ilvl w:val="0"/>
          <w:numId w:val="9"/>
        </w:numPr>
        <w:spacing w:after="120" w:line="240" w:lineRule="auto"/>
        <w:ind w:left="1037" w:hanging="357"/>
        <w:jc w:val="both"/>
      </w:pPr>
      <w:r w:rsidRPr="00C33B8F">
        <w:t>la structure organisationnelle et l'équipe proposée pour la mise en œuvre de l'action (par fonction) ;</w:t>
      </w:r>
    </w:p>
    <w:p w14:paraId="00D51F90" w14:textId="77777777" w:rsidR="009C0E6F" w:rsidRPr="00C33B8F" w:rsidRDefault="009C0E6F" w:rsidP="00A04B06">
      <w:pPr>
        <w:pStyle w:val="Paragraphedeliste"/>
        <w:widowControl w:val="0"/>
        <w:numPr>
          <w:ilvl w:val="0"/>
          <w:numId w:val="9"/>
        </w:numPr>
        <w:spacing w:after="120" w:line="240" w:lineRule="auto"/>
        <w:ind w:left="1037" w:hanging="357"/>
        <w:jc w:val="both"/>
      </w:pPr>
      <w:r w:rsidRPr="00C33B8F">
        <w:t>les principaux moyens proposés pour la mise en œuvre de l’action (équipement, matériel et fournitures à acquérir ou à louer) ;</w:t>
      </w:r>
    </w:p>
    <w:p w14:paraId="0B288A91" w14:textId="77777777" w:rsidR="009C0E6F" w:rsidRPr="00C33B8F" w:rsidRDefault="009C0E6F" w:rsidP="00A04B06">
      <w:pPr>
        <w:pStyle w:val="Paragraphedeliste"/>
        <w:widowControl w:val="0"/>
        <w:numPr>
          <w:ilvl w:val="0"/>
          <w:numId w:val="9"/>
        </w:numPr>
        <w:spacing w:after="120" w:line="240" w:lineRule="auto"/>
        <w:ind w:left="1037" w:hanging="357"/>
        <w:contextualSpacing w:val="0"/>
        <w:jc w:val="both"/>
      </w:pPr>
      <w:r w:rsidRPr="00C33B8F">
        <w:t>les procédures de suivi et d’évaluation interne et/ou externe.</w:t>
      </w:r>
    </w:p>
    <w:p w14:paraId="2D589972" w14:textId="77777777" w:rsidR="009C0E6F" w:rsidRPr="00C33B8F" w:rsidRDefault="009C0E6F" w:rsidP="00A04B06">
      <w:pPr>
        <w:pStyle w:val="Paragraphedeliste"/>
        <w:numPr>
          <w:ilvl w:val="0"/>
          <w:numId w:val="6"/>
        </w:numPr>
        <w:spacing w:after="120" w:line="240" w:lineRule="auto"/>
        <w:ind w:left="357" w:hanging="357"/>
        <w:contextualSpacing w:val="0"/>
        <w:jc w:val="both"/>
      </w:pPr>
      <w:r w:rsidRPr="00C33B8F">
        <w:t>Proposer un plan d’action détaillé pour la totalité de la durée de l’action.</w:t>
      </w:r>
    </w:p>
    <w:p w14:paraId="3B03754E" w14:textId="77777777" w:rsidR="009C0E6F" w:rsidRPr="00C33B8F" w:rsidRDefault="009C0E6F" w:rsidP="00A04B06">
      <w:pPr>
        <w:pStyle w:val="Paragraphedeliste"/>
        <w:numPr>
          <w:ilvl w:val="0"/>
          <w:numId w:val="6"/>
        </w:numPr>
        <w:spacing w:after="120" w:line="240" w:lineRule="auto"/>
        <w:ind w:left="357" w:hanging="357"/>
        <w:contextualSpacing w:val="0"/>
        <w:jc w:val="both"/>
      </w:pPr>
      <w:r w:rsidRPr="00C33B8F">
        <w:t>Montrer comment est assurée la durabilité de l’action :</w:t>
      </w:r>
    </w:p>
    <w:p w14:paraId="0EB80D17" w14:textId="11E594EB" w:rsidR="009C0E6F" w:rsidRPr="00C33B8F" w:rsidRDefault="009C0E6F" w:rsidP="00A04B06">
      <w:pPr>
        <w:pStyle w:val="Paragraphedeliste"/>
        <w:widowControl w:val="0"/>
        <w:numPr>
          <w:ilvl w:val="0"/>
          <w:numId w:val="9"/>
        </w:numPr>
        <w:spacing w:after="120" w:line="240" w:lineRule="auto"/>
        <w:ind w:left="1037" w:hanging="357"/>
        <w:jc w:val="both"/>
      </w:pPr>
      <w:r w:rsidRPr="00C33B8F">
        <w:t xml:space="preserve">décrire l'impact attendu de l'action en incluant </w:t>
      </w:r>
      <w:r w:rsidR="00C74F30">
        <w:t>d</w:t>
      </w:r>
      <w:r w:rsidRPr="00C33B8F">
        <w:t>es données quantifiées ;</w:t>
      </w:r>
    </w:p>
    <w:p w14:paraId="0B68CB14" w14:textId="72F04257" w:rsidR="00C74F30" w:rsidRDefault="009C0E6F" w:rsidP="00A04B06">
      <w:pPr>
        <w:pStyle w:val="Paragraphedeliste"/>
        <w:widowControl w:val="0"/>
        <w:numPr>
          <w:ilvl w:val="0"/>
          <w:numId w:val="9"/>
        </w:numPr>
        <w:spacing w:after="120" w:line="240" w:lineRule="auto"/>
        <w:ind w:left="1037" w:hanging="357"/>
        <w:jc w:val="both"/>
      </w:pPr>
      <w:r w:rsidRPr="00C33B8F">
        <w:t>décrire les possibilités d</w:t>
      </w:r>
      <w:r w:rsidR="00C72663">
        <w:t xml:space="preserve">e prolongement </w:t>
      </w:r>
      <w:r w:rsidRPr="00C33B8F">
        <w:t>des résultats de l'action dans le temps, en indiquant clairement</w:t>
      </w:r>
      <w:r w:rsidR="00C83081">
        <w:t xml:space="preserve"> les perspectives </w:t>
      </w:r>
      <w:r w:rsidR="00C72663">
        <w:t xml:space="preserve">en termes d’emploi </w:t>
      </w:r>
      <w:r w:rsidR="00C74F30" w:rsidRPr="00C72663">
        <w:t>;</w:t>
      </w:r>
    </w:p>
    <w:p w14:paraId="20D3C250" w14:textId="0E909A5F" w:rsidR="00C72663" w:rsidRPr="007E3F4A" w:rsidRDefault="00C72663" w:rsidP="00A04B06">
      <w:pPr>
        <w:pStyle w:val="Paragraphedeliste"/>
        <w:widowControl w:val="0"/>
        <w:numPr>
          <w:ilvl w:val="0"/>
          <w:numId w:val="9"/>
        </w:numPr>
        <w:spacing w:after="120" w:line="240" w:lineRule="auto"/>
        <w:ind w:left="1037" w:hanging="357"/>
        <w:jc w:val="both"/>
      </w:pPr>
      <w:r w:rsidRPr="007E3F4A">
        <w:t>décrire les possibilités de duplication et d'extension de l'action ;</w:t>
      </w:r>
    </w:p>
    <w:p w14:paraId="05D4CD99" w14:textId="77777777" w:rsidR="009C0E6F" w:rsidRPr="00C33B8F" w:rsidRDefault="009C0E6F" w:rsidP="00A04B06">
      <w:pPr>
        <w:pStyle w:val="Paragraphedeliste"/>
        <w:widowControl w:val="0"/>
        <w:numPr>
          <w:ilvl w:val="0"/>
          <w:numId w:val="9"/>
        </w:numPr>
        <w:spacing w:after="120" w:line="240" w:lineRule="auto"/>
        <w:ind w:left="1037" w:hanging="357"/>
        <w:jc w:val="both"/>
      </w:pPr>
      <w:r w:rsidRPr="00C33B8F">
        <w:t>fournir une analyse des risques - physiques, environnementaux, politiques, économiques et sociaux - associés à chaque action proposée, et des mesures permettant d'y faire face ;</w:t>
      </w:r>
    </w:p>
    <w:p w14:paraId="4FE02572" w14:textId="77777777" w:rsidR="009C0E6F" w:rsidRPr="00C33B8F" w:rsidRDefault="009C0E6F" w:rsidP="00A04B06">
      <w:pPr>
        <w:pStyle w:val="Paragraphedeliste"/>
        <w:widowControl w:val="0"/>
        <w:numPr>
          <w:ilvl w:val="0"/>
          <w:numId w:val="9"/>
        </w:numPr>
        <w:spacing w:after="120" w:line="240" w:lineRule="auto"/>
        <w:ind w:left="1037" w:hanging="357"/>
        <w:contextualSpacing w:val="0"/>
        <w:jc w:val="both"/>
      </w:pPr>
      <w:r w:rsidRPr="00C33B8F">
        <w:t xml:space="preserve">décrire les principales conditions préalables et hypothèses pendant et après la phase de mise en œuvre ; </w:t>
      </w:r>
    </w:p>
    <w:p w14:paraId="65096F76" w14:textId="50F4D650" w:rsidR="009C0E6F" w:rsidRPr="00C33B8F" w:rsidRDefault="009C0E6F" w:rsidP="00A04B06">
      <w:pPr>
        <w:pStyle w:val="Paragraphedeliste"/>
        <w:numPr>
          <w:ilvl w:val="0"/>
          <w:numId w:val="6"/>
        </w:numPr>
        <w:spacing w:after="120" w:line="240" w:lineRule="auto"/>
        <w:ind w:left="714" w:hanging="357"/>
        <w:jc w:val="both"/>
      </w:pPr>
      <w:r w:rsidRPr="00C33B8F">
        <w:t>Décrire l’expérience du demandeur en gestion de projet, son expertise technique dans le domaine de l</w:t>
      </w:r>
      <w:r w:rsidR="00C72663">
        <w:t>a formation et de l’insertion professionnelles</w:t>
      </w:r>
      <w:r w:rsidRPr="00C33B8F">
        <w:t> (maximum 1 page).</w:t>
      </w:r>
    </w:p>
    <w:p w14:paraId="5624F25B" w14:textId="77777777" w:rsidR="0071410F" w:rsidRDefault="0071410F" w:rsidP="00F41D8F">
      <w:pPr>
        <w:keepNext/>
        <w:spacing w:after="120" w:line="240" w:lineRule="auto"/>
        <w:jc w:val="both"/>
        <w:rPr>
          <w:b/>
          <w:color w:val="05ADA0"/>
        </w:rPr>
      </w:pPr>
    </w:p>
    <w:p w14:paraId="3085BD96" w14:textId="77E306B6" w:rsidR="00165957" w:rsidRPr="00CA13FD" w:rsidRDefault="00165957" w:rsidP="00F41D8F">
      <w:pPr>
        <w:keepNext/>
        <w:spacing w:after="120" w:line="240" w:lineRule="auto"/>
        <w:jc w:val="both"/>
        <w:rPr>
          <w:b/>
          <w:color w:val="05ADA0"/>
        </w:rPr>
      </w:pPr>
      <w:r w:rsidRPr="00CA13FD">
        <w:rPr>
          <w:b/>
          <w:color w:val="05ADA0"/>
        </w:rPr>
        <w:t>Nombre de demandes et de subventions par demandeurs</w:t>
      </w:r>
      <w:r w:rsidR="00CA13FD">
        <w:rPr>
          <w:b/>
          <w:color w:val="05ADA0"/>
        </w:rPr>
        <w:t> :</w:t>
      </w:r>
    </w:p>
    <w:p w14:paraId="15C6EB47" w14:textId="77777777" w:rsidR="00165957" w:rsidRPr="00165957" w:rsidRDefault="00165957" w:rsidP="00A04B06">
      <w:pPr>
        <w:pStyle w:val="Paragraphedeliste"/>
        <w:numPr>
          <w:ilvl w:val="0"/>
          <w:numId w:val="6"/>
        </w:numPr>
        <w:spacing w:after="120" w:line="240" w:lineRule="auto"/>
        <w:ind w:left="714" w:hanging="357"/>
        <w:jc w:val="both"/>
      </w:pPr>
      <w:r w:rsidRPr="00165957">
        <w:t>Le demandeur ne peut pas soumettre plus d’une demande dans le cadre du présent appel à propositions.</w:t>
      </w:r>
    </w:p>
    <w:p w14:paraId="0B3CB6B9" w14:textId="77777777" w:rsidR="00165957" w:rsidRPr="00165957" w:rsidRDefault="00165957" w:rsidP="00A04B06">
      <w:pPr>
        <w:pStyle w:val="Paragraphedeliste"/>
        <w:numPr>
          <w:ilvl w:val="0"/>
          <w:numId w:val="6"/>
        </w:numPr>
        <w:spacing w:after="120" w:line="240" w:lineRule="auto"/>
        <w:ind w:left="714" w:hanging="357"/>
        <w:jc w:val="both"/>
      </w:pPr>
      <w:r w:rsidRPr="00165957">
        <w:t>Il ne peut pas se voir attribuer plus d’une subvention au titre du présent appel à propositions.</w:t>
      </w:r>
    </w:p>
    <w:p w14:paraId="333A85F7" w14:textId="77777777" w:rsidR="00165957" w:rsidRPr="00165957" w:rsidRDefault="00165957" w:rsidP="00A04B06">
      <w:pPr>
        <w:pStyle w:val="Paragraphedeliste"/>
        <w:numPr>
          <w:ilvl w:val="0"/>
          <w:numId w:val="6"/>
        </w:numPr>
        <w:spacing w:after="120" w:line="240" w:lineRule="auto"/>
        <w:ind w:left="714" w:hanging="357"/>
        <w:jc w:val="both"/>
      </w:pPr>
      <w:r w:rsidRPr="00165957">
        <w:t xml:space="preserve">Il ne peut pas être en même temps partenaire d’un demandeur dans une autre demande. </w:t>
      </w:r>
    </w:p>
    <w:p w14:paraId="67321564" w14:textId="77777777" w:rsidR="00165957" w:rsidRPr="00165957" w:rsidRDefault="00165957" w:rsidP="00A04B06">
      <w:pPr>
        <w:pStyle w:val="Paragraphedeliste"/>
        <w:numPr>
          <w:ilvl w:val="0"/>
          <w:numId w:val="6"/>
        </w:numPr>
        <w:spacing w:after="120" w:line="240" w:lineRule="auto"/>
        <w:ind w:left="714" w:hanging="357"/>
        <w:jc w:val="both"/>
      </w:pPr>
      <w:r w:rsidRPr="00165957">
        <w:t xml:space="preserve">Le partenaire d’un demandeur ne peut pas soumettre plus d’une demande dans le cadre du présent appel à propositions. </w:t>
      </w:r>
    </w:p>
    <w:p w14:paraId="076B942B" w14:textId="77777777" w:rsidR="00165957" w:rsidRDefault="00165957" w:rsidP="00A04B06">
      <w:pPr>
        <w:pStyle w:val="Paragraphedeliste"/>
        <w:numPr>
          <w:ilvl w:val="0"/>
          <w:numId w:val="6"/>
        </w:numPr>
        <w:spacing w:after="120" w:line="240" w:lineRule="auto"/>
        <w:ind w:left="714" w:hanging="357"/>
        <w:jc w:val="both"/>
      </w:pPr>
      <w:r w:rsidRPr="00165957">
        <w:t xml:space="preserve">Le partenaire d’un demandeur ne peut pas se voir attribuer plus d’une subvention au titre du présent appel à propositions. </w:t>
      </w:r>
    </w:p>
    <w:p w14:paraId="357C1120" w14:textId="77777777" w:rsidR="00CA13FD" w:rsidRPr="00165957" w:rsidRDefault="00CA13FD" w:rsidP="00F41D8F">
      <w:pPr>
        <w:pStyle w:val="Paragraphedeliste"/>
        <w:spacing w:after="120" w:line="240" w:lineRule="auto"/>
        <w:ind w:left="714"/>
        <w:jc w:val="both"/>
      </w:pPr>
    </w:p>
    <w:p w14:paraId="31150C66" w14:textId="77777777" w:rsidR="00165957" w:rsidRPr="00582202" w:rsidRDefault="00165957" w:rsidP="00F41D8F">
      <w:pPr>
        <w:pStyle w:val="Paragraphedeliste"/>
        <w:spacing w:after="120" w:line="240" w:lineRule="auto"/>
        <w:ind w:left="714"/>
        <w:jc w:val="both"/>
        <w:rPr>
          <w:sz w:val="24"/>
          <w:szCs w:val="24"/>
        </w:rPr>
      </w:pPr>
    </w:p>
    <w:p w14:paraId="54AA68C7" w14:textId="2816C7FD" w:rsidR="00165957" w:rsidRPr="00165957" w:rsidRDefault="00165957" w:rsidP="00A04B06">
      <w:pPr>
        <w:pStyle w:val="Paragraphedeliste"/>
        <w:keepNext/>
        <w:keepLines/>
        <w:numPr>
          <w:ilvl w:val="0"/>
          <w:numId w:val="10"/>
        </w:numPr>
        <w:spacing w:before="200" w:after="120"/>
        <w:outlineLvl w:val="1"/>
        <w:rPr>
          <w:b/>
          <w:bCs/>
          <w:color w:val="05ADA0"/>
          <w:spacing w:val="20"/>
          <w:sz w:val="28"/>
          <w:szCs w:val="28"/>
        </w:rPr>
      </w:pPr>
      <w:bookmarkStart w:id="7" w:name="_Toc488311316"/>
      <w:r w:rsidRPr="00165957">
        <w:rPr>
          <w:b/>
          <w:bCs/>
          <w:color w:val="05ADA0"/>
          <w:spacing w:val="20"/>
          <w:sz w:val="28"/>
          <w:szCs w:val="28"/>
        </w:rPr>
        <w:t>Budget</w:t>
      </w:r>
      <w:bookmarkEnd w:id="7"/>
    </w:p>
    <w:p w14:paraId="28827FF9" w14:textId="77777777" w:rsidR="00165957" w:rsidRPr="00165957" w:rsidRDefault="00165957" w:rsidP="0071410F">
      <w:pPr>
        <w:spacing w:after="120" w:line="240" w:lineRule="auto"/>
        <w:jc w:val="both"/>
      </w:pPr>
      <w:r w:rsidRPr="00165957">
        <w:t xml:space="preserve">Les demandeurs fourniront le montant de la contribution demandée à l'autorité contractante sous forme de budget détaillé (annexe B). </w:t>
      </w:r>
    </w:p>
    <w:p w14:paraId="51FBD9BF" w14:textId="4E03E201" w:rsidR="00165957" w:rsidRDefault="00165957" w:rsidP="0071410F">
      <w:pPr>
        <w:spacing w:after="120" w:line="240" w:lineRule="auto"/>
        <w:jc w:val="both"/>
        <w:rPr>
          <w:b/>
        </w:rPr>
      </w:pPr>
      <w:r w:rsidRPr="00165957">
        <w:t xml:space="preserve">Les recommandations d’attribuer une subvention sont subordonnées à la condition que les vérifications précédant la signature du contrat de subvention ne révèlent pas de problèmes nécessitant des modifications du budget (par exemple, les erreurs arithmétiques, les inexactitudes, les coûts irréalistes et les coûts non éligibles). Cette procédure de vérification peut donner lieu à des demandes de clarification et conduire l'administration contractante à imposer des modifications ou des réductions afin de corriger ces erreurs ou inexactitudes. Ces corrections ne peuvent entraîner une augmentation de la subvention ou du pourcentage du cofinancement de l’OFII. En conséquence, il est dans l’intérêt du demandeur de fournir un </w:t>
      </w:r>
      <w:r w:rsidRPr="00165957">
        <w:rPr>
          <w:b/>
        </w:rPr>
        <w:t>budget réaliste et d’un rapport coût-efficacité convenable.</w:t>
      </w:r>
    </w:p>
    <w:p w14:paraId="18CE18E9" w14:textId="77777777" w:rsidR="005D4F20" w:rsidRPr="005D4F20" w:rsidRDefault="005D4F20" w:rsidP="0071410F">
      <w:pPr>
        <w:spacing w:after="120" w:line="240" w:lineRule="auto"/>
        <w:jc w:val="both"/>
        <w:rPr>
          <w:b/>
        </w:rPr>
      </w:pPr>
    </w:p>
    <w:p w14:paraId="55207146" w14:textId="77777777" w:rsidR="00E8553C" w:rsidRPr="00165957" w:rsidRDefault="00E8553C" w:rsidP="00A04B06">
      <w:pPr>
        <w:pStyle w:val="Paragraphedeliste"/>
        <w:keepNext/>
        <w:keepLines/>
        <w:numPr>
          <w:ilvl w:val="0"/>
          <w:numId w:val="10"/>
        </w:numPr>
        <w:spacing w:before="200" w:after="120"/>
        <w:outlineLvl w:val="1"/>
        <w:rPr>
          <w:b/>
          <w:bCs/>
          <w:color w:val="05ADA0"/>
          <w:spacing w:val="20"/>
          <w:sz w:val="28"/>
          <w:szCs w:val="28"/>
        </w:rPr>
      </w:pPr>
      <w:r w:rsidRPr="00165957">
        <w:rPr>
          <w:b/>
          <w:bCs/>
          <w:color w:val="05ADA0"/>
          <w:spacing w:val="20"/>
          <w:sz w:val="28"/>
          <w:szCs w:val="28"/>
        </w:rPr>
        <w:t>Cadre logique</w:t>
      </w:r>
    </w:p>
    <w:p w14:paraId="3844D858" w14:textId="5013F74E" w:rsidR="00E8553C" w:rsidRPr="006D1650" w:rsidRDefault="00E8553C" w:rsidP="0071410F">
      <w:pPr>
        <w:spacing w:after="120" w:line="240" w:lineRule="auto"/>
        <w:jc w:val="both"/>
      </w:pPr>
      <w:r w:rsidRPr="006D1650">
        <w:t>Les demandeurs doivent remplir un cadre logique permettant de mettre en valeur les objectifs et</w:t>
      </w:r>
      <w:r w:rsidR="00EA6394" w:rsidRPr="006D1650">
        <w:t xml:space="preserve"> </w:t>
      </w:r>
      <w:r w:rsidR="006D1650" w:rsidRPr="006D1650">
        <w:t>r</w:t>
      </w:r>
      <w:r w:rsidRPr="006D1650">
        <w:t>ésultats attendus de l’action, ainsi que les indicateurs de suivi. Le cadre logique est en annexe C.</w:t>
      </w:r>
      <w:r w:rsidRPr="006D1650">
        <w:cr/>
      </w:r>
    </w:p>
    <w:p w14:paraId="6ED8BA55" w14:textId="77777777" w:rsidR="00E8553C" w:rsidRPr="00EA6394" w:rsidRDefault="00E8553C" w:rsidP="00A04B06">
      <w:pPr>
        <w:pStyle w:val="Paragraphedeliste"/>
        <w:keepNext/>
        <w:keepLines/>
        <w:numPr>
          <w:ilvl w:val="0"/>
          <w:numId w:val="10"/>
        </w:numPr>
        <w:spacing w:before="200" w:after="120"/>
        <w:outlineLvl w:val="1"/>
        <w:rPr>
          <w:b/>
          <w:bCs/>
          <w:color w:val="05ADA0"/>
          <w:spacing w:val="20"/>
          <w:sz w:val="28"/>
          <w:szCs w:val="28"/>
        </w:rPr>
      </w:pPr>
      <w:r w:rsidRPr="00EA6394">
        <w:rPr>
          <w:b/>
          <w:bCs/>
          <w:color w:val="05ADA0"/>
          <w:spacing w:val="20"/>
          <w:sz w:val="28"/>
          <w:szCs w:val="28"/>
        </w:rPr>
        <w:lastRenderedPageBreak/>
        <w:t>Rapport et modalités de paiement</w:t>
      </w:r>
    </w:p>
    <w:p w14:paraId="3B0C8BD9" w14:textId="77777777" w:rsidR="00EA6394" w:rsidRPr="00EA6394" w:rsidRDefault="00EA6394" w:rsidP="00F41D8F">
      <w:pPr>
        <w:spacing w:after="120" w:line="240" w:lineRule="auto"/>
        <w:jc w:val="both"/>
      </w:pPr>
      <w:r w:rsidRPr="00EA6394">
        <w:t xml:space="preserve">Le(s) demandeur(s) subventionnés devront fournir un </w:t>
      </w:r>
      <w:r w:rsidRPr="00EA6394">
        <w:rPr>
          <w:b/>
        </w:rPr>
        <w:t>rapport narratif et financier intermédiaire à mi-parcours de l’action</w:t>
      </w:r>
      <w:r w:rsidRPr="00EA6394">
        <w:t xml:space="preserve">. </w:t>
      </w:r>
    </w:p>
    <w:p w14:paraId="6B5DC5C4" w14:textId="391C2286" w:rsidR="00EA6394" w:rsidRPr="00EA6394" w:rsidRDefault="00EA6394" w:rsidP="00F41D8F">
      <w:pPr>
        <w:spacing w:after="120" w:line="240" w:lineRule="auto"/>
        <w:jc w:val="both"/>
      </w:pPr>
      <w:r w:rsidRPr="00EA6394">
        <w:t xml:space="preserve">Tous les documents originaux relatifs aux dépenses éligibles (factures, contrats, </w:t>
      </w:r>
      <w:r>
        <w:t>bulletins de salaire, feuilles de temps</w:t>
      </w:r>
      <w:r w:rsidRPr="00EA6394">
        <w:t xml:space="preserve">…) seront transmis sur une base trimestrielle au </w:t>
      </w:r>
      <w:r>
        <w:t>responsable administratif et financier du projet THAMM OFII</w:t>
      </w:r>
      <w:r w:rsidRPr="00EA6394">
        <w:t xml:space="preserve"> à Tunis, afin d’être intégrés à la comptabilité du projet et aux rapports financiers transmis au bailleur. </w:t>
      </w:r>
    </w:p>
    <w:p w14:paraId="0778EA6A" w14:textId="77777777" w:rsidR="00EA6394" w:rsidRDefault="00EA6394" w:rsidP="00F41D8F">
      <w:pPr>
        <w:spacing w:after="120" w:line="240" w:lineRule="auto"/>
        <w:jc w:val="both"/>
      </w:pPr>
      <w:r w:rsidRPr="00EA6394">
        <w:t xml:space="preserve">Un </w:t>
      </w:r>
      <w:r w:rsidRPr="00EA6394">
        <w:rPr>
          <w:b/>
        </w:rPr>
        <w:t>rapport final</w:t>
      </w:r>
      <w:r w:rsidRPr="00EA6394">
        <w:t xml:space="preserve"> </w:t>
      </w:r>
      <w:r w:rsidRPr="00EA6394">
        <w:rPr>
          <w:b/>
        </w:rPr>
        <w:t>narratif et financier</w:t>
      </w:r>
      <w:r w:rsidRPr="00EA6394">
        <w:t xml:space="preserve"> devra être remis 30 jours maximum après la fin de l’action bénéficiant de la subvention.</w:t>
      </w:r>
    </w:p>
    <w:p w14:paraId="0FD71879" w14:textId="77777777" w:rsidR="008B1A7E" w:rsidRDefault="008B1A7E" w:rsidP="00F41D8F">
      <w:pPr>
        <w:spacing w:after="120" w:line="240" w:lineRule="auto"/>
        <w:jc w:val="both"/>
      </w:pPr>
    </w:p>
    <w:p w14:paraId="6CDFDF25" w14:textId="77777777" w:rsidR="00EA6394" w:rsidRPr="002C5C89" w:rsidRDefault="00EA6394" w:rsidP="002C5C89">
      <w:pPr>
        <w:spacing w:after="120" w:line="240" w:lineRule="auto"/>
        <w:jc w:val="both"/>
      </w:pPr>
      <w:r w:rsidRPr="002C5C89">
        <w:rPr>
          <w:b/>
          <w:color w:val="05ADA0"/>
        </w:rPr>
        <w:t>Échelonnement des paiements :</w:t>
      </w:r>
    </w:p>
    <w:p w14:paraId="6380874D" w14:textId="332AEC6F" w:rsidR="00EA6394" w:rsidRPr="00EA6394" w:rsidRDefault="00EA6394" w:rsidP="001C7A06">
      <w:pPr>
        <w:pStyle w:val="Paragraphedeliste"/>
        <w:numPr>
          <w:ilvl w:val="0"/>
          <w:numId w:val="11"/>
        </w:numPr>
        <w:spacing w:after="120" w:line="240" w:lineRule="auto"/>
        <w:ind w:left="284" w:hanging="284"/>
        <w:contextualSpacing w:val="0"/>
        <w:jc w:val="both"/>
      </w:pPr>
      <w:r w:rsidRPr="00EA6394">
        <w:t>Versement de la première tranche (</w:t>
      </w:r>
      <w:r w:rsidR="00300682">
        <w:t>7</w:t>
      </w:r>
      <w:r w:rsidRPr="00EA6394">
        <w:t>0% du montant total) à la signature du contrat.</w:t>
      </w:r>
    </w:p>
    <w:p w14:paraId="0D784232" w14:textId="0F1411BF" w:rsidR="002C5C89" w:rsidRPr="00D034C6" w:rsidRDefault="00EA6394" w:rsidP="002C5C89">
      <w:pPr>
        <w:pStyle w:val="Paragraphedeliste"/>
        <w:numPr>
          <w:ilvl w:val="0"/>
          <w:numId w:val="11"/>
        </w:numPr>
        <w:spacing w:after="120" w:line="240" w:lineRule="auto"/>
        <w:ind w:left="284" w:hanging="284"/>
        <w:contextualSpacing w:val="0"/>
        <w:jc w:val="both"/>
      </w:pPr>
      <w:r w:rsidRPr="00EA6394">
        <w:t>Versement de la deuxième tranche (</w:t>
      </w:r>
      <w:r w:rsidR="001A291C">
        <w:t>3</w:t>
      </w:r>
      <w:r w:rsidRPr="00EA6394">
        <w:t>0%</w:t>
      </w:r>
      <w:r w:rsidR="001C7A06">
        <w:t xml:space="preserve"> </w:t>
      </w:r>
      <w:r w:rsidRPr="00EA6394">
        <w:t>du montant total) après validation du rapport intermédiaire.</w:t>
      </w:r>
      <w:r w:rsidR="002C5C89">
        <w:t xml:space="preserve"> </w:t>
      </w:r>
      <w:r w:rsidR="002C5C89" w:rsidRPr="00EA6394">
        <w:t xml:space="preserve">Le versement des fonds sera bloqué en cas d’inexécution budgétaire de </w:t>
      </w:r>
      <w:r w:rsidR="002C5C89">
        <w:t>5</w:t>
      </w:r>
      <w:r w:rsidR="002C5C89" w:rsidRPr="00EA6394">
        <w:t xml:space="preserve">0% sur la tranche précédente. </w:t>
      </w:r>
    </w:p>
    <w:p w14:paraId="627282FE" w14:textId="77777777" w:rsidR="0071410F" w:rsidRDefault="0071410F" w:rsidP="0071410F">
      <w:pPr>
        <w:tabs>
          <w:tab w:val="left" w:pos="5970"/>
        </w:tabs>
        <w:spacing w:after="0" w:line="240" w:lineRule="auto"/>
        <w:rPr>
          <w:rFonts w:ascii="Calibri" w:hAnsi="Calibri"/>
          <w:b/>
          <w:color w:val="05ADA0"/>
          <w:sz w:val="28"/>
          <w:szCs w:val="28"/>
        </w:rPr>
      </w:pPr>
      <w:bookmarkStart w:id="8" w:name="_Toc488311319"/>
    </w:p>
    <w:p w14:paraId="03F2BF12" w14:textId="77777777" w:rsidR="0071410F" w:rsidRDefault="0071410F" w:rsidP="0071410F">
      <w:pPr>
        <w:tabs>
          <w:tab w:val="left" w:pos="5970"/>
        </w:tabs>
        <w:spacing w:after="0" w:line="240" w:lineRule="auto"/>
      </w:pPr>
    </w:p>
    <w:p w14:paraId="1298BC5B" w14:textId="77777777" w:rsidR="0071410F" w:rsidRPr="000C7B6D" w:rsidRDefault="0071410F" w:rsidP="0071410F">
      <w:pPr>
        <w:tabs>
          <w:tab w:val="left" w:pos="5970"/>
        </w:tabs>
        <w:spacing w:after="0" w:line="240" w:lineRule="auto"/>
      </w:pPr>
    </w:p>
    <w:p w14:paraId="7EDBE595" w14:textId="0F214A72" w:rsidR="00631B05" w:rsidRPr="00631B05" w:rsidRDefault="00631B05" w:rsidP="00631B05">
      <w:pPr>
        <w:spacing w:line="240" w:lineRule="auto"/>
        <w:jc w:val="center"/>
        <w:rPr>
          <w:rFonts w:ascii="Calibri" w:hAnsi="Calibri"/>
          <w:b/>
          <w:color w:val="05ADA0"/>
          <w:sz w:val="28"/>
          <w:szCs w:val="28"/>
        </w:rPr>
      </w:pPr>
      <w:r>
        <w:rPr>
          <w:rFonts w:ascii="Calibri" w:hAnsi="Calibri"/>
          <w:b/>
          <w:color w:val="05ADA0"/>
          <w:sz w:val="28"/>
          <w:szCs w:val="28"/>
        </w:rPr>
        <w:t>V</w:t>
      </w:r>
      <w:r w:rsidR="004516BE">
        <w:rPr>
          <w:rFonts w:ascii="Calibri" w:hAnsi="Calibri"/>
          <w:b/>
          <w:color w:val="05ADA0"/>
          <w:sz w:val="28"/>
          <w:szCs w:val="28"/>
        </w:rPr>
        <w:t xml:space="preserve"> -</w:t>
      </w:r>
      <w:r>
        <w:rPr>
          <w:rFonts w:ascii="Calibri" w:hAnsi="Calibri"/>
          <w:b/>
          <w:color w:val="05ADA0"/>
          <w:sz w:val="28"/>
          <w:szCs w:val="28"/>
        </w:rPr>
        <w:t xml:space="preserve"> </w:t>
      </w:r>
      <w:r w:rsidR="003823F0" w:rsidRPr="00631B05">
        <w:rPr>
          <w:rFonts w:ascii="Calibri" w:hAnsi="Calibri"/>
          <w:b/>
          <w:color w:val="05ADA0"/>
          <w:sz w:val="28"/>
          <w:szCs w:val="28"/>
        </w:rPr>
        <w:t>CRIT</w:t>
      </w:r>
      <w:r w:rsidR="003823F0">
        <w:rPr>
          <w:rFonts w:ascii="Calibri" w:hAnsi="Calibri"/>
          <w:b/>
          <w:color w:val="05ADA0"/>
          <w:sz w:val="28"/>
          <w:szCs w:val="28"/>
        </w:rPr>
        <w:t>È</w:t>
      </w:r>
      <w:r w:rsidR="003823F0" w:rsidRPr="00631B05">
        <w:rPr>
          <w:rFonts w:ascii="Calibri" w:hAnsi="Calibri"/>
          <w:b/>
          <w:color w:val="05ADA0"/>
          <w:sz w:val="28"/>
          <w:szCs w:val="28"/>
        </w:rPr>
        <w:t>RES D’</w:t>
      </w:r>
      <w:r w:rsidR="003823F0">
        <w:rPr>
          <w:rFonts w:ascii="Calibri" w:hAnsi="Calibri"/>
          <w:b/>
          <w:color w:val="05ADA0"/>
          <w:sz w:val="28"/>
          <w:szCs w:val="28"/>
        </w:rPr>
        <w:t>É</w:t>
      </w:r>
      <w:r w:rsidR="003823F0" w:rsidRPr="00631B05">
        <w:rPr>
          <w:rFonts w:ascii="Calibri" w:hAnsi="Calibri"/>
          <w:b/>
          <w:color w:val="05ADA0"/>
          <w:sz w:val="28"/>
          <w:szCs w:val="28"/>
        </w:rPr>
        <w:t>VALUATION DES DEMANDES</w:t>
      </w:r>
      <w:bookmarkEnd w:id="8"/>
    </w:p>
    <w:p w14:paraId="633C42E9" w14:textId="77777777" w:rsidR="00631B05" w:rsidRDefault="00631B05" w:rsidP="00631B05">
      <w:pPr>
        <w:spacing w:after="0" w:line="240" w:lineRule="auto"/>
        <w:jc w:val="both"/>
        <w:rPr>
          <w:sz w:val="24"/>
          <w:szCs w:val="24"/>
        </w:rPr>
      </w:pPr>
    </w:p>
    <w:p w14:paraId="55038C4C" w14:textId="77777777" w:rsidR="00631B05" w:rsidRPr="00CA13FD" w:rsidRDefault="00631B05" w:rsidP="00631B05">
      <w:pPr>
        <w:spacing w:after="0" w:line="240" w:lineRule="auto"/>
        <w:jc w:val="both"/>
      </w:pPr>
      <w:r w:rsidRPr="00CA13FD">
        <w:t>1 = très insuffisant</w:t>
      </w:r>
    </w:p>
    <w:p w14:paraId="042A3387" w14:textId="77777777" w:rsidR="00631B05" w:rsidRPr="00CA13FD" w:rsidRDefault="00631B05" w:rsidP="00631B05">
      <w:pPr>
        <w:spacing w:after="0" w:line="240" w:lineRule="auto"/>
        <w:jc w:val="both"/>
      </w:pPr>
      <w:r w:rsidRPr="00CA13FD">
        <w:t>2 = insuffisant</w:t>
      </w:r>
    </w:p>
    <w:p w14:paraId="62077571" w14:textId="77777777" w:rsidR="00631B05" w:rsidRPr="00CA13FD" w:rsidRDefault="00631B05" w:rsidP="00631B05">
      <w:pPr>
        <w:spacing w:after="0" w:line="240" w:lineRule="auto"/>
        <w:jc w:val="both"/>
      </w:pPr>
      <w:r w:rsidRPr="00CA13FD">
        <w:t>3 = moyen</w:t>
      </w:r>
    </w:p>
    <w:p w14:paraId="5331611E" w14:textId="77777777" w:rsidR="00631B05" w:rsidRPr="00CA13FD" w:rsidRDefault="00631B05" w:rsidP="00631B05">
      <w:pPr>
        <w:spacing w:after="0" w:line="240" w:lineRule="auto"/>
        <w:jc w:val="both"/>
      </w:pPr>
      <w:r w:rsidRPr="00CA13FD">
        <w:t>4 = bon</w:t>
      </w:r>
    </w:p>
    <w:p w14:paraId="28679969" w14:textId="77777777" w:rsidR="00631B05" w:rsidRPr="00CA13FD" w:rsidRDefault="00631B05" w:rsidP="00631B05">
      <w:pPr>
        <w:jc w:val="both"/>
      </w:pPr>
      <w:r w:rsidRPr="00CA13FD">
        <w:t>5 = très bon</w:t>
      </w:r>
    </w:p>
    <w:p w14:paraId="7B967309" w14:textId="5F8D16FF" w:rsidR="00E8553C" w:rsidRDefault="00E8553C" w:rsidP="00E8553C">
      <w:pPr>
        <w:spacing w:after="200" w:line="276" w:lineRule="auto"/>
        <w:rPr>
          <w:highlight w:val="yellow"/>
        </w:rPr>
      </w:pPr>
    </w:p>
    <w:tbl>
      <w:tblPr>
        <w:tblStyle w:val="Grilledutableau"/>
        <w:tblW w:w="0" w:type="auto"/>
        <w:tblLook w:val="04A0" w:firstRow="1" w:lastRow="0" w:firstColumn="1" w:lastColumn="0" w:noHBand="0" w:noVBand="1"/>
      </w:tblPr>
      <w:tblGrid>
        <w:gridCol w:w="8334"/>
        <w:gridCol w:w="726"/>
      </w:tblGrid>
      <w:tr w:rsidR="00E8553C" w:rsidRPr="00CA13FD" w14:paraId="633EE3A9" w14:textId="77777777" w:rsidTr="00C02E5D">
        <w:tc>
          <w:tcPr>
            <w:tcW w:w="0" w:type="auto"/>
          </w:tcPr>
          <w:p w14:paraId="5E58409F" w14:textId="77777777" w:rsidR="00E8553C" w:rsidRPr="00CA13FD" w:rsidRDefault="00E8553C" w:rsidP="00C02E5D">
            <w:pPr>
              <w:spacing w:before="60" w:after="60" w:line="240" w:lineRule="auto"/>
              <w:jc w:val="center"/>
              <w:rPr>
                <w:rFonts w:cstheme="minorHAnsi"/>
                <w:b/>
              </w:rPr>
            </w:pPr>
            <w:r w:rsidRPr="00CA13FD">
              <w:rPr>
                <w:rFonts w:cstheme="minorHAnsi"/>
                <w:b/>
              </w:rPr>
              <w:t>RUBRIQUE</w:t>
            </w:r>
          </w:p>
        </w:tc>
        <w:tc>
          <w:tcPr>
            <w:tcW w:w="0" w:type="auto"/>
          </w:tcPr>
          <w:p w14:paraId="7AB3EAAD" w14:textId="77777777" w:rsidR="00E8553C" w:rsidRPr="00CA13FD" w:rsidRDefault="00E8553C" w:rsidP="00C02E5D">
            <w:pPr>
              <w:spacing w:before="60" w:after="60" w:line="240" w:lineRule="auto"/>
              <w:jc w:val="center"/>
              <w:rPr>
                <w:rFonts w:cstheme="minorHAnsi"/>
                <w:b/>
              </w:rPr>
            </w:pPr>
            <w:r w:rsidRPr="00CA13FD">
              <w:rPr>
                <w:rFonts w:cstheme="minorHAnsi"/>
                <w:b/>
              </w:rPr>
              <w:t>NOTE</w:t>
            </w:r>
          </w:p>
        </w:tc>
      </w:tr>
      <w:tr w:rsidR="00E8553C" w:rsidRPr="00CA13FD" w14:paraId="0DD7DA14" w14:textId="77777777" w:rsidTr="00C02E5D">
        <w:tc>
          <w:tcPr>
            <w:tcW w:w="0" w:type="auto"/>
            <w:shd w:val="clear" w:color="auto" w:fill="B8CCE4" w:themeFill="accent1" w:themeFillTint="66"/>
          </w:tcPr>
          <w:p w14:paraId="7EB0AB20" w14:textId="2A6390DB" w:rsidR="00E8553C" w:rsidRPr="00CA13FD" w:rsidRDefault="001370FB" w:rsidP="00A04B06">
            <w:pPr>
              <w:pStyle w:val="Paragraphedeliste"/>
              <w:numPr>
                <w:ilvl w:val="0"/>
                <w:numId w:val="4"/>
              </w:numPr>
              <w:spacing w:before="60" w:after="60" w:line="240" w:lineRule="auto"/>
              <w:contextualSpacing w:val="0"/>
              <w:jc w:val="both"/>
              <w:rPr>
                <w:rFonts w:cstheme="minorHAnsi"/>
                <w:b/>
              </w:rPr>
            </w:pPr>
            <w:r w:rsidRPr="001370FB">
              <w:rPr>
                <w:rFonts w:cstheme="minorHAnsi"/>
                <w:b/>
              </w:rPr>
              <w:t>Connaissance du marché et des tendances émergentes :</w:t>
            </w:r>
          </w:p>
        </w:tc>
        <w:tc>
          <w:tcPr>
            <w:tcW w:w="0" w:type="auto"/>
            <w:shd w:val="clear" w:color="auto" w:fill="B8CCE4" w:themeFill="accent1" w:themeFillTint="66"/>
          </w:tcPr>
          <w:p w14:paraId="5AA1D792" w14:textId="77777777" w:rsidR="00E8553C" w:rsidRPr="00CA13FD" w:rsidRDefault="00E8553C" w:rsidP="00C02E5D">
            <w:pPr>
              <w:spacing w:before="60" w:after="60" w:line="240" w:lineRule="auto"/>
              <w:jc w:val="center"/>
              <w:rPr>
                <w:rFonts w:cstheme="minorHAnsi"/>
                <w:b/>
              </w:rPr>
            </w:pPr>
          </w:p>
        </w:tc>
      </w:tr>
      <w:tr w:rsidR="00E8553C" w:rsidRPr="00CA13FD" w14:paraId="47A0BC59" w14:textId="77777777" w:rsidTr="00C02E5D">
        <w:tc>
          <w:tcPr>
            <w:tcW w:w="0" w:type="auto"/>
          </w:tcPr>
          <w:p w14:paraId="2CD5E32B" w14:textId="53790581" w:rsidR="00E8553C" w:rsidRPr="00CA13FD" w:rsidRDefault="00E8553C" w:rsidP="00C02E5D">
            <w:pPr>
              <w:spacing w:before="60" w:after="60" w:line="240" w:lineRule="auto"/>
              <w:jc w:val="both"/>
              <w:rPr>
                <w:rFonts w:cstheme="minorHAnsi"/>
                <w:b/>
              </w:rPr>
            </w:pPr>
            <w:r w:rsidRPr="00CA13FD">
              <w:rPr>
                <w:rFonts w:cstheme="minorHAnsi"/>
              </w:rPr>
              <w:t xml:space="preserve">1.1 </w:t>
            </w:r>
            <w:r w:rsidR="001370FB" w:rsidRPr="001370FB">
              <w:rPr>
                <w:rFonts w:cstheme="minorHAnsi"/>
              </w:rPr>
              <w:t>Compréhension démontrée des compétences et des métiers émergents.</w:t>
            </w:r>
          </w:p>
        </w:tc>
        <w:tc>
          <w:tcPr>
            <w:tcW w:w="0" w:type="auto"/>
          </w:tcPr>
          <w:p w14:paraId="2478C16A" w14:textId="77777777" w:rsidR="00E8553C" w:rsidRPr="00CA13FD" w:rsidRDefault="00E8553C" w:rsidP="00C02E5D">
            <w:pPr>
              <w:spacing w:before="60" w:after="60" w:line="240" w:lineRule="auto"/>
              <w:jc w:val="center"/>
              <w:rPr>
                <w:rFonts w:cstheme="minorHAnsi"/>
                <w:b/>
              </w:rPr>
            </w:pPr>
          </w:p>
        </w:tc>
      </w:tr>
      <w:tr w:rsidR="00E8553C" w:rsidRPr="00CA13FD" w14:paraId="3A1CC405" w14:textId="77777777" w:rsidTr="00C02E5D">
        <w:tc>
          <w:tcPr>
            <w:tcW w:w="0" w:type="auto"/>
          </w:tcPr>
          <w:p w14:paraId="7C668F0D" w14:textId="00DD186A" w:rsidR="00E8553C" w:rsidRPr="00CA13FD" w:rsidRDefault="00E8553C" w:rsidP="00C02E5D">
            <w:pPr>
              <w:spacing w:before="60" w:after="60" w:line="240" w:lineRule="auto"/>
              <w:jc w:val="both"/>
              <w:rPr>
                <w:rFonts w:cstheme="minorHAnsi"/>
                <w:b/>
              </w:rPr>
            </w:pPr>
            <w:r w:rsidRPr="00CA13FD">
              <w:rPr>
                <w:rFonts w:cstheme="minorHAnsi"/>
              </w:rPr>
              <w:t xml:space="preserve">1.2 </w:t>
            </w:r>
            <w:r w:rsidR="001370FB" w:rsidRPr="001370FB">
              <w:rPr>
                <w:rFonts w:cstheme="minorHAnsi"/>
              </w:rPr>
              <w:t>Analyse prospective solide pour identifier les besoins futurs du marché du travail.</w:t>
            </w:r>
          </w:p>
        </w:tc>
        <w:tc>
          <w:tcPr>
            <w:tcW w:w="0" w:type="auto"/>
          </w:tcPr>
          <w:p w14:paraId="058AD512" w14:textId="77777777" w:rsidR="00E8553C" w:rsidRPr="00CA13FD" w:rsidRDefault="00E8553C" w:rsidP="00C02E5D">
            <w:pPr>
              <w:spacing w:before="60" w:after="60" w:line="240" w:lineRule="auto"/>
              <w:jc w:val="center"/>
              <w:rPr>
                <w:rFonts w:cstheme="minorHAnsi"/>
                <w:b/>
              </w:rPr>
            </w:pPr>
          </w:p>
        </w:tc>
      </w:tr>
      <w:tr w:rsidR="00051E7E" w:rsidRPr="00CA13FD" w14:paraId="6DA4E806" w14:textId="77777777" w:rsidTr="00C02E5D">
        <w:tc>
          <w:tcPr>
            <w:tcW w:w="0" w:type="auto"/>
          </w:tcPr>
          <w:p w14:paraId="5D86CAF2" w14:textId="77791099" w:rsidR="00051E7E" w:rsidRPr="00CA13FD" w:rsidRDefault="00051E7E" w:rsidP="00C02E5D">
            <w:pPr>
              <w:spacing w:before="60" w:after="60" w:line="240" w:lineRule="auto"/>
              <w:jc w:val="both"/>
              <w:rPr>
                <w:rFonts w:cstheme="minorHAnsi"/>
              </w:rPr>
            </w:pPr>
            <w:r>
              <w:rPr>
                <w:rFonts w:cstheme="minorHAnsi"/>
              </w:rPr>
              <w:t xml:space="preserve">1.3 </w:t>
            </w:r>
            <w:r w:rsidRPr="00051E7E">
              <w:rPr>
                <w:rFonts w:cstheme="minorHAnsi"/>
              </w:rPr>
              <w:t>Prévision et anticipation</w:t>
            </w:r>
            <w:r>
              <w:rPr>
                <w:rFonts w:cstheme="minorHAnsi"/>
              </w:rPr>
              <w:t xml:space="preserve"> des </w:t>
            </w:r>
            <w:r w:rsidRPr="00051E7E">
              <w:rPr>
                <w:rFonts w:cstheme="minorHAnsi"/>
              </w:rPr>
              <w:t>nouvelles technologies et innovations</w:t>
            </w:r>
          </w:p>
        </w:tc>
        <w:tc>
          <w:tcPr>
            <w:tcW w:w="0" w:type="auto"/>
          </w:tcPr>
          <w:p w14:paraId="17247B8F" w14:textId="77777777" w:rsidR="00051E7E" w:rsidRPr="00CA13FD" w:rsidRDefault="00051E7E" w:rsidP="00C02E5D">
            <w:pPr>
              <w:spacing w:before="60" w:after="60" w:line="240" w:lineRule="auto"/>
              <w:jc w:val="center"/>
              <w:rPr>
                <w:rFonts w:cstheme="minorHAnsi"/>
                <w:b/>
              </w:rPr>
            </w:pPr>
          </w:p>
        </w:tc>
      </w:tr>
      <w:tr w:rsidR="00E8553C" w:rsidRPr="00CA13FD" w14:paraId="7E993E60" w14:textId="77777777" w:rsidTr="00C02E5D">
        <w:tc>
          <w:tcPr>
            <w:tcW w:w="0" w:type="auto"/>
            <w:shd w:val="clear" w:color="auto" w:fill="B8CCE4" w:themeFill="accent1" w:themeFillTint="66"/>
          </w:tcPr>
          <w:p w14:paraId="34C37C28" w14:textId="77777777" w:rsidR="00E8553C" w:rsidRPr="00CA13FD" w:rsidRDefault="00E8553C" w:rsidP="00A04B06">
            <w:pPr>
              <w:pStyle w:val="Paragraphedeliste"/>
              <w:numPr>
                <w:ilvl w:val="0"/>
                <w:numId w:val="4"/>
              </w:numPr>
              <w:spacing w:before="60" w:after="60" w:line="240" w:lineRule="auto"/>
              <w:contextualSpacing w:val="0"/>
              <w:jc w:val="both"/>
              <w:rPr>
                <w:rFonts w:cstheme="minorHAnsi"/>
                <w:b/>
              </w:rPr>
            </w:pPr>
            <w:r w:rsidRPr="00CA13FD">
              <w:rPr>
                <w:rFonts w:cstheme="minorHAnsi"/>
                <w:b/>
              </w:rPr>
              <w:t>Pertinence de l’action</w:t>
            </w:r>
          </w:p>
        </w:tc>
        <w:tc>
          <w:tcPr>
            <w:tcW w:w="0" w:type="auto"/>
            <w:shd w:val="clear" w:color="auto" w:fill="B8CCE4" w:themeFill="accent1" w:themeFillTint="66"/>
          </w:tcPr>
          <w:p w14:paraId="4A7ED409" w14:textId="77777777" w:rsidR="00E8553C" w:rsidRPr="00CA13FD" w:rsidRDefault="00E8553C" w:rsidP="00C02E5D">
            <w:pPr>
              <w:spacing w:before="60" w:after="60" w:line="240" w:lineRule="auto"/>
              <w:jc w:val="center"/>
              <w:rPr>
                <w:rFonts w:cstheme="minorHAnsi"/>
                <w:b/>
              </w:rPr>
            </w:pPr>
          </w:p>
        </w:tc>
      </w:tr>
      <w:tr w:rsidR="00E8553C" w:rsidRPr="00CA13FD" w14:paraId="7E3A72AF" w14:textId="77777777" w:rsidTr="00C02E5D">
        <w:trPr>
          <w:trHeight w:val="48"/>
        </w:trPr>
        <w:tc>
          <w:tcPr>
            <w:tcW w:w="0" w:type="auto"/>
          </w:tcPr>
          <w:p w14:paraId="57FAD24C" w14:textId="50524B3B" w:rsidR="00E8553C" w:rsidRPr="00CA13FD" w:rsidRDefault="00E8553C" w:rsidP="00C02E5D">
            <w:pPr>
              <w:spacing w:before="60" w:after="60" w:line="240" w:lineRule="auto"/>
              <w:jc w:val="both"/>
              <w:rPr>
                <w:rFonts w:cstheme="minorHAnsi"/>
                <w:b/>
                <w:i/>
              </w:rPr>
            </w:pPr>
            <w:r w:rsidRPr="00CA13FD">
              <w:rPr>
                <w:rFonts w:cstheme="minorHAnsi"/>
              </w:rPr>
              <w:t>2.1 Pertinence de la proposition par rapport aux objectifs et priorités des lignes directrices</w:t>
            </w:r>
          </w:p>
        </w:tc>
        <w:tc>
          <w:tcPr>
            <w:tcW w:w="0" w:type="auto"/>
          </w:tcPr>
          <w:p w14:paraId="4C629D54" w14:textId="77777777" w:rsidR="00E8553C" w:rsidRPr="00CA13FD" w:rsidRDefault="00E8553C" w:rsidP="00C02E5D">
            <w:pPr>
              <w:spacing w:before="60" w:after="60" w:line="240" w:lineRule="auto"/>
              <w:jc w:val="center"/>
              <w:rPr>
                <w:rFonts w:cstheme="minorHAnsi"/>
                <w:b/>
              </w:rPr>
            </w:pPr>
          </w:p>
        </w:tc>
      </w:tr>
      <w:tr w:rsidR="00E8553C" w:rsidRPr="00CA13FD" w14:paraId="77E7AA01" w14:textId="77777777" w:rsidTr="00C02E5D">
        <w:trPr>
          <w:trHeight w:val="42"/>
        </w:trPr>
        <w:tc>
          <w:tcPr>
            <w:tcW w:w="0" w:type="auto"/>
          </w:tcPr>
          <w:p w14:paraId="59E67BFA" w14:textId="4D1686F2" w:rsidR="00E8553C" w:rsidRPr="00CA13FD" w:rsidRDefault="00E8553C" w:rsidP="00C02E5D">
            <w:pPr>
              <w:spacing w:before="60" w:after="60" w:line="240" w:lineRule="auto"/>
              <w:jc w:val="both"/>
              <w:rPr>
                <w:rFonts w:cstheme="minorHAnsi"/>
                <w:i/>
              </w:rPr>
            </w:pPr>
            <w:r w:rsidRPr="00CA13FD">
              <w:rPr>
                <w:rFonts w:cstheme="minorHAnsi"/>
              </w:rPr>
              <w:t xml:space="preserve">2.2 </w:t>
            </w:r>
            <w:r w:rsidR="001370FB" w:rsidRPr="001370FB">
              <w:rPr>
                <w:rFonts w:cstheme="minorHAnsi"/>
              </w:rPr>
              <w:t>Alignement du projet avec les besoins identifiés</w:t>
            </w:r>
          </w:p>
        </w:tc>
        <w:tc>
          <w:tcPr>
            <w:tcW w:w="0" w:type="auto"/>
          </w:tcPr>
          <w:p w14:paraId="7A2EFE88" w14:textId="77777777" w:rsidR="00E8553C" w:rsidRPr="00CA13FD" w:rsidRDefault="00E8553C" w:rsidP="00C02E5D">
            <w:pPr>
              <w:spacing w:before="60" w:after="60" w:line="240" w:lineRule="auto"/>
              <w:jc w:val="center"/>
              <w:rPr>
                <w:rFonts w:cstheme="minorHAnsi"/>
                <w:b/>
              </w:rPr>
            </w:pPr>
          </w:p>
        </w:tc>
      </w:tr>
      <w:tr w:rsidR="00E8553C" w:rsidRPr="00CA13FD" w14:paraId="760CB1E5" w14:textId="77777777" w:rsidTr="00C02E5D">
        <w:trPr>
          <w:trHeight w:val="42"/>
        </w:trPr>
        <w:tc>
          <w:tcPr>
            <w:tcW w:w="0" w:type="auto"/>
          </w:tcPr>
          <w:p w14:paraId="0D71D949" w14:textId="2ECED872" w:rsidR="00E8553C" w:rsidRPr="00CA13FD" w:rsidRDefault="00E8553C" w:rsidP="003B2BB2">
            <w:pPr>
              <w:spacing w:before="60" w:after="60" w:line="240" w:lineRule="auto"/>
              <w:jc w:val="both"/>
              <w:rPr>
                <w:rFonts w:cstheme="minorHAnsi"/>
                <w:i/>
              </w:rPr>
            </w:pPr>
            <w:r w:rsidRPr="00CA13FD">
              <w:rPr>
                <w:rFonts w:cstheme="minorHAnsi"/>
              </w:rPr>
              <w:t xml:space="preserve">2.3 </w:t>
            </w:r>
            <w:r w:rsidR="001370FB" w:rsidRPr="001370FB">
              <w:rPr>
                <w:rFonts w:cstheme="minorHAnsi"/>
              </w:rPr>
              <w:t>Originalité et caractère novateur du projet</w:t>
            </w:r>
          </w:p>
        </w:tc>
        <w:tc>
          <w:tcPr>
            <w:tcW w:w="0" w:type="auto"/>
          </w:tcPr>
          <w:p w14:paraId="63A96ECE" w14:textId="77777777" w:rsidR="00E8553C" w:rsidRPr="00CA13FD" w:rsidRDefault="00E8553C" w:rsidP="00C02E5D">
            <w:pPr>
              <w:spacing w:before="60" w:after="60" w:line="240" w:lineRule="auto"/>
              <w:jc w:val="center"/>
              <w:rPr>
                <w:rFonts w:cstheme="minorHAnsi"/>
                <w:b/>
              </w:rPr>
            </w:pPr>
          </w:p>
        </w:tc>
      </w:tr>
      <w:tr w:rsidR="00051E7E" w:rsidRPr="00CA13FD" w14:paraId="299E4962" w14:textId="77777777" w:rsidTr="00C02E5D">
        <w:trPr>
          <w:trHeight w:val="42"/>
        </w:trPr>
        <w:tc>
          <w:tcPr>
            <w:tcW w:w="0" w:type="auto"/>
          </w:tcPr>
          <w:p w14:paraId="2280B535" w14:textId="001D01A9" w:rsidR="00051E7E" w:rsidRPr="00CA13FD" w:rsidRDefault="00051E7E" w:rsidP="003B2BB2">
            <w:pPr>
              <w:spacing w:before="60" w:after="60" w:line="240" w:lineRule="auto"/>
              <w:jc w:val="both"/>
              <w:rPr>
                <w:rFonts w:cstheme="minorHAnsi"/>
              </w:rPr>
            </w:pPr>
            <w:r>
              <w:rPr>
                <w:rFonts w:cstheme="minorHAnsi"/>
              </w:rPr>
              <w:t>2.4 C</w:t>
            </w:r>
            <w:r w:rsidRPr="00051E7E">
              <w:rPr>
                <w:rFonts w:cstheme="minorHAnsi"/>
              </w:rPr>
              <w:t>larté sur les retombées positives et l'impact envisagé sur le public cible</w:t>
            </w:r>
          </w:p>
        </w:tc>
        <w:tc>
          <w:tcPr>
            <w:tcW w:w="0" w:type="auto"/>
          </w:tcPr>
          <w:p w14:paraId="3EB46548" w14:textId="77777777" w:rsidR="00051E7E" w:rsidRPr="00CA13FD" w:rsidRDefault="00051E7E" w:rsidP="00C02E5D">
            <w:pPr>
              <w:spacing w:before="60" w:after="60" w:line="240" w:lineRule="auto"/>
              <w:jc w:val="center"/>
              <w:rPr>
                <w:rFonts w:cstheme="minorHAnsi"/>
                <w:b/>
              </w:rPr>
            </w:pPr>
          </w:p>
        </w:tc>
      </w:tr>
      <w:tr w:rsidR="00E8553C" w:rsidRPr="00CA13FD" w14:paraId="33305C84" w14:textId="77777777" w:rsidTr="00300682">
        <w:trPr>
          <w:trHeight w:val="42"/>
        </w:trPr>
        <w:tc>
          <w:tcPr>
            <w:tcW w:w="0" w:type="auto"/>
            <w:shd w:val="clear" w:color="auto" w:fill="B8CCE4" w:themeFill="accent1" w:themeFillTint="66"/>
          </w:tcPr>
          <w:p w14:paraId="626A3332" w14:textId="7CB32CAE" w:rsidR="00E8553C" w:rsidRPr="00CA13FD" w:rsidRDefault="001370FB" w:rsidP="00A04B06">
            <w:pPr>
              <w:pStyle w:val="Paragraphedeliste"/>
              <w:numPr>
                <w:ilvl w:val="0"/>
                <w:numId w:val="4"/>
              </w:numPr>
              <w:spacing w:before="60" w:after="60" w:line="240" w:lineRule="auto"/>
              <w:contextualSpacing w:val="0"/>
              <w:jc w:val="both"/>
              <w:rPr>
                <w:rFonts w:cstheme="minorHAnsi"/>
                <w:b/>
              </w:rPr>
            </w:pPr>
            <w:r w:rsidRPr="001370FB">
              <w:rPr>
                <w:rFonts w:cstheme="minorHAnsi"/>
                <w:b/>
              </w:rPr>
              <w:t>Approche méthodologique et opérationnelle</w:t>
            </w:r>
          </w:p>
        </w:tc>
        <w:tc>
          <w:tcPr>
            <w:tcW w:w="0" w:type="auto"/>
            <w:shd w:val="clear" w:color="auto" w:fill="B8CCE4" w:themeFill="accent1" w:themeFillTint="66"/>
          </w:tcPr>
          <w:p w14:paraId="1F3AF0B0" w14:textId="77777777" w:rsidR="00E8553C" w:rsidRPr="00CA13FD" w:rsidRDefault="00E8553C" w:rsidP="00C02E5D">
            <w:pPr>
              <w:spacing w:before="60" w:after="60" w:line="240" w:lineRule="auto"/>
              <w:jc w:val="center"/>
              <w:rPr>
                <w:rFonts w:cstheme="minorHAnsi"/>
                <w:b/>
              </w:rPr>
            </w:pPr>
          </w:p>
        </w:tc>
      </w:tr>
      <w:tr w:rsidR="00E8553C" w:rsidRPr="00CA13FD" w14:paraId="64045098" w14:textId="77777777" w:rsidTr="00C02E5D">
        <w:trPr>
          <w:trHeight w:val="42"/>
        </w:trPr>
        <w:tc>
          <w:tcPr>
            <w:tcW w:w="0" w:type="auto"/>
          </w:tcPr>
          <w:p w14:paraId="6159FFDB" w14:textId="48176993" w:rsidR="00E8553C" w:rsidRPr="00CA13FD" w:rsidRDefault="00E8553C" w:rsidP="00C02E5D">
            <w:pPr>
              <w:spacing w:before="60" w:after="60" w:line="240" w:lineRule="auto"/>
              <w:jc w:val="both"/>
              <w:rPr>
                <w:rFonts w:cstheme="minorHAnsi"/>
                <w:i/>
              </w:rPr>
            </w:pPr>
            <w:r w:rsidRPr="00CA13FD">
              <w:rPr>
                <w:rFonts w:cstheme="minorHAnsi"/>
              </w:rPr>
              <w:t xml:space="preserve">3.1 </w:t>
            </w:r>
            <w:r w:rsidR="001370FB" w:rsidRPr="001370FB">
              <w:rPr>
                <w:rFonts w:cstheme="minorHAnsi"/>
              </w:rPr>
              <w:t>Clarté dans la conception et la méthodologie proposée</w:t>
            </w:r>
          </w:p>
        </w:tc>
        <w:tc>
          <w:tcPr>
            <w:tcW w:w="0" w:type="auto"/>
          </w:tcPr>
          <w:p w14:paraId="54B94E79" w14:textId="77777777" w:rsidR="00E8553C" w:rsidRPr="00CA13FD" w:rsidRDefault="00E8553C" w:rsidP="00C02E5D">
            <w:pPr>
              <w:spacing w:before="60" w:after="60" w:line="240" w:lineRule="auto"/>
              <w:jc w:val="center"/>
              <w:rPr>
                <w:rFonts w:cstheme="minorHAnsi"/>
                <w:b/>
              </w:rPr>
            </w:pPr>
          </w:p>
        </w:tc>
      </w:tr>
      <w:tr w:rsidR="00E8553C" w:rsidRPr="00CA13FD" w14:paraId="70893156" w14:textId="77777777" w:rsidTr="00C02E5D">
        <w:trPr>
          <w:trHeight w:val="42"/>
        </w:trPr>
        <w:tc>
          <w:tcPr>
            <w:tcW w:w="0" w:type="auto"/>
          </w:tcPr>
          <w:p w14:paraId="1494D2DA" w14:textId="024511F7" w:rsidR="00E8553C" w:rsidRPr="00CA13FD" w:rsidRDefault="00E8553C" w:rsidP="00C02E5D">
            <w:pPr>
              <w:spacing w:before="60" w:after="60" w:line="240" w:lineRule="auto"/>
              <w:jc w:val="both"/>
              <w:rPr>
                <w:rFonts w:cstheme="minorHAnsi"/>
                <w:i/>
              </w:rPr>
            </w:pPr>
            <w:r w:rsidRPr="00CA13FD">
              <w:rPr>
                <w:rFonts w:cstheme="minorHAnsi"/>
              </w:rPr>
              <w:t xml:space="preserve">3.2 </w:t>
            </w:r>
            <w:r w:rsidR="004D20A0" w:rsidRPr="004D20A0">
              <w:rPr>
                <w:rFonts w:cstheme="minorHAnsi"/>
              </w:rPr>
              <w:t>Capacité à mettre en œuvre le projet de manière agile et efficace</w:t>
            </w:r>
          </w:p>
        </w:tc>
        <w:tc>
          <w:tcPr>
            <w:tcW w:w="0" w:type="auto"/>
          </w:tcPr>
          <w:p w14:paraId="2C69C3CC" w14:textId="77777777" w:rsidR="00E8553C" w:rsidRPr="00CA13FD" w:rsidRDefault="00E8553C" w:rsidP="00C02E5D">
            <w:pPr>
              <w:spacing w:before="60" w:after="60" w:line="240" w:lineRule="auto"/>
              <w:jc w:val="center"/>
              <w:rPr>
                <w:rFonts w:cstheme="minorHAnsi"/>
                <w:b/>
              </w:rPr>
            </w:pPr>
          </w:p>
        </w:tc>
      </w:tr>
      <w:tr w:rsidR="00051E7E" w:rsidRPr="00CA13FD" w14:paraId="68981E34" w14:textId="77777777" w:rsidTr="00C02E5D">
        <w:trPr>
          <w:trHeight w:val="42"/>
        </w:trPr>
        <w:tc>
          <w:tcPr>
            <w:tcW w:w="0" w:type="auto"/>
          </w:tcPr>
          <w:p w14:paraId="22617952" w14:textId="57B4C143" w:rsidR="00051E7E" w:rsidRPr="00CA13FD" w:rsidRDefault="00051E7E" w:rsidP="00C02E5D">
            <w:pPr>
              <w:spacing w:before="60" w:after="60" w:line="240" w:lineRule="auto"/>
              <w:jc w:val="both"/>
              <w:rPr>
                <w:rFonts w:cstheme="minorHAnsi"/>
              </w:rPr>
            </w:pPr>
            <w:r>
              <w:rPr>
                <w:rFonts w:cstheme="minorHAnsi"/>
              </w:rPr>
              <w:t xml:space="preserve">3.3 </w:t>
            </w:r>
            <w:r w:rsidR="00957383" w:rsidRPr="00957383">
              <w:rPr>
                <w:rFonts w:cstheme="minorHAnsi"/>
              </w:rPr>
              <w:t>Adaptabilité de la méthodologie à différentes situations ou contexte</w:t>
            </w:r>
          </w:p>
        </w:tc>
        <w:tc>
          <w:tcPr>
            <w:tcW w:w="0" w:type="auto"/>
          </w:tcPr>
          <w:p w14:paraId="10780D04" w14:textId="77777777" w:rsidR="00051E7E" w:rsidRPr="00CA13FD" w:rsidRDefault="00051E7E" w:rsidP="00C02E5D">
            <w:pPr>
              <w:spacing w:before="60" w:after="60" w:line="240" w:lineRule="auto"/>
              <w:jc w:val="center"/>
              <w:rPr>
                <w:rFonts w:cstheme="minorHAnsi"/>
                <w:b/>
              </w:rPr>
            </w:pPr>
          </w:p>
        </w:tc>
      </w:tr>
      <w:tr w:rsidR="00051E7E" w:rsidRPr="00CA13FD" w14:paraId="59C36694" w14:textId="77777777" w:rsidTr="00C02E5D">
        <w:trPr>
          <w:trHeight w:val="42"/>
        </w:trPr>
        <w:tc>
          <w:tcPr>
            <w:tcW w:w="0" w:type="auto"/>
          </w:tcPr>
          <w:p w14:paraId="5BA48D27" w14:textId="19A24BDD" w:rsidR="00051E7E" w:rsidRPr="00CA13FD" w:rsidRDefault="00051E7E" w:rsidP="00C02E5D">
            <w:pPr>
              <w:spacing w:before="60" w:after="60" w:line="240" w:lineRule="auto"/>
              <w:jc w:val="both"/>
              <w:rPr>
                <w:rFonts w:cstheme="minorHAnsi"/>
              </w:rPr>
            </w:pPr>
            <w:r>
              <w:rPr>
                <w:rFonts w:cstheme="minorHAnsi"/>
              </w:rPr>
              <w:lastRenderedPageBreak/>
              <w:t>3.4</w:t>
            </w:r>
            <w:r w:rsidR="00957383">
              <w:rPr>
                <w:rFonts w:cstheme="minorHAnsi"/>
              </w:rPr>
              <w:t xml:space="preserve"> </w:t>
            </w:r>
            <w:r w:rsidR="00957383" w:rsidRPr="00957383">
              <w:rPr>
                <w:rFonts w:cstheme="minorHAnsi"/>
              </w:rPr>
              <w:t>Identification et gestion proactive des risques liés à la méthodologie</w:t>
            </w:r>
          </w:p>
        </w:tc>
        <w:tc>
          <w:tcPr>
            <w:tcW w:w="0" w:type="auto"/>
          </w:tcPr>
          <w:p w14:paraId="52C7E5B0" w14:textId="77777777" w:rsidR="00051E7E" w:rsidRPr="00CA13FD" w:rsidRDefault="00051E7E" w:rsidP="00C02E5D">
            <w:pPr>
              <w:spacing w:before="60" w:after="60" w:line="240" w:lineRule="auto"/>
              <w:jc w:val="center"/>
              <w:rPr>
                <w:rFonts w:cstheme="minorHAnsi"/>
                <w:b/>
              </w:rPr>
            </w:pPr>
          </w:p>
        </w:tc>
      </w:tr>
      <w:tr w:rsidR="00E8553C" w:rsidRPr="00CA13FD" w14:paraId="030048D5" w14:textId="77777777" w:rsidTr="00300682">
        <w:tc>
          <w:tcPr>
            <w:tcW w:w="0" w:type="auto"/>
            <w:shd w:val="clear" w:color="auto" w:fill="B8CCE4" w:themeFill="accent1" w:themeFillTint="66"/>
          </w:tcPr>
          <w:p w14:paraId="32D4726A" w14:textId="77777777" w:rsidR="00E8553C" w:rsidRPr="00CA13FD" w:rsidRDefault="00E8553C" w:rsidP="00A04B06">
            <w:pPr>
              <w:pStyle w:val="Paragraphedeliste"/>
              <w:numPr>
                <w:ilvl w:val="0"/>
                <w:numId w:val="4"/>
              </w:numPr>
              <w:spacing w:before="60" w:after="60" w:line="240" w:lineRule="auto"/>
              <w:contextualSpacing w:val="0"/>
              <w:jc w:val="both"/>
              <w:rPr>
                <w:rFonts w:cstheme="minorHAnsi"/>
                <w:b/>
              </w:rPr>
            </w:pPr>
            <w:r w:rsidRPr="00CA13FD">
              <w:rPr>
                <w:rFonts w:cstheme="minorHAnsi"/>
                <w:b/>
              </w:rPr>
              <w:t>Efficacité et faisabilité de l’action</w:t>
            </w:r>
          </w:p>
        </w:tc>
        <w:tc>
          <w:tcPr>
            <w:tcW w:w="0" w:type="auto"/>
            <w:shd w:val="clear" w:color="auto" w:fill="B8CCE4" w:themeFill="accent1" w:themeFillTint="66"/>
          </w:tcPr>
          <w:p w14:paraId="1B3608E7" w14:textId="77777777" w:rsidR="00E8553C" w:rsidRPr="00CA13FD" w:rsidRDefault="00E8553C" w:rsidP="00C02E5D">
            <w:pPr>
              <w:spacing w:before="60" w:after="60" w:line="240" w:lineRule="auto"/>
              <w:jc w:val="center"/>
              <w:rPr>
                <w:rFonts w:cstheme="minorHAnsi"/>
                <w:b/>
              </w:rPr>
            </w:pPr>
          </w:p>
        </w:tc>
      </w:tr>
      <w:tr w:rsidR="00E8553C" w:rsidRPr="00CA13FD" w14:paraId="722A812C" w14:textId="77777777" w:rsidTr="00C02E5D">
        <w:tc>
          <w:tcPr>
            <w:tcW w:w="0" w:type="auto"/>
          </w:tcPr>
          <w:p w14:paraId="5A9A9377" w14:textId="77777777" w:rsidR="00E8553C" w:rsidRPr="00CA13FD" w:rsidRDefault="00E8553C" w:rsidP="00C02E5D">
            <w:pPr>
              <w:spacing w:before="60" w:after="60" w:line="240" w:lineRule="auto"/>
              <w:jc w:val="both"/>
              <w:rPr>
                <w:rFonts w:cstheme="minorHAnsi"/>
                <w:b/>
              </w:rPr>
            </w:pPr>
            <w:r w:rsidRPr="00CA13FD">
              <w:rPr>
                <w:rFonts w:cstheme="minorHAnsi"/>
              </w:rPr>
              <w:t>4.2 Clarté et faisabilité du plan d'action</w:t>
            </w:r>
          </w:p>
        </w:tc>
        <w:tc>
          <w:tcPr>
            <w:tcW w:w="0" w:type="auto"/>
          </w:tcPr>
          <w:p w14:paraId="771816AA" w14:textId="77777777" w:rsidR="00E8553C" w:rsidRPr="00CA13FD" w:rsidRDefault="00E8553C" w:rsidP="00C02E5D">
            <w:pPr>
              <w:spacing w:before="60" w:after="60" w:line="240" w:lineRule="auto"/>
              <w:jc w:val="center"/>
              <w:rPr>
                <w:rFonts w:cstheme="minorHAnsi"/>
                <w:b/>
              </w:rPr>
            </w:pPr>
          </w:p>
        </w:tc>
      </w:tr>
      <w:tr w:rsidR="00E8553C" w:rsidRPr="00CA13FD" w14:paraId="18B60000" w14:textId="77777777" w:rsidTr="00C02E5D">
        <w:tc>
          <w:tcPr>
            <w:tcW w:w="0" w:type="auto"/>
          </w:tcPr>
          <w:p w14:paraId="63AA7A48" w14:textId="77777777" w:rsidR="00E8553C" w:rsidRPr="00CA13FD" w:rsidRDefault="00E8553C" w:rsidP="00C02E5D">
            <w:pPr>
              <w:spacing w:before="60" w:after="60" w:line="240" w:lineRule="auto"/>
              <w:jc w:val="both"/>
              <w:rPr>
                <w:rFonts w:cstheme="minorHAnsi"/>
                <w:b/>
              </w:rPr>
            </w:pPr>
            <w:r w:rsidRPr="00CA13FD">
              <w:rPr>
                <w:rFonts w:cstheme="minorHAnsi"/>
              </w:rPr>
              <w:t>4.3 La proposition contient-elle des indicateurs objectivement vérifiables pour évaluer les résultats de l'action ? Une évaluation est-elle prévue ?</w:t>
            </w:r>
          </w:p>
        </w:tc>
        <w:tc>
          <w:tcPr>
            <w:tcW w:w="0" w:type="auto"/>
          </w:tcPr>
          <w:p w14:paraId="1E21FB64" w14:textId="77777777" w:rsidR="00E8553C" w:rsidRPr="00CA13FD" w:rsidRDefault="00E8553C" w:rsidP="00C02E5D">
            <w:pPr>
              <w:spacing w:before="60" w:after="60" w:line="240" w:lineRule="auto"/>
              <w:jc w:val="center"/>
              <w:rPr>
                <w:rFonts w:cstheme="minorHAnsi"/>
                <w:b/>
              </w:rPr>
            </w:pPr>
          </w:p>
        </w:tc>
      </w:tr>
      <w:tr w:rsidR="00E8553C" w:rsidRPr="00CA13FD" w14:paraId="68A44F72" w14:textId="77777777" w:rsidTr="00C02E5D">
        <w:tc>
          <w:tcPr>
            <w:tcW w:w="0" w:type="auto"/>
          </w:tcPr>
          <w:p w14:paraId="192ABD38" w14:textId="77777777" w:rsidR="00E8553C" w:rsidRPr="00CA13FD" w:rsidRDefault="00E8553C" w:rsidP="00C02E5D">
            <w:pPr>
              <w:spacing w:before="60" w:after="60" w:line="240" w:lineRule="auto"/>
              <w:jc w:val="both"/>
              <w:rPr>
                <w:rFonts w:cstheme="minorHAnsi"/>
                <w:b/>
              </w:rPr>
            </w:pPr>
            <w:r w:rsidRPr="00CA13FD">
              <w:rPr>
                <w:rFonts w:cstheme="minorHAnsi"/>
              </w:rPr>
              <w:t>4.4 Le niveau d’implication et de participation à l'action du/des codemandeur(s) est-il satisfaisant ?</w:t>
            </w:r>
          </w:p>
        </w:tc>
        <w:tc>
          <w:tcPr>
            <w:tcW w:w="0" w:type="auto"/>
          </w:tcPr>
          <w:p w14:paraId="17A9D02F" w14:textId="77777777" w:rsidR="00E8553C" w:rsidRPr="00CA13FD" w:rsidRDefault="00E8553C" w:rsidP="00C02E5D">
            <w:pPr>
              <w:spacing w:before="60" w:after="60" w:line="240" w:lineRule="auto"/>
              <w:jc w:val="center"/>
              <w:rPr>
                <w:rFonts w:cstheme="minorHAnsi"/>
                <w:b/>
              </w:rPr>
            </w:pPr>
          </w:p>
        </w:tc>
      </w:tr>
      <w:tr w:rsidR="00E8553C" w:rsidRPr="00CA13FD" w14:paraId="125C424E" w14:textId="77777777" w:rsidTr="00300682">
        <w:tc>
          <w:tcPr>
            <w:tcW w:w="0" w:type="auto"/>
            <w:shd w:val="clear" w:color="auto" w:fill="B8CCE4" w:themeFill="accent1" w:themeFillTint="66"/>
          </w:tcPr>
          <w:p w14:paraId="49BD5A3E" w14:textId="77777777" w:rsidR="00E8553C" w:rsidRPr="00CA13FD" w:rsidRDefault="00E8553C" w:rsidP="00A04B06">
            <w:pPr>
              <w:pStyle w:val="Paragraphedeliste"/>
              <w:numPr>
                <w:ilvl w:val="0"/>
                <w:numId w:val="4"/>
              </w:numPr>
              <w:spacing w:before="60" w:after="60" w:line="240" w:lineRule="auto"/>
              <w:contextualSpacing w:val="0"/>
              <w:jc w:val="both"/>
              <w:rPr>
                <w:rFonts w:cstheme="minorHAnsi"/>
                <w:b/>
              </w:rPr>
            </w:pPr>
            <w:r w:rsidRPr="00CA13FD">
              <w:rPr>
                <w:rFonts w:cstheme="minorHAnsi"/>
                <w:b/>
              </w:rPr>
              <w:t>Durabilité de l’action</w:t>
            </w:r>
          </w:p>
        </w:tc>
        <w:tc>
          <w:tcPr>
            <w:tcW w:w="0" w:type="auto"/>
            <w:shd w:val="clear" w:color="auto" w:fill="B8CCE4" w:themeFill="accent1" w:themeFillTint="66"/>
          </w:tcPr>
          <w:p w14:paraId="003BD4B8" w14:textId="77777777" w:rsidR="00E8553C" w:rsidRPr="00CA13FD" w:rsidRDefault="00E8553C" w:rsidP="00C02E5D">
            <w:pPr>
              <w:spacing w:before="60" w:after="60" w:line="240" w:lineRule="auto"/>
              <w:jc w:val="center"/>
              <w:rPr>
                <w:rFonts w:cstheme="minorHAnsi"/>
                <w:b/>
              </w:rPr>
            </w:pPr>
          </w:p>
        </w:tc>
      </w:tr>
      <w:tr w:rsidR="00E8553C" w:rsidRPr="00CA13FD" w14:paraId="06E268CE" w14:textId="77777777" w:rsidTr="00C02E5D">
        <w:tc>
          <w:tcPr>
            <w:tcW w:w="0" w:type="auto"/>
          </w:tcPr>
          <w:p w14:paraId="78686B4C" w14:textId="77777777" w:rsidR="00E8553C" w:rsidRPr="00CA13FD" w:rsidRDefault="00E8553C" w:rsidP="00C02E5D">
            <w:pPr>
              <w:spacing w:before="60" w:after="60" w:line="240" w:lineRule="auto"/>
              <w:jc w:val="both"/>
              <w:rPr>
                <w:rFonts w:cstheme="minorHAnsi"/>
                <w:b/>
              </w:rPr>
            </w:pPr>
            <w:r w:rsidRPr="00CA13FD">
              <w:rPr>
                <w:rFonts w:cstheme="minorHAnsi"/>
              </w:rPr>
              <w:t xml:space="preserve">5.1 Impact tangible de l’action sur les groupes cibles </w:t>
            </w:r>
          </w:p>
        </w:tc>
        <w:tc>
          <w:tcPr>
            <w:tcW w:w="0" w:type="auto"/>
          </w:tcPr>
          <w:p w14:paraId="58E93D52" w14:textId="77777777" w:rsidR="00E8553C" w:rsidRPr="00CA13FD" w:rsidRDefault="00E8553C" w:rsidP="00C02E5D">
            <w:pPr>
              <w:spacing w:before="60" w:after="60" w:line="240" w:lineRule="auto"/>
              <w:jc w:val="center"/>
              <w:rPr>
                <w:rFonts w:cstheme="minorHAnsi"/>
                <w:b/>
              </w:rPr>
            </w:pPr>
          </w:p>
        </w:tc>
      </w:tr>
      <w:tr w:rsidR="00E8553C" w:rsidRPr="00CA13FD" w14:paraId="513F4EFC" w14:textId="77777777" w:rsidTr="00C02E5D">
        <w:tc>
          <w:tcPr>
            <w:tcW w:w="0" w:type="auto"/>
          </w:tcPr>
          <w:p w14:paraId="36DB5D89" w14:textId="7140A3C1" w:rsidR="00E8553C" w:rsidRPr="00CA13FD" w:rsidRDefault="00E8553C" w:rsidP="00C02E5D">
            <w:pPr>
              <w:spacing w:before="60" w:after="60" w:line="240" w:lineRule="auto"/>
              <w:jc w:val="both"/>
              <w:rPr>
                <w:rFonts w:cstheme="minorHAnsi"/>
                <w:b/>
              </w:rPr>
            </w:pPr>
            <w:r w:rsidRPr="00CA13FD">
              <w:rPr>
                <w:rFonts w:cstheme="minorHAnsi"/>
              </w:rPr>
              <w:t xml:space="preserve">5.2 </w:t>
            </w:r>
            <w:r w:rsidR="00957383" w:rsidRPr="00957383">
              <w:rPr>
                <w:rFonts w:cstheme="minorHAnsi"/>
              </w:rPr>
              <w:t>Harmonisation de l'action avec les structures et initiatives préexistantes.</w:t>
            </w:r>
          </w:p>
        </w:tc>
        <w:tc>
          <w:tcPr>
            <w:tcW w:w="0" w:type="auto"/>
          </w:tcPr>
          <w:p w14:paraId="18A01B2D" w14:textId="77777777" w:rsidR="00E8553C" w:rsidRPr="00CA13FD" w:rsidRDefault="00E8553C" w:rsidP="00C02E5D">
            <w:pPr>
              <w:spacing w:before="60" w:after="60" w:line="240" w:lineRule="auto"/>
              <w:jc w:val="center"/>
              <w:rPr>
                <w:rFonts w:cstheme="minorHAnsi"/>
                <w:b/>
              </w:rPr>
            </w:pPr>
          </w:p>
        </w:tc>
      </w:tr>
      <w:tr w:rsidR="00051E7E" w:rsidRPr="00CA13FD" w14:paraId="583799A5" w14:textId="77777777" w:rsidTr="00C02E5D">
        <w:tc>
          <w:tcPr>
            <w:tcW w:w="0" w:type="auto"/>
          </w:tcPr>
          <w:p w14:paraId="31FB0579" w14:textId="724CA9AF" w:rsidR="00051E7E" w:rsidRPr="00CA13FD" w:rsidRDefault="00051E7E" w:rsidP="00C02E5D">
            <w:pPr>
              <w:spacing w:before="60" w:after="60" w:line="240" w:lineRule="auto"/>
              <w:jc w:val="both"/>
              <w:rPr>
                <w:rFonts w:cstheme="minorHAnsi"/>
              </w:rPr>
            </w:pPr>
            <w:r>
              <w:rPr>
                <w:rFonts w:cstheme="minorHAnsi"/>
              </w:rPr>
              <w:t xml:space="preserve">5.3 </w:t>
            </w:r>
            <w:r w:rsidR="00957383" w:rsidRPr="00CA13FD">
              <w:rPr>
                <w:rFonts w:cstheme="minorHAnsi"/>
              </w:rPr>
              <w:t>La proposition est-elle susceptible d’avoir des effets multiplicateurs (notamment probabilité de reproduction, d’extension et de partage d’informations) ?</w:t>
            </w:r>
          </w:p>
        </w:tc>
        <w:tc>
          <w:tcPr>
            <w:tcW w:w="0" w:type="auto"/>
          </w:tcPr>
          <w:p w14:paraId="060DBDD0" w14:textId="77777777" w:rsidR="00051E7E" w:rsidRPr="00CA13FD" w:rsidRDefault="00051E7E" w:rsidP="00C02E5D">
            <w:pPr>
              <w:spacing w:before="60" w:after="60" w:line="240" w:lineRule="auto"/>
              <w:jc w:val="center"/>
              <w:rPr>
                <w:rFonts w:cstheme="minorHAnsi"/>
                <w:b/>
              </w:rPr>
            </w:pPr>
          </w:p>
        </w:tc>
      </w:tr>
      <w:tr w:rsidR="00E8553C" w:rsidRPr="00CA13FD" w14:paraId="309EEF0C" w14:textId="77777777" w:rsidTr="00300682">
        <w:tc>
          <w:tcPr>
            <w:tcW w:w="0" w:type="auto"/>
            <w:shd w:val="clear" w:color="auto" w:fill="B8CCE4" w:themeFill="accent1" w:themeFillTint="66"/>
          </w:tcPr>
          <w:p w14:paraId="2FAED3AF" w14:textId="77777777" w:rsidR="00E8553C" w:rsidRPr="00CA13FD" w:rsidRDefault="00E8553C" w:rsidP="00A04B06">
            <w:pPr>
              <w:pStyle w:val="Paragraphedeliste"/>
              <w:numPr>
                <w:ilvl w:val="0"/>
                <w:numId w:val="4"/>
              </w:numPr>
              <w:spacing w:before="60" w:after="60" w:line="240" w:lineRule="auto"/>
              <w:contextualSpacing w:val="0"/>
              <w:jc w:val="both"/>
              <w:rPr>
                <w:rFonts w:cstheme="minorHAnsi"/>
                <w:b/>
              </w:rPr>
            </w:pPr>
            <w:r w:rsidRPr="00CA13FD">
              <w:rPr>
                <w:rFonts w:cstheme="minorHAnsi"/>
                <w:b/>
              </w:rPr>
              <w:t>Budget et rapport coût efficacité de l’action</w:t>
            </w:r>
          </w:p>
        </w:tc>
        <w:tc>
          <w:tcPr>
            <w:tcW w:w="0" w:type="auto"/>
            <w:shd w:val="clear" w:color="auto" w:fill="B8CCE4" w:themeFill="accent1" w:themeFillTint="66"/>
          </w:tcPr>
          <w:p w14:paraId="60FBA2BC" w14:textId="77777777" w:rsidR="00E8553C" w:rsidRPr="00CA13FD" w:rsidRDefault="00E8553C" w:rsidP="00C02E5D">
            <w:pPr>
              <w:spacing w:before="60" w:after="60" w:line="240" w:lineRule="auto"/>
              <w:jc w:val="center"/>
              <w:rPr>
                <w:rFonts w:cstheme="minorHAnsi"/>
                <w:b/>
              </w:rPr>
            </w:pPr>
          </w:p>
        </w:tc>
      </w:tr>
      <w:tr w:rsidR="00E8553C" w:rsidRPr="00CA13FD" w14:paraId="598E4CA2" w14:textId="77777777" w:rsidTr="00C02E5D">
        <w:tc>
          <w:tcPr>
            <w:tcW w:w="0" w:type="auto"/>
          </w:tcPr>
          <w:p w14:paraId="5C4576A6" w14:textId="77777777" w:rsidR="00E8553C" w:rsidRPr="00CA13FD" w:rsidRDefault="00E8553C" w:rsidP="00C02E5D">
            <w:pPr>
              <w:spacing w:before="60" w:after="60" w:line="240" w:lineRule="auto"/>
              <w:jc w:val="both"/>
              <w:rPr>
                <w:rFonts w:cstheme="minorHAnsi"/>
                <w:b/>
              </w:rPr>
            </w:pPr>
            <w:r w:rsidRPr="00CA13FD">
              <w:rPr>
                <w:rFonts w:cstheme="minorHAnsi"/>
              </w:rPr>
              <w:t>6.1 Les activités sont-elles convenablement reflétées dans le budget ?</w:t>
            </w:r>
          </w:p>
        </w:tc>
        <w:tc>
          <w:tcPr>
            <w:tcW w:w="0" w:type="auto"/>
          </w:tcPr>
          <w:p w14:paraId="6FE5AF98" w14:textId="77777777" w:rsidR="00E8553C" w:rsidRPr="00CA13FD" w:rsidRDefault="00E8553C" w:rsidP="00C02E5D">
            <w:pPr>
              <w:spacing w:before="60" w:after="60" w:line="240" w:lineRule="auto"/>
              <w:jc w:val="center"/>
              <w:rPr>
                <w:rFonts w:cstheme="minorHAnsi"/>
                <w:b/>
              </w:rPr>
            </w:pPr>
          </w:p>
        </w:tc>
      </w:tr>
      <w:tr w:rsidR="00E8553C" w:rsidRPr="00CA13FD" w14:paraId="730A244A" w14:textId="77777777" w:rsidTr="00C02E5D">
        <w:tc>
          <w:tcPr>
            <w:tcW w:w="0" w:type="auto"/>
          </w:tcPr>
          <w:p w14:paraId="431ECAC7" w14:textId="77777777" w:rsidR="00E8553C" w:rsidRPr="00CA13FD" w:rsidRDefault="00E8553C" w:rsidP="00C02E5D">
            <w:pPr>
              <w:spacing w:before="60" w:after="60" w:line="240" w:lineRule="auto"/>
              <w:jc w:val="both"/>
              <w:rPr>
                <w:rFonts w:cstheme="minorHAnsi"/>
                <w:b/>
              </w:rPr>
            </w:pPr>
            <w:r w:rsidRPr="00CA13FD">
              <w:rPr>
                <w:rFonts w:cstheme="minorHAnsi"/>
              </w:rPr>
              <w:t xml:space="preserve">6.2 Pertinence du ratio entre les coûts estimés et les résultats escomptés </w:t>
            </w:r>
          </w:p>
        </w:tc>
        <w:tc>
          <w:tcPr>
            <w:tcW w:w="0" w:type="auto"/>
          </w:tcPr>
          <w:p w14:paraId="0F560BAA" w14:textId="77777777" w:rsidR="00E8553C" w:rsidRPr="00CA13FD" w:rsidRDefault="00E8553C" w:rsidP="00C02E5D">
            <w:pPr>
              <w:spacing w:before="60" w:after="60" w:line="240" w:lineRule="auto"/>
              <w:jc w:val="center"/>
              <w:rPr>
                <w:rFonts w:cstheme="minorHAnsi"/>
                <w:b/>
              </w:rPr>
            </w:pPr>
          </w:p>
        </w:tc>
      </w:tr>
      <w:tr w:rsidR="00051E7E" w:rsidRPr="00CA13FD" w14:paraId="4757A947" w14:textId="77777777" w:rsidTr="00C02E5D">
        <w:tc>
          <w:tcPr>
            <w:tcW w:w="0" w:type="auto"/>
          </w:tcPr>
          <w:p w14:paraId="10D65373" w14:textId="04DB45FC" w:rsidR="00051E7E" w:rsidRPr="00CA13FD" w:rsidRDefault="00051E7E" w:rsidP="00C02E5D">
            <w:pPr>
              <w:spacing w:before="60" w:after="60" w:line="240" w:lineRule="auto"/>
              <w:jc w:val="both"/>
              <w:rPr>
                <w:rFonts w:cstheme="minorHAnsi"/>
              </w:rPr>
            </w:pPr>
            <w:r>
              <w:rPr>
                <w:rFonts w:cstheme="minorHAnsi"/>
              </w:rPr>
              <w:t>6.3</w:t>
            </w:r>
            <w:r w:rsidR="00957383">
              <w:rPr>
                <w:rFonts w:cstheme="minorHAnsi"/>
              </w:rPr>
              <w:t xml:space="preserve"> </w:t>
            </w:r>
            <w:r w:rsidR="00957383" w:rsidRPr="00957383">
              <w:rPr>
                <w:rFonts w:cstheme="minorHAnsi"/>
              </w:rPr>
              <w:t>Mécanismes de suivi permettant de réajuster le budget en cas de besoin</w:t>
            </w:r>
          </w:p>
        </w:tc>
        <w:tc>
          <w:tcPr>
            <w:tcW w:w="0" w:type="auto"/>
          </w:tcPr>
          <w:p w14:paraId="094C1894" w14:textId="77777777" w:rsidR="00051E7E" w:rsidRPr="00CA13FD" w:rsidRDefault="00051E7E" w:rsidP="00C02E5D">
            <w:pPr>
              <w:spacing w:before="60" w:after="60" w:line="240" w:lineRule="auto"/>
              <w:jc w:val="center"/>
              <w:rPr>
                <w:rFonts w:cstheme="minorHAnsi"/>
                <w:b/>
              </w:rPr>
            </w:pPr>
          </w:p>
        </w:tc>
      </w:tr>
      <w:tr w:rsidR="00E8553C" w:rsidRPr="00CA13FD" w14:paraId="0059699B" w14:textId="77777777" w:rsidTr="00C02E5D">
        <w:tc>
          <w:tcPr>
            <w:tcW w:w="0" w:type="auto"/>
          </w:tcPr>
          <w:p w14:paraId="2A556292" w14:textId="77777777" w:rsidR="00E8553C" w:rsidRPr="00CA13FD" w:rsidRDefault="00E8553C" w:rsidP="00C02E5D">
            <w:pPr>
              <w:spacing w:before="60" w:after="60" w:line="240" w:lineRule="auto"/>
              <w:jc w:val="both"/>
              <w:rPr>
                <w:rFonts w:cstheme="minorHAnsi"/>
                <w:b/>
              </w:rPr>
            </w:pPr>
            <w:r w:rsidRPr="00CA13FD">
              <w:rPr>
                <w:rFonts w:cstheme="minorHAnsi"/>
                <w:b/>
              </w:rPr>
              <w:t>Score total maximum</w:t>
            </w:r>
          </w:p>
        </w:tc>
        <w:tc>
          <w:tcPr>
            <w:tcW w:w="0" w:type="auto"/>
          </w:tcPr>
          <w:p w14:paraId="28B3448C" w14:textId="77777777" w:rsidR="00E8553C" w:rsidRPr="00CA13FD" w:rsidRDefault="00E8553C" w:rsidP="00C02E5D">
            <w:pPr>
              <w:spacing w:before="60" w:after="60" w:line="240" w:lineRule="auto"/>
              <w:jc w:val="center"/>
              <w:rPr>
                <w:rFonts w:cstheme="minorHAnsi"/>
                <w:b/>
              </w:rPr>
            </w:pPr>
          </w:p>
        </w:tc>
      </w:tr>
    </w:tbl>
    <w:p w14:paraId="2AA22F2A" w14:textId="77777777" w:rsidR="00C02E5D" w:rsidRDefault="00C02E5D" w:rsidP="00E8553C">
      <w:pPr>
        <w:spacing w:after="120"/>
        <w:jc w:val="both"/>
      </w:pPr>
    </w:p>
    <w:p w14:paraId="1AD68227" w14:textId="170A01AC" w:rsidR="00E8553C" w:rsidRPr="00C02E5D" w:rsidRDefault="00957383" w:rsidP="008E38D0">
      <w:pPr>
        <w:spacing w:after="120"/>
        <w:jc w:val="both"/>
      </w:pPr>
      <w:r w:rsidRPr="00957383">
        <w:t>Chaque sous-critère est évalué sur une échelle de 0 à 5. Le total prévu est de 100 points.</w:t>
      </w:r>
      <w:r>
        <w:t xml:space="preserve"> S</w:t>
      </w:r>
      <w:r w:rsidR="00111DF5" w:rsidRPr="00C02E5D">
        <w:t xml:space="preserve">i </w:t>
      </w:r>
      <w:proofErr w:type="gramStart"/>
      <w:r w:rsidR="00111DF5" w:rsidRPr="00C02E5D">
        <w:t xml:space="preserve">l’une  </w:t>
      </w:r>
      <w:r w:rsidR="008E38D0">
        <w:t>d</w:t>
      </w:r>
      <w:r w:rsidR="00111DF5" w:rsidRPr="00C02E5D">
        <w:t>es</w:t>
      </w:r>
      <w:proofErr w:type="gramEnd"/>
      <w:r w:rsidR="00111DF5" w:rsidRPr="00C02E5D">
        <w:t xml:space="preserve"> sous-rubriques reçoit une note inférieure à 2, </w:t>
      </w:r>
      <w:r w:rsidR="00E8553C" w:rsidRPr="00C02E5D">
        <w:t xml:space="preserve">la demande sera rejetée. </w:t>
      </w:r>
    </w:p>
    <w:p w14:paraId="4E35ED25" w14:textId="77777777" w:rsidR="00A764FC" w:rsidRPr="00CA13FD" w:rsidRDefault="00A764FC" w:rsidP="00F41D8F">
      <w:pPr>
        <w:spacing w:after="120"/>
        <w:jc w:val="both"/>
        <w:rPr>
          <w:sz w:val="24"/>
          <w:szCs w:val="24"/>
        </w:rPr>
      </w:pPr>
    </w:p>
    <w:p w14:paraId="2ECD7E62" w14:textId="77777777" w:rsidR="008B1A7E" w:rsidRDefault="008B1A7E">
      <w:pPr>
        <w:spacing w:after="200" w:line="276" w:lineRule="auto"/>
        <w:rPr>
          <w:rFonts w:ascii="Calibri" w:hAnsi="Calibri"/>
          <w:b/>
          <w:color w:val="05ADA0"/>
          <w:sz w:val="28"/>
          <w:szCs w:val="28"/>
        </w:rPr>
      </w:pPr>
      <w:bookmarkStart w:id="9" w:name="_Toc488311320"/>
      <w:bookmarkStart w:id="10" w:name="_Toc471218051"/>
      <w:r>
        <w:rPr>
          <w:rFonts w:ascii="Calibri" w:hAnsi="Calibri"/>
          <w:b/>
          <w:color w:val="05ADA0"/>
          <w:sz w:val="28"/>
          <w:szCs w:val="28"/>
        </w:rPr>
        <w:br w:type="page"/>
      </w:r>
    </w:p>
    <w:p w14:paraId="58F2BBB0" w14:textId="49D295E6" w:rsidR="00E8553C" w:rsidRPr="003823F0" w:rsidRDefault="003823F0" w:rsidP="00F41D8F">
      <w:pPr>
        <w:spacing w:after="120" w:line="240" w:lineRule="auto"/>
        <w:jc w:val="center"/>
        <w:rPr>
          <w:rFonts w:ascii="Calibri" w:hAnsi="Calibri"/>
          <w:b/>
          <w:color w:val="05ADA0"/>
          <w:sz w:val="28"/>
          <w:szCs w:val="28"/>
        </w:rPr>
      </w:pPr>
      <w:r>
        <w:rPr>
          <w:rFonts w:ascii="Calibri" w:hAnsi="Calibri"/>
          <w:b/>
          <w:color w:val="05ADA0"/>
          <w:sz w:val="28"/>
          <w:szCs w:val="28"/>
        </w:rPr>
        <w:lastRenderedPageBreak/>
        <w:t xml:space="preserve">VI - </w:t>
      </w:r>
      <w:r w:rsidRPr="003823F0">
        <w:rPr>
          <w:rFonts w:ascii="Calibri" w:hAnsi="Calibri"/>
          <w:b/>
          <w:color w:val="05ADA0"/>
          <w:sz w:val="28"/>
          <w:szCs w:val="28"/>
        </w:rPr>
        <w:t>PROC</w:t>
      </w:r>
      <w:r>
        <w:rPr>
          <w:rFonts w:ascii="Calibri" w:hAnsi="Calibri"/>
          <w:b/>
          <w:color w:val="05ADA0"/>
          <w:sz w:val="28"/>
          <w:szCs w:val="28"/>
        </w:rPr>
        <w:t>É</w:t>
      </w:r>
      <w:r w:rsidRPr="003823F0">
        <w:rPr>
          <w:rFonts w:ascii="Calibri" w:hAnsi="Calibri"/>
          <w:b/>
          <w:color w:val="05ADA0"/>
          <w:sz w:val="28"/>
          <w:szCs w:val="28"/>
        </w:rPr>
        <w:t>DURE DE CANDIDATURE</w:t>
      </w:r>
      <w:bookmarkEnd w:id="9"/>
      <w:r w:rsidRPr="003823F0">
        <w:rPr>
          <w:rFonts w:ascii="Calibri" w:hAnsi="Calibri"/>
          <w:b/>
          <w:color w:val="05ADA0"/>
          <w:sz w:val="28"/>
          <w:szCs w:val="28"/>
        </w:rPr>
        <w:t xml:space="preserve"> </w:t>
      </w:r>
    </w:p>
    <w:bookmarkEnd w:id="10"/>
    <w:p w14:paraId="5D28C332" w14:textId="77777777" w:rsidR="003823F0" w:rsidRDefault="003823F0" w:rsidP="00F41D8F">
      <w:pPr>
        <w:pStyle w:val="Corpsdetexte"/>
        <w:spacing w:after="120"/>
        <w:jc w:val="both"/>
        <w:rPr>
          <w:rFonts w:asciiTheme="minorHAnsi" w:hAnsiTheme="minorHAnsi"/>
          <w:sz w:val="24"/>
          <w:szCs w:val="24"/>
          <w:highlight w:val="yellow"/>
          <w:lang w:val="fr-FR"/>
        </w:rPr>
      </w:pPr>
    </w:p>
    <w:p w14:paraId="73173B0E" w14:textId="77777777" w:rsidR="00E8553C" w:rsidRPr="004516BE" w:rsidRDefault="00E8553C" w:rsidP="00F41D8F">
      <w:pPr>
        <w:pStyle w:val="Corpsdetexte"/>
        <w:spacing w:after="120"/>
        <w:jc w:val="both"/>
        <w:rPr>
          <w:rFonts w:asciiTheme="minorHAnsi" w:hAnsiTheme="minorHAnsi"/>
          <w:sz w:val="22"/>
          <w:szCs w:val="22"/>
          <w:lang w:val="fr-FR"/>
        </w:rPr>
      </w:pPr>
      <w:r w:rsidRPr="004516BE">
        <w:rPr>
          <w:rFonts w:asciiTheme="minorHAnsi" w:hAnsiTheme="minorHAnsi"/>
          <w:sz w:val="22"/>
          <w:szCs w:val="22"/>
          <w:lang w:val="fr-FR"/>
        </w:rPr>
        <w:t>Les documents suivants sont à fournir obligatoirement par le demandeur :</w:t>
      </w:r>
    </w:p>
    <w:p w14:paraId="5D418C68" w14:textId="3F54C011" w:rsidR="00E8553C" w:rsidRDefault="00E8553C" w:rsidP="00A04B06">
      <w:pPr>
        <w:pStyle w:val="Paragraphedeliste"/>
        <w:numPr>
          <w:ilvl w:val="0"/>
          <w:numId w:val="6"/>
        </w:numPr>
        <w:spacing w:after="120" w:line="240" w:lineRule="auto"/>
        <w:ind w:left="357" w:hanging="357"/>
        <w:jc w:val="both"/>
      </w:pPr>
      <w:r w:rsidRPr="004516BE">
        <w:t xml:space="preserve">Un formulaire de demande (annexe A) de 10 pages maximum (voir point </w:t>
      </w:r>
      <w:r w:rsidR="0056790E">
        <w:t>4</w:t>
      </w:r>
      <w:r w:rsidRPr="004516BE">
        <w:t>.1.) mentionnant toute expérience préalable et expertise prouvée dans le domaine de</w:t>
      </w:r>
      <w:r w:rsidR="003823F0" w:rsidRPr="004516BE">
        <w:t xml:space="preserve"> la formation professionnelle et de l’accompagnement à l’emploi</w:t>
      </w:r>
      <w:r w:rsidRPr="004516BE">
        <w:t xml:space="preserve"> (maximum 1 page).</w:t>
      </w:r>
    </w:p>
    <w:p w14:paraId="3159147C" w14:textId="3F91326D" w:rsidR="00B8308C" w:rsidRPr="004516BE" w:rsidRDefault="00B8308C" w:rsidP="00A04B06">
      <w:pPr>
        <w:pStyle w:val="Paragraphedeliste"/>
        <w:numPr>
          <w:ilvl w:val="0"/>
          <w:numId w:val="6"/>
        </w:numPr>
        <w:spacing w:after="120" w:line="240" w:lineRule="auto"/>
        <w:ind w:left="357" w:hanging="357"/>
        <w:jc w:val="both"/>
      </w:pPr>
      <w:r w:rsidRPr="004516BE">
        <w:t xml:space="preserve">Un cadre logique fourni en annexe </w:t>
      </w:r>
      <w:r>
        <w:t>B</w:t>
      </w:r>
      <w:r w:rsidRPr="004516BE">
        <w:t>.</w:t>
      </w:r>
    </w:p>
    <w:p w14:paraId="36B46998" w14:textId="774B7EE8" w:rsidR="00E8553C" w:rsidRDefault="00E8553C" w:rsidP="00A04B06">
      <w:pPr>
        <w:pStyle w:val="Paragraphedeliste"/>
        <w:numPr>
          <w:ilvl w:val="0"/>
          <w:numId w:val="6"/>
        </w:numPr>
        <w:spacing w:after="120" w:line="240" w:lineRule="auto"/>
        <w:ind w:left="357" w:hanging="357"/>
        <w:jc w:val="both"/>
      </w:pPr>
      <w:r w:rsidRPr="004516BE">
        <w:t>Un budget d</w:t>
      </w:r>
      <w:r w:rsidR="00F97B75">
        <w:t>ans lequel la part de la subvention de l’Union européenne s’élèvera à</w:t>
      </w:r>
      <w:r w:rsidRPr="004516BE">
        <w:t xml:space="preserve"> </w:t>
      </w:r>
      <w:r w:rsidR="003823F0" w:rsidRPr="004516BE">
        <w:t>6</w:t>
      </w:r>
      <w:r w:rsidRPr="004516BE">
        <w:t>0.000 euros</w:t>
      </w:r>
      <w:r w:rsidR="00F97B75">
        <w:t xml:space="preserve"> maximum</w:t>
      </w:r>
      <w:r w:rsidRPr="004516BE">
        <w:t xml:space="preserve">, au format fourni en annexe </w:t>
      </w:r>
      <w:r w:rsidR="00B8308C">
        <w:t>C</w:t>
      </w:r>
      <w:r w:rsidRPr="004516BE">
        <w:t>.</w:t>
      </w:r>
    </w:p>
    <w:p w14:paraId="6F80D719" w14:textId="3C430383" w:rsidR="00DF577E" w:rsidRPr="00DF577E" w:rsidRDefault="00E8553C" w:rsidP="005F0B8B">
      <w:pPr>
        <w:spacing w:after="120"/>
        <w:jc w:val="both"/>
      </w:pPr>
      <w:r w:rsidRPr="004516BE">
        <w:t>Le formulaire de demande, le budget de l’action et le cadre logique doivent être soumis par version électronique. L’objet du mail doit être « </w:t>
      </w:r>
      <w:r w:rsidRPr="004516BE">
        <w:rPr>
          <w:b/>
        </w:rPr>
        <w:t>A</w:t>
      </w:r>
      <w:r w:rsidR="008B1A7E">
        <w:rPr>
          <w:b/>
        </w:rPr>
        <w:t xml:space="preserve">AP employabilité </w:t>
      </w:r>
      <w:r w:rsidR="00A67CFA" w:rsidRPr="004516BE">
        <w:rPr>
          <w:b/>
        </w:rPr>
        <w:t>202</w:t>
      </w:r>
      <w:r w:rsidR="00A67CFA">
        <w:rPr>
          <w:b/>
        </w:rPr>
        <w:t xml:space="preserve">4 </w:t>
      </w:r>
      <w:r w:rsidR="00A67CFA" w:rsidRPr="004516BE">
        <w:t>»</w:t>
      </w:r>
      <w:r w:rsidRPr="004516BE">
        <w:t xml:space="preserve">. La date limite de </w:t>
      </w:r>
      <w:r w:rsidR="00E86EB4">
        <w:t>réception</w:t>
      </w:r>
      <w:r w:rsidRPr="004516BE">
        <w:t xml:space="preserve"> des formulaires de demande</w:t>
      </w:r>
      <w:r w:rsidRPr="004516BE" w:rsidDel="003C0012">
        <w:t xml:space="preserve"> </w:t>
      </w:r>
      <w:r w:rsidRPr="004516BE">
        <w:t>est fixée au</w:t>
      </w:r>
      <w:r w:rsidR="005F0B8B">
        <w:t xml:space="preserve"> </w:t>
      </w:r>
      <w:r w:rsidR="005F0B8B" w:rsidRPr="005F0B8B">
        <w:rPr>
          <w:b/>
          <w:bCs/>
        </w:rPr>
        <w:t>31</w:t>
      </w:r>
      <w:r w:rsidR="00F97B75" w:rsidRPr="005F0B8B">
        <w:rPr>
          <w:b/>
          <w:bCs/>
        </w:rPr>
        <w:t xml:space="preserve"> </w:t>
      </w:r>
      <w:r w:rsidR="00E16098" w:rsidRPr="005F0B8B">
        <w:rPr>
          <w:b/>
          <w:bCs/>
        </w:rPr>
        <w:t>mai</w:t>
      </w:r>
      <w:r w:rsidR="003823F0" w:rsidRPr="005F0B8B">
        <w:rPr>
          <w:b/>
          <w:bCs/>
        </w:rPr>
        <w:t xml:space="preserve"> 202</w:t>
      </w:r>
      <w:r w:rsidR="00051E7E" w:rsidRPr="005F0B8B">
        <w:rPr>
          <w:b/>
          <w:bCs/>
        </w:rPr>
        <w:t>4</w:t>
      </w:r>
      <w:r w:rsidR="003823F0" w:rsidRPr="005F0B8B">
        <w:rPr>
          <w:b/>
          <w:bCs/>
        </w:rPr>
        <w:t xml:space="preserve"> à minuit</w:t>
      </w:r>
      <w:r w:rsidRPr="004516BE">
        <w:t xml:space="preserve">, telle que prouvée par la date d'envoi du </w:t>
      </w:r>
      <w:r w:rsidR="008B1A7E">
        <w:t>courriel</w:t>
      </w:r>
      <w:r w:rsidRPr="004516BE">
        <w:t xml:space="preserve">. </w:t>
      </w:r>
    </w:p>
    <w:p w14:paraId="32113ED0" w14:textId="117F261D" w:rsidR="00E8553C" w:rsidRPr="00742EEE" w:rsidRDefault="00E8553C" w:rsidP="00F41D8F">
      <w:pPr>
        <w:keepNext/>
        <w:spacing w:after="120" w:line="240" w:lineRule="auto"/>
        <w:jc w:val="both"/>
        <w:rPr>
          <w:b/>
          <w:color w:val="05ADA0"/>
        </w:rPr>
      </w:pPr>
      <w:r w:rsidRPr="00742EEE">
        <w:rPr>
          <w:b/>
          <w:color w:val="05ADA0"/>
        </w:rPr>
        <w:t>Adresses de courrier électronique :</w:t>
      </w:r>
    </w:p>
    <w:p w14:paraId="4EA945C8" w14:textId="77777777" w:rsidR="00E8553C" w:rsidRPr="004516BE" w:rsidRDefault="00E8553C" w:rsidP="00A04B06">
      <w:pPr>
        <w:pStyle w:val="Paragraphedeliste"/>
        <w:widowControl w:val="0"/>
        <w:numPr>
          <w:ilvl w:val="0"/>
          <w:numId w:val="5"/>
        </w:numPr>
        <w:spacing w:after="0" w:line="240" w:lineRule="auto"/>
        <w:ind w:left="357" w:hanging="357"/>
        <w:contextualSpacing w:val="0"/>
        <w:rPr>
          <w:rStyle w:val="Lienhypertexte"/>
          <w:b/>
        </w:rPr>
      </w:pPr>
      <w:r w:rsidRPr="004516BE">
        <w:rPr>
          <w:rStyle w:val="Lienhypertexte"/>
        </w:rPr>
        <w:t>helene.hammouda@ofii.fr</w:t>
      </w:r>
    </w:p>
    <w:p w14:paraId="4EE6D88E" w14:textId="26869263" w:rsidR="00E8553C" w:rsidRPr="004516BE" w:rsidRDefault="00000000" w:rsidP="00A04B06">
      <w:pPr>
        <w:pStyle w:val="Paragraphedeliste"/>
        <w:widowControl w:val="0"/>
        <w:numPr>
          <w:ilvl w:val="0"/>
          <w:numId w:val="5"/>
        </w:numPr>
        <w:spacing w:after="0" w:line="240" w:lineRule="auto"/>
        <w:ind w:left="357" w:hanging="357"/>
        <w:contextualSpacing w:val="0"/>
        <w:rPr>
          <w:rStyle w:val="Lienhypertexte"/>
          <w:b/>
          <w:u w:val="none"/>
        </w:rPr>
      </w:pPr>
      <w:hyperlink r:id="rId15" w:history="1">
        <w:r w:rsidR="003823F0" w:rsidRPr="004516BE">
          <w:rPr>
            <w:rStyle w:val="Lienhypertexte"/>
          </w:rPr>
          <w:t>siwar.ben-hamed@ofii.fr</w:t>
        </w:r>
      </w:hyperlink>
    </w:p>
    <w:p w14:paraId="77FB78FF" w14:textId="3A2162C3" w:rsidR="003823F0" w:rsidRPr="004516BE" w:rsidRDefault="003823F0" w:rsidP="00A04B06">
      <w:pPr>
        <w:pStyle w:val="Paragraphedeliste"/>
        <w:widowControl w:val="0"/>
        <w:numPr>
          <w:ilvl w:val="0"/>
          <w:numId w:val="5"/>
        </w:numPr>
        <w:spacing w:after="120" w:line="240" w:lineRule="auto"/>
        <w:ind w:left="357" w:hanging="357"/>
        <w:contextualSpacing w:val="0"/>
        <w:rPr>
          <w:b/>
          <w:color w:val="0000FF" w:themeColor="hyperlink"/>
        </w:rPr>
      </w:pPr>
      <w:r w:rsidRPr="004516BE">
        <w:rPr>
          <w:rStyle w:val="Lienhypertexte"/>
        </w:rPr>
        <w:t>thammofii@gmail.com</w:t>
      </w:r>
    </w:p>
    <w:p w14:paraId="090EA3B2" w14:textId="06F4D2AF" w:rsidR="00E8553C" w:rsidRPr="004516BE" w:rsidRDefault="00E8553C" w:rsidP="00F41D8F">
      <w:pPr>
        <w:spacing w:after="120"/>
        <w:jc w:val="both"/>
        <w:rPr>
          <w:b/>
        </w:rPr>
      </w:pPr>
      <w:r w:rsidRPr="004516BE">
        <w:rPr>
          <w:b/>
        </w:rPr>
        <w:t xml:space="preserve">Les formulaires de demande doivent être envoyés conjointement à ces trois adresses. </w:t>
      </w:r>
    </w:p>
    <w:p w14:paraId="5692277A" w14:textId="7D53E9A2" w:rsidR="00E8553C" w:rsidRPr="004516BE" w:rsidRDefault="00E8553C" w:rsidP="009B3D0D">
      <w:pPr>
        <w:spacing w:after="120" w:line="240" w:lineRule="auto"/>
        <w:jc w:val="both"/>
      </w:pPr>
      <w:r w:rsidRPr="004516BE">
        <w:t xml:space="preserve">Afin de garantir l'égalité de traitement des demandeurs, l'autorité contractante ne peut pas donner d’avis préalable sur l’éligibilité des demandeurs, d’une action ou d'activités spécifiques. </w:t>
      </w:r>
    </w:p>
    <w:p w14:paraId="0D2DAD3E" w14:textId="62CE822C" w:rsidR="00E8553C" w:rsidRPr="004516BE" w:rsidRDefault="00E8553C" w:rsidP="00F41D8F">
      <w:pPr>
        <w:spacing w:after="120"/>
        <w:jc w:val="both"/>
        <w:rPr>
          <w:b/>
        </w:rPr>
      </w:pPr>
      <w:r w:rsidRPr="004516BE">
        <w:t xml:space="preserve">Les questions pouvant présenter un intérêt pour les autres demandeurs, ainsi que les réponses à ces questions seront </w:t>
      </w:r>
      <w:r w:rsidR="005A3A9A" w:rsidRPr="004516BE">
        <w:t xml:space="preserve">envoyées à toutes les structures ayant manifesté leur intérêt. </w:t>
      </w:r>
      <w:r w:rsidRPr="004516BE">
        <w:rPr>
          <w:b/>
        </w:rPr>
        <w:t xml:space="preserve">Les questions doivent être envoyées conjointement aux trois adresses suivantes : </w:t>
      </w:r>
    </w:p>
    <w:p w14:paraId="239035F8" w14:textId="77777777" w:rsidR="003F5EA6" w:rsidRPr="004516BE" w:rsidRDefault="003F5EA6" w:rsidP="00A04B06">
      <w:pPr>
        <w:pStyle w:val="Paragraphedeliste"/>
        <w:widowControl w:val="0"/>
        <w:numPr>
          <w:ilvl w:val="0"/>
          <w:numId w:val="5"/>
        </w:numPr>
        <w:spacing w:after="0" w:line="240" w:lineRule="auto"/>
        <w:ind w:left="357" w:hanging="357"/>
        <w:contextualSpacing w:val="0"/>
        <w:rPr>
          <w:rStyle w:val="Lienhypertexte"/>
          <w:b/>
        </w:rPr>
      </w:pPr>
      <w:bookmarkStart w:id="11" w:name="_Toc471218060"/>
      <w:bookmarkStart w:id="12" w:name="_Toc488311321"/>
      <w:r w:rsidRPr="004516BE">
        <w:rPr>
          <w:rStyle w:val="Lienhypertexte"/>
        </w:rPr>
        <w:t>helene.hammouda@ofii.fr</w:t>
      </w:r>
    </w:p>
    <w:p w14:paraId="6E732948" w14:textId="1BD92D5C" w:rsidR="003F5EA6" w:rsidRPr="004516BE" w:rsidRDefault="00000000" w:rsidP="00A04B06">
      <w:pPr>
        <w:pStyle w:val="Paragraphedeliste"/>
        <w:widowControl w:val="0"/>
        <w:numPr>
          <w:ilvl w:val="0"/>
          <w:numId w:val="5"/>
        </w:numPr>
        <w:spacing w:after="0" w:line="240" w:lineRule="auto"/>
        <w:ind w:left="357" w:hanging="357"/>
        <w:contextualSpacing w:val="0"/>
        <w:rPr>
          <w:rStyle w:val="Lienhypertexte"/>
          <w:b/>
          <w:u w:val="none"/>
        </w:rPr>
      </w:pPr>
      <w:hyperlink r:id="rId16" w:history="1">
        <w:r w:rsidR="005A3A9A" w:rsidRPr="004516BE">
          <w:rPr>
            <w:rStyle w:val="Lienhypertexte"/>
          </w:rPr>
          <w:t>siwar.ben-hamed@ofii.fr</w:t>
        </w:r>
      </w:hyperlink>
    </w:p>
    <w:p w14:paraId="67F46FC1" w14:textId="1582C4F1" w:rsidR="008B1A7E" w:rsidRPr="005F0B8B" w:rsidRDefault="00000000" w:rsidP="005F0B8B">
      <w:pPr>
        <w:pStyle w:val="Paragraphedeliste"/>
        <w:widowControl w:val="0"/>
        <w:numPr>
          <w:ilvl w:val="0"/>
          <w:numId w:val="5"/>
        </w:numPr>
        <w:spacing w:after="120" w:line="240" w:lineRule="auto"/>
        <w:ind w:left="357" w:hanging="357"/>
        <w:contextualSpacing w:val="0"/>
        <w:rPr>
          <w:rStyle w:val="Lienhypertexte"/>
          <w:b/>
          <w:u w:val="none"/>
        </w:rPr>
      </w:pPr>
      <w:hyperlink r:id="rId17" w:history="1">
        <w:r w:rsidR="00A764FC" w:rsidRPr="00082159">
          <w:rPr>
            <w:rStyle w:val="Lienhypertexte"/>
          </w:rPr>
          <w:t>thammofii@gmail.com</w:t>
        </w:r>
      </w:hyperlink>
    </w:p>
    <w:p w14:paraId="66354372" w14:textId="77777777" w:rsidR="005F0B8B" w:rsidRPr="005F0B8B" w:rsidRDefault="005F0B8B" w:rsidP="005F0B8B">
      <w:pPr>
        <w:pStyle w:val="Paragraphedeliste"/>
        <w:widowControl w:val="0"/>
        <w:spacing w:after="120" w:line="240" w:lineRule="auto"/>
        <w:ind w:left="357"/>
        <w:contextualSpacing w:val="0"/>
        <w:rPr>
          <w:b/>
          <w:color w:val="0000FF" w:themeColor="hyperlink"/>
        </w:rPr>
      </w:pPr>
    </w:p>
    <w:p w14:paraId="64676407" w14:textId="2764ABAD" w:rsidR="00E8553C" w:rsidRPr="00E8553C" w:rsidRDefault="005A3A9A" w:rsidP="00F41D8F">
      <w:pPr>
        <w:spacing w:after="120" w:line="240" w:lineRule="auto"/>
        <w:jc w:val="center"/>
        <w:rPr>
          <w:highlight w:val="yellow"/>
        </w:rPr>
      </w:pPr>
      <w:r>
        <w:rPr>
          <w:rFonts w:ascii="Calibri" w:hAnsi="Calibri"/>
          <w:b/>
          <w:color w:val="05ADA0"/>
          <w:sz w:val="28"/>
          <w:szCs w:val="28"/>
        </w:rPr>
        <w:t xml:space="preserve">VII - </w:t>
      </w:r>
      <w:r w:rsidRPr="005A3A9A">
        <w:rPr>
          <w:rFonts w:ascii="Calibri" w:hAnsi="Calibri"/>
          <w:b/>
          <w:color w:val="05ADA0"/>
          <w:sz w:val="28"/>
          <w:szCs w:val="28"/>
        </w:rPr>
        <w:t>NOTIFICATION DE LA D</w:t>
      </w:r>
      <w:r>
        <w:rPr>
          <w:rFonts w:ascii="Calibri" w:hAnsi="Calibri"/>
          <w:b/>
          <w:color w:val="05ADA0"/>
          <w:sz w:val="28"/>
          <w:szCs w:val="28"/>
        </w:rPr>
        <w:t>É</w:t>
      </w:r>
      <w:r w:rsidRPr="005A3A9A">
        <w:rPr>
          <w:rFonts w:ascii="Calibri" w:hAnsi="Calibri"/>
          <w:b/>
          <w:color w:val="05ADA0"/>
          <w:sz w:val="28"/>
          <w:szCs w:val="28"/>
        </w:rPr>
        <w:t>CISION DE L’ADMINISTRATION CONTRACTANTE</w:t>
      </w:r>
      <w:bookmarkEnd w:id="11"/>
      <w:bookmarkEnd w:id="12"/>
    </w:p>
    <w:p w14:paraId="51B1C958" w14:textId="11E5C5F5" w:rsidR="005A3A9A" w:rsidRPr="00742EEE" w:rsidRDefault="00E8553C" w:rsidP="00F41D8F">
      <w:pPr>
        <w:spacing w:after="120" w:line="240" w:lineRule="auto"/>
        <w:jc w:val="both"/>
      </w:pPr>
      <w:r w:rsidRPr="00742EEE">
        <w:t xml:space="preserve">Une phase de négociation est prévue après étude des demandes, </w:t>
      </w:r>
      <w:r w:rsidR="00742EEE">
        <w:t>afin de</w:t>
      </w:r>
      <w:r w:rsidRPr="00742EEE">
        <w:t xml:space="preserve"> permettre aux soumissionnaires d’apporter un complément d’information ou de réviser certaines activités. Cette négociation n’est pas automatique et concernera </w:t>
      </w:r>
      <w:r w:rsidR="005A3A9A" w:rsidRPr="00742EEE">
        <w:t xml:space="preserve">éventuellement </w:t>
      </w:r>
      <w:r w:rsidRPr="00742EEE">
        <w:t xml:space="preserve">les demandeurs éligibles ayant atteint une note </w:t>
      </w:r>
      <w:r w:rsidR="005A3A9A" w:rsidRPr="00742EEE">
        <w:t xml:space="preserve">globale </w:t>
      </w:r>
      <w:r w:rsidRPr="00742EEE">
        <w:t>minimale de 3 points.</w:t>
      </w:r>
    </w:p>
    <w:p w14:paraId="3117DD04" w14:textId="1057D377" w:rsidR="00E760A3" w:rsidRPr="00742EEE" w:rsidRDefault="00E760A3" w:rsidP="008B1A7E">
      <w:pPr>
        <w:spacing w:after="120" w:line="240" w:lineRule="auto"/>
        <w:jc w:val="both"/>
      </w:pPr>
      <w:r w:rsidRPr="00742EEE">
        <w:t>Le</w:t>
      </w:r>
      <w:r w:rsidR="008B1A7E">
        <w:t>s</w:t>
      </w:r>
      <w:r w:rsidRPr="00742EEE">
        <w:t xml:space="preserve"> dossier</w:t>
      </w:r>
      <w:r w:rsidR="008B1A7E">
        <w:t>s</w:t>
      </w:r>
      <w:r w:rsidRPr="00742EEE">
        <w:t xml:space="preserve"> qui obtiendr</w:t>
      </w:r>
      <w:r w:rsidR="008B1A7E">
        <w:t>ont</w:t>
      </w:r>
      <w:r w:rsidRPr="00742EEE">
        <w:t xml:space="preserve"> </w:t>
      </w:r>
      <w:r w:rsidR="00E86EB4" w:rsidRPr="00742EEE">
        <w:t>l</w:t>
      </w:r>
      <w:r w:rsidR="00E86EB4">
        <w:t xml:space="preserve">a </w:t>
      </w:r>
      <w:r w:rsidR="00E86EB4" w:rsidRPr="00742EEE">
        <w:t>meilleure</w:t>
      </w:r>
      <w:r w:rsidRPr="00742EEE">
        <w:t xml:space="preserve"> note à l’issue de la phase de négociation ser</w:t>
      </w:r>
      <w:r w:rsidR="008B1A7E">
        <w:t>ont</w:t>
      </w:r>
      <w:r w:rsidRPr="00742EEE">
        <w:t xml:space="preserve"> retenu</w:t>
      </w:r>
      <w:r w:rsidR="008B1A7E">
        <w:t>s</w:t>
      </w:r>
      <w:r w:rsidRPr="00742EEE">
        <w:t xml:space="preserve">. </w:t>
      </w:r>
    </w:p>
    <w:p w14:paraId="6D755162" w14:textId="711CA131" w:rsidR="00E8553C" w:rsidRDefault="00E8553C" w:rsidP="00F41D8F">
      <w:pPr>
        <w:spacing w:after="120" w:line="240" w:lineRule="auto"/>
        <w:jc w:val="both"/>
      </w:pPr>
      <w:r w:rsidRPr="00742EEE">
        <w:t>Le</w:t>
      </w:r>
      <w:r w:rsidR="005A3A9A" w:rsidRPr="00742EEE">
        <w:t>s soumissionnaires</w:t>
      </w:r>
      <w:r w:rsidRPr="00742EEE">
        <w:t xml:space="preserve"> ser</w:t>
      </w:r>
      <w:r w:rsidR="005A3A9A" w:rsidRPr="00742EEE">
        <w:t>ont</w:t>
      </w:r>
      <w:r w:rsidRPr="00742EEE">
        <w:t xml:space="preserve"> avisé</w:t>
      </w:r>
      <w:r w:rsidR="005A3A9A" w:rsidRPr="00742EEE">
        <w:t>s</w:t>
      </w:r>
      <w:r w:rsidRPr="00742EEE">
        <w:t xml:space="preserve"> par écrit de la décision prise par l'autorité contractante</w:t>
      </w:r>
      <w:r w:rsidR="00E760A3" w:rsidRPr="00742EEE">
        <w:t xml:space="preserve">, avec motivation succincte du rejet, le cas échéant. </w:t>
      </w:r>
      <w:r w:rsidRPr="00742EEE">
        <w:t xml:space="preserve"> </w:t>
      </w:r>
    </w:p>
    <w:p w14:paraId="496D23E2" w14:textId="20F47DA4" w:rsidR="4F050E48" w:rsidRPr="00621939" w:rsidRDefault="4F050E48" w:rsidP="00621939">
      <w:pPr>
        <w:spacing w:after="120" w:line="240" w:lineRule="auto"/>
        <w:jc w:val="both"/>
      </w:pPr>
    </w:p>
    <w:sectPr w:rsidR="4F050E48" w:rsidRPr="00621939" w:rsidSect="00BA6B47">
      <w:footerReference w:type="default" r:id="rId18"/>
      <w:pgSz w:w="11906" w:h="16838"/>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AC876" w14:textId="77777777" w:rsidR="00BA6B47" w:rsidRDefault="00BA6B47" w:rsidP="00021727">
      <w:pPr>
        <w:spacing w:after="0" w:line="240" w:lineRule="auto"/>
      </w:pPr>
      <w:r>
        <w:separator/>
      </w:r>
    </w:p>
  </w:endnote>
  <w:endnote w:type="continuationSeparator" w:id="0">
    <w:p w14:paraId="2F94F8E5" w14:textId="77777777" w:rsidR="00BA6B47" w:rsidRDefault="00BA6B47" w:rsidP="0002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859146"/>
      <w:docPartObj>
        <w:docPartGallery w:val="Page Numbers (Bottom of Page)"/>
        <w:docPartUnique/>
      </w:docPartObj>
    </w:sdtPr>
    <w:sdtContent>
      <w:p w14:paraId="2E5406E6" w14:textId="622F4914" w:rsidR="0071410F" w:rsidRDefault="0071410F">
        <w:pPr>
          <w:pStyle w:val="Pieddepage"/>
          <w:jc w:val="center"/>
        </w:pPr>
        <w:r>
          <w:fldChar w:fldCharType="begin"/>
        </w:r>
        <w:r>
          <w:instrText>PAGE   \* MERGEFORMAT</w:instrText>
        </w:r>
        <w:r>
          <w:fldChar w:fldCharType="separate"/>
        </w:r>
        <w:r w:rsidR="008E38D0">
          <w:rPr>
            <w:noProof/>
          </w:rPr>
          <w:t>11</w:t>
        </w:r>
        <w:r>
          <w:fldChar w:fldCharType="end"/>
        </w:r>
      </w:p>
    </w:sdtContent>
  </w:sdt>
  <w:p w14:paraId="635D38AF" w14:textId="77777777" w:rsidR="0023723C" w:rsidRDefault="002372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A207" w14:textId="77777777" w:rsidR="00BA6B47" w:rsidRDefault="00BA6B47" w:rsidP="00021727">
      <w:pPr>
        <w:spacing w:after="0" w:line="240" w:lineRule="auto"/>
      </w:pPr>
      <w:r>
        <w:separator/>
      </w:r>
    </w:p>
  </w:footnote>
  <w:footnote w:type="continuationSeparator" w:id="0">
    <w:p w14:paraId="58AE9B82" w14:textId="77777777" w:rsidR="00BA6B47" w:rsidRDefault="00BA6B47" w:rsidP="0002172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359mmibXtKUAZ" int2:id="8LQFbr0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0678"/>
    <w:multiLevelType w:val="hybridMultilevel"/>
    <w:tmpl w:val="88B61EBC"/>
    <w:lvl w:ilvl="0" w:tplc="F766A168">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23BC0CA2"/>
    <w:multiLevelType w:val="hybridMultilevel"/>
    <w:tmpl w:val="8842CF24"/>
    <w:lvl w:ilvl="0" w:tplc="5B6E1226">
      <w:numFmt w:val="bullet"/>
      <w:lvlText w:val="-"/>
      <w:lvlJc w:val="left"/>
      <w:pPr>
        <w:ind w:left="234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3F4A6F"/>
    <w:multiLevelType w:val="hybridMultilevel"/>
    <w:tmpl w:val="4CC0BF86"/>
    <w:lvl w:ilvl="0" w:tplc="4978020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F67684"/>
    <w:multiLevelType w:val="hybridMultilevel"/>
    <w:tmpl w:val="0E1EF6CE"/>
    <w:lvl w:ilvl="0" w:tplc="F766A16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701C29"/>
    <w:multiLevelType w:val="hybridMultilevel"/>
    <w:tmpl w:val="2B4682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C357A4"/>
    <w:multiLevelType w:val="hybridMultilevel"/>
    <w:tmpl w:val="DD84A258"/>
    <w:lvl w:ilvl="0" w:tplc="040C0011">
      <w:start w:val="1"/>
      <w:numFmt w:val="decimal"/>
      <w:lvlText w:val="%1)"/>
      <w:lvlJc w:val="left"/>
      <w:pPr>
        <w:ind w:left="2061" w:hanging="360"/>
      </w:p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47263D24"/>
    <w:multiLevelType w:val="hybridMultilevel"/>
    <w:tmpl w:val="853CD892"/>
    <w:lvl w:ilvl="0" w:tplc="612898F2">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7477DC"/>
    <w:multiLevelType w:val="hybridMultilevel"/>
    <w:tmpl w:val="F0A81E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A70A82"/>
    <w:multiLevelType w:val="hybridMultilevel"/>
    <w:tmpl w:val="1E54D9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8A2029"/>
    <w:multiLevelType w:val="hybridMultilevel"/>
    <w:tmpl w:val="B25E452A"/>
    <w:lvl w:ilvl="0" w:tplc="AD2E2BE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FE126D"/>
    <w:multiLevelType w:val="hybridMultilevel"/>
    <w:tmpl w:val="58F07398"/>
    <w:lvl w:ilvl="0" w:tplc="3CA2A5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8005CA"/>
    <w:multiLevelType w:val="hybridMultilevel"/>
    <w:tmpl w:val="26982124"/>
    <w:lvl w:ilvl="0" w:tplc="1A5ED9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391F87"/>
    <w:multiLevelType w:val="hybridMultilevel"/>
    <w:tmpl w:val="74B25B92"/>
    <w:lvl w:ilvl="0" w:tplc="348C697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8046383">
    <w:abstractNumId w:val="3"/>
  </w:num>
  <w:num w:numId="2" w16cid:durableId="1808550351">
    <w:abstractNumId w:val="11"/>
  </w:num>
  <w:num w:numId="3" w16cid:durableId="937518176">
    <w:abstractNumId w:val="0"/>
  </w:num>
  <w:num w:numId="4" w16cid:durableId="336927035">
    <w:abstractNumId w:val="9"/>
  </w:num>
  <w:num w:numId="5" w16cid:durableId="1975401541">
    <w:abstractNumId w:val="1"/>
  </w:num>
  <w:num w:numId="6" w16cid:durableId="1789814657">
    <w:abstractNumId w:val="7"/>
  </w:num>
  <w:num w:numId="7" w16cid:durableId="886261391">
    <w:abstractNumId w:val="12"/>
  </w:num>
  <w:num w:numId="8" w16cid:durableId="1027222098">
    <w:abstractNumId w:val="10"/>
  </w:num>
  <w:num w:numId="9" w16cid:durableId="1137453534">
    <w:abstractNumId w:val="8"/>
  </w:num>
  <w:num w:numId="10" w16cid:durableId="56324676">
    <w:abstractNumId w:val="13"/>
  </w:num>
  <w:num w:numId="11" w16cid:durableId="1404373567">
    <w:abstractNumId w:val="6"/>
  </w:num>
  <w:num w:numId="12" w16cid:durableId="1361006269">
    <w:abstractNumId w:val="4"/>
  </w:num>
  <w:num w:numId="13" w16cid:durableId="1401715292">
    <w:abstractNumId w:val="5"/>
  </w:num>
  <w:num w:numId="14" w16cid:durableId="811366389">
    <w:abstractNumId w:val="14"/>
  </w:num>
  <w:num w:numId="15" w16cid:durableId="14063371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0DB7"/>
    <w:rsid w:val="00015D12"/>
    <w:rsid w:val="00016621"/>
    <w:rsid w:val="00021727"/>
    <w:rsid w:val="00021928"/>
    <w:rsid w:val="0002299F"/>
    <w:rsid w:val="000356E9"/>
    <w:rsid w:val="000372CF"/>
    <w:rsid w:val="00045821"/>
    <w:rsid w:val="00047546"/>
    <w:rsid w:val="00051E7E"/>
    <w:rsid w:val="00060AD8"/>
    <w:rsid w:val="0007346B"/>
    <w:rsid w:val="000740E6"/>
    <w:rsid w:val="000763CC"/>
    <w:rsid w:val="00082CA5"/>
    <w:rsid w:val="00091951"/>
    <w:rsid w:val="00094B87"/>
    <w:rsid w:val="000A195E"/>
    <w:rsid w:val="000A6FF7"/>
    <w:rsid w:val="000B09CC"/>
    <w:rsid w:val="000B1C9F"/>
    <w:rsid w:val="000B6913"/>
    <w:rsid w:val="000C0E02"/>
    <w:rsid w:val="000C1458"/>
    <w:rsid w:val="000C7B6D"/>
    <w:rsid w:val="000D02F5"/>
    <w:rsid w:val="000D1C26"/>
    <w:rsid w:val="000D1C3B"/>
    <w:rsid w:val="000D2C07"/>
    <w:rsid w:val="000E2B44"/>
    <w:rsid w:val="000E306C"/>
    <w:rsid w:val="000E337F"/>
    <w:rsid w:val="000E4D66"/>
    <w:rsid w:val="000E673C"/>
    <w:rsid w:val="000F25FF"/>
    <w:rsid w:val="000F4579"/>
    <w:rsid w:val="00111DF5"/>
    <w:rsid w:val="00123889"/>
    <w:rsid w:val="0012561B"/>
    <w:rsid w:val="00126B6B"/>
    <w:rsid w:val="00127892"/>
    <w:rsid w:val="00131C1D"/>
    <w:rsid w:val="00136F98"/>
    <w:rsid w:val="001370FB"/>
    <w:rsid w:val="00142123"/>
    <w:rsid w:val="00145353"/>
    <w:rsid w:val="0015120D"/>
    <w:rsid w:val="00152CC0"/>
    <w:rsid w:val="00153BEA"/>
    <w:rsid w:val="00157B54"/>
    <w:rsid w:val="00161BB8"/>
    <w:rsid w:val="00162A4E"/>
    <w:rsid w:val="001642D9"/>
    <w:rsid w:val="00164A22"/>
    <w:rsid w:val="00165957"/>
    <w:rsid w:val="00166DA7"/>
    <w:rsid w:val="0017159A"/>
    <w:rsid w:val="00173E2B"/>
    <w:rsid w:val="0017697B"/>
    <w:rsid w:val="00177298"/>
    <w:rsid w:val="00182184"/>
    <w:rsid w:val="00182D09"/>
    <w:rsid w:val="00184CE2"/>
    <w:rsid w:val="001938F8"/>
    <w:rsid w:val="001A0B9A"/>
    <w:rsid w:val="001A2781"/>
    <w:rsid w:val="001A291C"/>
    <w:rsid w:val="001A4BA7"/>
    <w:rsid w:val="001A7EB7"/>
    <w:rsid w:val="001B274C"/>
    <w:rsid w:val="001B7ECB"/>
    <w:rsid w:val="001C6FD0"/>
    <w:rsid w:val="001C76FA"/>
    <w:rsid w:val="001C7A06"/>
    <w:rsid w:val="001C7BD7"/>
    <w:rsid w:val="001C7CF7"/>
    <w:rsid w:val="001C7F85"/>
    <w:rsid w:val="001D240F"/>
    <w:rsid w:val="001D519F"/>
    <w:rsid w:val="00201812"/>
    <w:rsid w:val="00202D9B"/>
    <w:rsid w:val="00212459"/>
    <w:rsid w:val="002141D1"/>
    <w:rsid w:val="00224953"/>
    <w:rsid w:val="0023723C"/>
    <w:rsid w:val="00242393"/>
    <w:rsid w:val="0024545A"/>
    <w:rsid w:val="002462B1"/>
    <w:rsid w:val="00250502"/>
    <w:rsid w:val="002549F5"/>
    <w:rsid w:val="00255ABE"/>
    <w:rsid w:val="002623A6"/>
    <w:rsid w:val="002635F5"/>
    <w:rsid w:val="00265A83"/>
    <w:rsid w:val="002764BE"/>
    <w:rsid w:val="002800A8"/>
    <w:rsid w:val="00284D59"/>
    <w:rsid w:val="002941B9"/>
    <w:rsid w:val="002A0A3A"/>
    <w:rsid w:val="002A7AD2"/>
    <w:rsid w:val="002B7EB1"/>
    <w:rsid w:val="002C05CF"/>
    <w:rsid w:val="002C5C89"/>
    <w:rsid w:val="002E7971"/>
    <w:rsid w:val="002F36EC"/>
    <w:rsid w:val="002F65F5"/>
    <w:rsid w:val="00300682"/>
    <w:rsid w:val="00303243"/>
    <w:rsid w:val="003122BE"/>
    <w:rsid w:val="00316810"/>
    <w:rsid w:val="00317FBC"/>
    <w:rsid w:val="00321AE5"/>
    <w:rsid w:val="00327211"/>
    <w:rsid w:val="00340734"/>
    <w:rsid w:val="0034189A"/>
    <w:rsid w:val="003468FD"/>
    <w:rsid w:val="00347B3D"/>
    <w:rsid w:val="00352E33"/>
    <w:rsid w:val="003655E1"/>
    <w:rsid w:val="0036597C"/>
    <w:rsid w:val="003711F4"/>
    <w:rsid w:val="0037499C"/>
    <w:rsid w:val="003823F0"/>
    <w:rsid w:val="003842A0"/>
    <w:rsid w:val="003A2A10"/>
    <w:rsid w:val="003A45EA"/>
    <w:rsid w:val="003A656F"/>
    <w:rsid w:val="003B28E4"/>
    <w:rsid w:val="003B2BB2"/>
    <w:rsid w:val="003B43FE"/>
    <w:rsid w:val="003C260F"/>
    <w:rsid w:val="003C2C86"/>
    <w:rsid w:val="003C65F1"/>
    <w:rsid w:val="003C7332"/>
    <w:rsid w:val="003D3A4C"/>
    <w:rsid w:val="003D4D99"/>
    <w:rsid w:val="003E0597"/>
    <w:rsid w:val="003F0DF9"/>
    <w:rsid w:val="003F4A82"/>
    <w:rsid w:val="003F5EA6"/>
    <w:rsid w:val="003F66FF"/>
    <w:rsid w:val="003F765E"/>
    <w:rsid w:val="004172AF"/>
    <w:rsid w:val="00425360"/>
    <w:rsid w:val="0043404E"/>
    <w:rsid w:val="00435656"/>
    <w:rsid w:val="004516BE"/>
    <w:rsid w:val="00452840"/>
    <w:rsid w:val="00452AA3"/>
    <w:rsid w:val="00455B23"/>
    <w:rsid w:val="00457097"/>
    <w:rsid w:val="00460880"/>
    <w:rsid w:val="0046263E"/>
    <w:rsid w:val="004648E9"/>
    <w:rsid w:val="0046697A"/>
    <w:rsid w:val="004754C9"/>
    <w:rsid w:val="00477E75"/>
    <w:rsid w:val="00477FA6"/>
    <w:rsid w:val="004820C5"/>
    <w:rsid w:val="00484962"/>
    <w:rsid w:val="00490D26"/>
    <w:rsid w:val="004912ED"/>
    <w:rsid w:val="004A40B8"/>
    <w:rsid w:val="004A544E"/>
    <w:rsid w:val="004A70C8"/>
    <w:rsid w:val="004B69FF"/>
    <w:rsid w:val="004C3A5B"/>
    <w:rsid w:val="004C692E"/>
    <w:rsid w:val="004D1372"/>
    <w:rsid w:val="004D20A0"/>
    <w:rsid w:val="004D4032"/>
    <w:rsid w:val="004D638D"/>
    <w:rsid w:val="004D6899"/>
    <w:rsid w:val="004E55EE"/>
    <w:rsid w:val="004E6692"/>
    <w:rsid w:val="00500521"/>
    <w:rsid w:val="005111FC"/>
    <w:rsid w:val="005156D0"/>
    <w:rsid w:val="00515D32"/>
    <w:rsid w:val="00524717"/>
    <w:rsid w:val="005275EF"/>
    <w:rsid w:val="00530308"/>
    <w:rsid w:val="005317BA"/>
    <w:rsid w:val="00531B14"/>
    <w:rsid w:val="00531D4A"/>
    <w:rsid w:val="00546C11"/>
    <w:rsid w:val="0055209A"/>
    <w:rsid w:val="00554453"/>
    <w:rsid w:val="00557852"/>
    <w:rsid w:val="00566509"/>
    <w:rsid w:val="0056790E"/>
    <w:rsid w:val="00573B8E"/>
    <w:rsid w:val="005835A2"/>
    <w:rsid w:val="005922F3"/>
    <w:rsid w:val="00595350"/>
    <w:rsid w:val="00595368"/>
    <w:rsid w:val="00595E00"/>
    <w:rsid w:val="005A15BC"/>
    <w:rsid w:val="005A35F2"/>
    <w:rsid w:val="005A3A9A"/>
    <w:rsid w:val="005A673D"/>
    <w:rsid w:val="005B11C8"/>
    <w:rsid w:val="005B2F33"/>
    <w:rsid w:val="005C6ABB"/>
    <w:rsid w:val="005D033D"/>
    <w:rsid w:val="005D4F20"/>
    <w:rsid w:val="005D74EB"/>
    <w:rsid w:val="005D7F0F"/>
    <w:rsid w:val="005E293D"/>
    <w:rsid w:val="005F0B8B"/>
    <w:rsid w:val="005F16C2"/>
    <w:rsid w:val="0060067B"/>
    <w:rsid w:val="00601277"/>
    <w:rsid w:val="00602B37"/>
    <w:rsid w:val="00605E79"/>
    <w:rsid w:val="006077E0"/>
    <w:rsid w:val="00613B28"/>
    <w:rsid w:val="00615248"/>
    <w:rsid w:val="00615B6F"/>
    <w:rsid w:val="00617DF6"/>
    <w:rsid w:val="0062104F"/>
    <w:rsid w:val="00621939"/>
    <w:rsid w:val="00621BFC"/>
    <w:rsid w:val="00630361"/>
    <w:rsid w:val="00631B05"/>
    <w:rsid w:val="00641B08"/>
    <w:rsid w:val="00641BCF"/>
    <w:rsid w:val="00644E05"/>
    <w:rsid w:val="00662F18"/>
    <w:rsid w:val="006825AC"/>
    <w:rsid w:val="00695F67"/>
    <w:rsid w:val="006B0AFD"/>
    <w:rsid w:val="006B15E6"/>
    <w:rsid w:val="006B23A4"/>
    <w:rsid w:val="006B6187"/>
    <w:rsid w:val="006B6193"/>
    <w:rsid w:val="006C75CB"/>
    <w:rsid w:val="006D1650"/>
    <w:rsid w:val="006D2FE9"/>
    <w:rsid w:val="006D610F"/>
    <w:rsid w:val="006E22D6"/>
    <w:rsid w:val="006E7BFD"/>
    <w:rsid w:val="006F030B"/>
    <w:rsid w:val="007030BB"/>
    <w:rsid w:val="0071410F"/>
    <w:rsid w:val="00716703"/>
    <w:rsid w:val="00720960"/>
    <w:rsid w:val="0072528B"/>
    <w:rsid w:val="00727ADF"/>
    <w:rsid w:val="007329EA"/>
    <w:rsid w:val="00737A88"/>
    <w:rsid w:val="00742089"/>
    <w:rsid w:val="00742EEE"/>
    <w:rsid w:val="007452B1"/>
    <w:rsid w:val="00745791"/>
    <w:rsid w:val="00745B73"/>
    <w:rsid w:val="00761B34"/>
    <w:rsid w:val="00762F85"/>
    <w:rsid w:val="007650CE"/>
    <w:rsid w:val="0076601F"/>
    <w:rsid w:val="007778F0"/>
    <w:rsid w:val="0079570E"/>
    <w:rsid w:val="0079734E"/>
    <w:rsid w:val="007A1259"/>
    <w:rsid w:val="007A2003"/>
    <w:rsid w:val="007B39E2"/>
    <w:rsid w:val="007C4469"/>
    <w:rsid w:val="007C7A5F"/>
    <w:rsid w:val="007D1C97"/>
    <w:rsid w:val="007E1145"/>
    <w:rsid w:val="007E3F4A"/>
    <w:rsid w:val="007F2F4F"/>
    <w:rsid w:val="007F4726"/>
    <w:rsid w:val="007F6A94"/>
    <w:rsid w:val="00807268"/>
    <w:rsid w:val="00810935"/>
    <w:rsid w:val="00813048"/>
    <w:rsid w:val="008263AC"/>
    <w:rsid w:val="00836A0A"/>
    <w:rsid w:val="008439D3"/>
    <w:rsid w:val="00851A14"/>
    <w:rsid w:val="0086581D"/>
    <w:rsid w:val="00867A74"/>
    <w:rsid w:val="00872D27"/>
    <w:rsid w:val="00875DBE"/>
    <w:rsid w:val="00881ED6"/>
    <w:rsid w:val="00886BBD"/>
    <w:rsid w:val="00890CA0"/>
    <w:rsid w:val="008965A9"/>
    <w:rsid w:val="008A2205"/>
    <w:rsid w:val="008A7CB7"/>
    <w:rsid w:val="008B1A7E"/>
    <w:rsid w:val="008C337B"/>
    <w:rsid w:val="008C4DE8"/>
    <w:rsid w:val="008D520E"/>
    <w:rsid w:val="008E0068"/>
    <w:rsid w:val="008E38D0"/>
    <w:rsid w:val="008E4FB0"/>
    <w:rsid w:val="008F057F"/>
    <w:rsid w:val="008F1C21"/>
    <w:rsid w:val="008F6D4B"/>
    <w:rsid w:val="00903B6D"/>
    <w:rsid w:val="009341C0"/>
    <w:rsid w:val="009428A9"/>
    <w:rsid w:val="00943331"/>
    <w:rsid w:val="00944BDD"/>
    <w:rsid w:val="009473A3"/>
    <w:rsid w:val="00950F37"/>
    <w:rsid w:val="00955B47"/>
    <w:rsid w:val="00957383"/>
    <w:rsid w:val="00961972"/>
    <w:rsid w:val="00967573"/>
    <w:rsid w:val="00974F34"/>
    <w:rsid w:val="00981D7E"/>
    <w:rsid w:val="00984B6A"/>
    <w:rsid w:val="00984ED4"/>
    <w:rsid w:val="00992926"/>
    <w:rsid w:val="00993A72"/>
    <w:rsid w:val="00993CCC"/>
    <w:rsid w:val="009972F0"/>
    <w:rsid w:val="009B3D0D"/>
    <w:rsid w:val="009B6688"/>
    <w:rsid w:val="009C0E6F"/>
    <w:rsid w:val="009C37A8"/>
    <w:rsid w:val="009D22E8"/>
    <w:rsid w:val="009D4FDD"/>
    <w:rsid w:val="009D65DD"/>
    <w:rsid w:val="009D68BB"/>
    <w:rsid w:val="009D7A8E"/>
    <w:rsid w:val="009E72F5"/>
    <w:rsid w:val="009F6CC0"/>
    <w:rsid w:val="009F6E88"/>
    <w:rsid w:val="009F7557"/>
    <w:rsid w:val="00A0219B"/>
    <w:rsid w:val="00A02765"/>
    <w:rsid w:val="00A04013"/>
    <w:rsid w:val="00A04B06"/>
    <w:rsid w:val="00A07288"/>
    <w:rsid w:val="00A07960"/>
    <w:rsid w:val="00A1513C"/>
    <w:rsid w:val="00A17E4E"/>
    <w:rsid w:val="00A2520A"/>
    <w:rsid w:val="00A41FED"/>
    <w:rsid w:val="00A42150"/>
    <w:rsid w:val="00A4580E"/>
    <w:rsid w:val="00A4695C"/>
    <w:rsid w:val="00A4738A"/>
    <w:rsid w:val="00A47D7A"/>
    <w:rsid w:val="00A5008B"/>
    <w:rsid w:val="00A506E0"/>
    <w:rsid w:val="00A514C5"/>
    <w:rsid w:val="00A52DC9"/>
    <w:rsid w:val="00A54509"/>
    <w:rsid w:val="00A54E3C"/>
    <w:rsid w:val="00A67CFA"/>
    <w:rsid w:val="00A764FC"/>
    <w:rsid w:val="00A825F0"/>
    <w:rsid w:val="00A84BFF"/>
    <w:rsid w:val="00A87A94"/>
    <w:rsid w:val="00A90B18"/>
    <w:rsid w:val="00A977FA"/>
    <w:rsid w:val="00AA05E0"/>
    <w:rsid w:val="00AA0D5D"/>
    <w:rsid w:val="00AA32F9"/>
    <w:rsid w:val="00AB0C43"/>
    <w:rsid w:val="00AC2768"/>
    <w:rsid w:val="00AD0F99"/>
    <w:rsid w:val="00AD5D37"/>
    <w:rsid w:val="00AD7B3A"/>
    <w:rsid w:val="00AE1184"/>
    <w:rsid w:val="00AE3C26"/>
    <w:rsid w:val="00AF3E2E"/>
    <w:rsid w:val="00B0109A"/>
    <w:rsid w:val="00B10CDC"/>
    <w:rsid w:val="00B16E59"/>
    <w:rsid w:val="00B26C48"/>
    <w:rsid w:val="00B33960"/>
    <w:rsid w:val="00B372B1"/>
    <w:rsid w:val="00B41DE5"/>
    <w:rsid w:val="00B44DAC"/>
    <w:rsid w:val="00B56339"/>
    <w:rsid w:val="00B6107C"/>
    <w:rsid w:val="00B66485"/>
    <w:rsid w:val="00B736C7"/>
    <w:rsid w:val="00B8308C"/>
    <w:rsid w:val="00B90379"/>
    <w:rsid w:val="00B911E9"/>
    <w:rsid w:val="00B94132"/>
    <w:rsid w:val="00BA62C7"/>
    <w:rsid w:val="00BA63E7"/>
    <w:rsid w:val="00BA6B47"/>
    <w:rsid w:val="00BB21EB"/>
    <w:rsid w:val="00BC0759"/>
    <w:rsid w:val="00BC117D"/>
    <w:rsid w:val="00BD12B9"/>
    <w:rsid w:val="00BD2DFA"/>
    <w:rsid w:val="00BD374F"/>
    <w:rsid w:val="00BD4E0B"/>
    <w:rsid w:val="00BD6E49"/>
    <w:rsid w:val="00BE4043"/>
    <w:rsid w:val="00C02E5D"/>
    <w:rsid w:val="00C161A0"/>
    <w:rsid w:val="00C16585"/>
    <w:rsid w:val="00C20C66"/>
    <w:rsid w:val="00C24119"/>
    <w:rsid w:val="00C33B8F"/>
    <w:rsid w:val="00C36055"/>
    <w:rsid w:val="00C5304B"/>
    <w:rsid w:val="00C57151"/>
    <w:rsid w:val="00C573F6"/>
    <w:rsid w:val="00C643E7"/>
    <w:rsid w:val="00C661F1"/>
    <w:rsid w:val="00C7259E"/>
    <w:rsid w:val="00C72663"/>
    <w:rsid w:val="00C74F30"/>
    <w:rsid w:val="00C77529"/>
    <w:rsid w:val="00C83081"/>
    <w:rsid w:val="00C83323"/>
    <w:rsid w:val="00C90845"/>
    <w:rsid w:val="00C92C95"/>
    <w:rsid w:val="00C9721F"/>
    <w:rsid w:val="00C979ED"/>
    <w:rsid w:val="00CA13FD"/>
    <w:rsid w:val="00CA678C"/>
    <w:rsid w:val="00CB0C59"/>
    <w:rsid w:val="00CB57A6"/>
    <w:rsid w:val="00CB72BB"/>
    <w:rsid w:val="00CD2366"/>
    <w:rsid w:val="00CF7E87"/>
    <w:rsid w:val="00D034C6"/>
    <w:rsid w:val="00D048B3"/>
    <w:rsid w:val="00D14E2D"/>
    <w:rsid w:val="00D24C41"/>
    <w:rsid w:val="00D253E7"/>
    <w:rsid w:val="00D2611E"/>
    <w:rsid w:val="00D35D44"/>
    <w:rsid w:val="00D37906"/>
    <w:rsid w:val="00D451F5"/>
    <w:rsid w:val="00D45612"/>
    <w:rsid w:val="00D5599F"/>
    <w:rsid w:val="00D61E42"/>
    <w:rsid w:val="00D7228E"/>
    <w:rsid w:val="00D73874"/>
    <w:rsid w:val="00D7623C"/>
    <w:rsid w:val="00D772CE"/>
    <w:rsid w:val="00D805A2"/>
    <w:rsid w:val="00D80A8F"/>
    <w:rsid w:val="00D82BA3"/>
    <w:rsid w:val="00D82DB5"/>
    <w:rsid w:val="00D849C2"/>
    <w:rsid w:val="00D92BA2"/>
    <w:rsid w:val="00D93F76"/>
    <w:rsid w:val="00D96B0D"/>
    <w:rsid w:val="00DA040A"/>
    <w:rsid w:val="00DA17EF"/>
    <w:rsid w:val="00DD0910"/>
    <w:rsid w:val="00DD16B5"/>
    <w:rsid w:val="00DD1FC8"/>
    <w:rsid w:val="00DD37BC"/>
    <w:rsid w:val="00DD57DE"/>
    <w:rsid w:val="00DE1C37"/>
    <w:rsid w:val="00DE4C07"/>
    <w:rsid w:val="00DF04D5"/>
    <w:rsid w:val="00DF3E6A"/>
    <w:rsid w:val="00DF577E"/>
    <w:rsid w:val="00E0044D"/>
    <w:rsid w:val="00E05F6E"/>
    <w:rsid w:val="00E06D9D"/>
    <w:rsid w:val="00E0783A"/>
    <w:rsid w:val="00E12BDC"/>
    <w:rsid w:val="00E12D69"/>
    <w:rsid w:val="00E14407"/>
    <w:rsid w:val="00E15890"/>
    <w:rsid w:val="00E16098"/>
    <w:rsid w:val="00E24FA7"/>
    <w:rsid w:val="00E25131"/>
    <w:rsid w:val="00E25312"/>
    <w:rsid w:val="00E26DC3"/>
    <w:rsid w:val="00E33B2F"/>
    <w:rsid w:val="00E44426"/>
    <w:rsid w:val="00E44D80"/>
    <w:rsid w:val="00E760A3"/>
    <w:rsid w:val="00E839A0"/>
    <w:rsid w:val="00E8553C"/>
    <w:rsid w:val="00E855F3"/>
    <w:rsid w:val="00E86EB4"/>
    <w:rsid w:val="00E9498F"/>
    <w:rsid w:val="00EA6394"/>
    <w:rsid w:val="00EB466F"/>
    <w:rsid w:val="00EB7001"/>
    <w:rsid w:val="00ED2BC1"/>
    <w:rsid w:val="00ED3BCE"/>
    <w:rsid w:val="00ED5A2D"/>
    <w:rsid w:val="00EF1CD1"/>
    <w:rsid w:val="00EF6377"/>
    <w:rsid w:val="00F03173"/>
    <w:rsid w:val="00F06B50"/>
    <w:rsid w:val="00F23152"/>
    <w:rsid w:val="00F23CE6"/>
    <w:rsid w:val="00F32C4E"/>
    <w:rsid w:val="00F37AEA"/>
    <w:rsid w:val="00F41D8F"/>
    <w:rsid w:val="00F42C64"/>
    <w:rsid w:val="00F52030"/>
    <w:rsid w:val="00F5235E"/>
    <w:rsid w:val="00F5377B"/>
    <w:rsid w:val="00F5607B"/>
    <w:rsid w:val="00F576A8"/>
    <w:rsid w:val="00F60DDF"/>
    <w:rsid w:val="00F60F2E"/>
    <w:rsid w:val="00F61213"/>
    <w:rsid w:val="00F613C7"/>
    <w:rsid w:val="00F63321"/>
    <w:rsid w:val="00F636AD"/>
    <w:rsid w:val="00F664B3"/>
    <w:rsid w:val="00F6671A"/>
    <w:rsid w:val="00F7408A"/>
    <w:rsid w:val="00F7528E"/>
    <w:rsid w:val="00F7619E"/>
    <w:rsid w:val="00F8275F"/>
    <w:rsid w:val="00F83B85"/>
    <w:rsid w:val="00F84DA2"/>
    <w:rsid w:val="00F878CE"/>
    <w:rsid w:val="00F96454"/>
    <w:rsid w:val="00F96F4B"/>
    <w:rsid w:val="00F97B75"/>
    <w:rsid w:val="00FA2113"/>
    <w:rsid w:val="00FA4478"/>
    <w:rsid w:val="00FC0872"/>
    <w:rsid w:val="00FC234F"/>
    <w:rsid w:val="00FC3704"/>
    <w:rsid w:val="00FD2B90"/>
    <w:rsid w:val="00FD395A"/>
    <w:rsid w:val="00FD448E"/>
    <w:rsid w:val="1D951F08"/>
    <w:rsid w:val="4F050E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E544"/>
  <w15:docId w15:val="{4A4D2604-ADC4-4531-86C8-FC2A7B04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3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iPriority w:val="99"/>
    <w:semiHidden/>
    <w:unhideWhenUsed/>
    <w:rsid w:val="000217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1727"/>
    <w:rPr>
      <w:sz w:val="20"/>
      <w:szCs w:val="20"/>
    </w:rPr>
  </w:style>
  <w:style w:type="character" w:styleId="Appelnotedebasdep">
    <w:name w:val="footnote reference"/>
    <w:basedOn w:val="Policepardfaut"/>
    <w:uiPriority w:val="99"/>
    <w:semiHidden/>
    <w:unhideWhenUsed/>
    <w:rsid w:val="00021727"/>
    <w:rPr>
      <w:vertAlign w:val="superscript"/>
    </w:rPr>
  </w:style>
  <w:style w:type="character" w:styleId="Marquedecommentaire">
    <w:name w:val="annotation reference"/>
    <w:basedOn w:val="Policepardfaut"/>
    <w:uiPriority w:val="99"/>
    <w:semiHidden/>
    <w:unhideWhenUsed/>
    <w:rsid w:val="00813048"/>
    <w:rPr>
      <w:sz w:val="16"/>
      <w:szCs w:val="16"/>
    </w:rPr>
  </w:style>
  <w:style w:type="paragraph" w:styleId="Commentaire">
    <w:name w:val="annotation text"/>
    <w:basedOn w:val="Normal"/>
    <w:link w:val="CommentaireCar"/>
    <w:uiPriority w:val="99"/>
    <w:semiHidden/>
    <w:unhideWhenUsed/>
    <w:rsid w:val="00813048"/>
    <w:pPr>
      <w:spacing w:line="240" w:lineRule="auto"/>
    </w:pPr>
    <w:rPr>
      <w:sz w:val="20"/>
      <w:szCs w:val="20"/>
    </w:rPr>
  </w:style>
  <w:style w:type="character" w:customStyle="1" w:styleId="CommentaireCar">
    <w:name w:val="Commentaire Car"/>
    <w:basedOn w:val="Policepardfaut"/>
    <w:link w:val="Commentaire"/>
    <w:uiPriority w:val="99"/>
    <w:semiHidden/>
    <w:rsid w:val="00813048"/>
    <w:rPr>
      <w:sz w:val="20"/>
      <w:szCs w:val="20"/>
    </w:rPr>
  </w:style>
  <w:style w:type="paragraph" w:styleId="Objetducommentaire">
    <w:name w:val="annotation subject"/>
    <w:basedOn w:val="Commentaire"/>
    <w:next w:val="Commentaire"/>
    <w:link w:val="ObjetducommentaireCar"/>
    <w:uiPriority w:val="99"/>
    <w:semiHidden/>
    <w:unhideWhenUsed/>
    <w:rsid w:val="00813048"/>
    <w:rPr>
      <w:b/>
      <w:bCs/>
    </w:rPr>
  </w:style>
  <w:style w:type="character" w:customStyle="1" w:styleId="ObjetducommentaireCar">
    <w:name w:val="Objet du commentaire Car"/>
    <w:basedOn w:val="CommentaireCar"/>
    <w:link w:val="Objetducommentaire"/>
    <w:uiPriority w:val="99"/>
    <w:semiHidden/>
    <w:rsid w:val="00813048"/>
    <w:rPr>
      <w:b/>
      <w:bCs/>
      <w:sz w:val="20"/>
      <w:szCs w:val="20"/>
    </w:rPr>
  </w:style>
  <w:style w:type="character" w:customStyle="1" w:styleId="Mentionnonrsolue1">
    <w:name w:val="Mention non résolue1"/>
    <w:basedOn w:val="Policepardfaut"/>
    <w:uiPriority w:val="99"/>
    <w:semiHidden/>
    <w:unhideWhenUsed/>
    <w:rsid w:val="000E2B44"/>
    <w:rPr>
      <w:color w:val="605E5C"/>
      <w:shd w:val="clear" w:color="auto" w:fill="E1DFDD"/>
    </w:rPr>
  </w:style>
  <w:style w:type="paragraph" w:styleId="Corpsdetexte">
    <w:name w:val="Body Text"/>
    <w:basedOn w:val="Normal"/>
    <w:link w:val="CorpsdetexteCar"/>
    <w:uiPriority w:val="1"/>
    <w:qFormat/>
    <w:rsid w:val="00E8553C"/>
    <w:pPr>
      <w:widowControl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E8553C"/>
    <w:rPr>
      <w:rFonts w:ascii="Arial" w:eastAsia="Arial" w:hAnsi="Arial" w:cs="Arial"/>
      <w:sz w:val="20"/>
      <w:szCs w:val="20"/>
      <w:lang w:val="en-US"/>
    </w:rPr>
  </w:style>
  <w:style w:type="character" w:styleId="Lienhypertextesuivivisit">
    <w:name w:val="FollowedHyperlink"/>
    <w:basedOn w:val="Policepardfaut"/>
    <w:uiPriority w:val="99"/>
    <w:semiHidden/>
    <w:unhideWhenUsed/>
    <w:rsid w:val="00974F34"/>
    <w:rPr>
      <w:color w:val="800080" w:themeColor="followedHyperlink"/>
      <w:u w:val="single"/>
    </w:rPr>
  </w:style>
  <w:style w:type="character" w:customStyle="1" w:styleId="Mentionnonrsolue2">
    <w:name w:val="Mention non résolue2"/>
    <w:basedOn w:val="Policepardfaut"/>
    <w:uiPriority w:val="99"/>
    <w:semiHidden/>
    <w:unhideWhenUsed/>
    <w:rsid w:val="002F36EC"/>
    <w:rPr>
      <w:color w:val="605E5C"/>
      <w:shd w:val="clear" w:color="auto" w:fill="E1DFDD"/>
    </w:rPr>
  </w:style>
  <w:style w:type="paragraph" w:styleId="Pieddepage">
    <w:name w:val="footer"/>
    <w:basedOn w:val="Normal"/>
    <w:link w:val="PieddepageCar"/>
    <w:uiPriority w:val="99"/>
    <w:unhideWhenUsed/>
    <w:rsid w:val="002372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23C"/>
  </w:style>
  <w:style w:type="character" w:customStyle="1" w:styleId="Mentionnonrsolue3">
    <w:name w:val="Mention non résolue3"/>
    <w:basedOn w:val="Policepardfaut"/>
    <w:uiPriority w:val="99"/>
    <w:semiHidden/>
    <w:unhideWhenUsed/>
    <w:rsid w:val="00B911E9"/>
    <w:rPr>
      <w:color w:val="605E5C"/>
      <w:shd w:val="clear" w:color="auto" w:fill="E1DFDD"/>
    </w:rPr>
  </w:style>
  <w:style w:type="paragraph" w:styleId="Rvision">
    <w:name w:val="Revision"/>
    <w:hidden/>
    <w:uiPriority w:val="99"/>
    <w:semiHidden/>
    <w:rsid w:val="00136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47218">
      <w:bodyDiv w:val="1"/>
      <w:marLeft w:val="0"/>
      <w:marRight w:val="0"/>
      <w:marTop w:val="0"/>
      <w:marBottom w:val="0"/>
      <w:divBdr>
        <w:top w:val="none" w:sz="0" w:space="0" w:color="auto"/>
        <w:left w:val="none" w:sz="0" w:space="0" w:color="auto"/>
        <w:bottom w:val="none" w:sz="0" w:space="0" w:color="auto"/>
        <w:right w:val="none" w:sz="0" w:space="0" w:color="auto"/>
      </w:divBdr>
    </w:div>
    <w:div w:id="1465151044">
      <w:bodyDiv w:val="1"/>
      <w:marLeft w:val="0"/>
      <w:marRight w:val="0"/>
      <w:marTop w:val="0"/>
      <w:marBottom w:val="0"/>
      <w:divBdr>
        <w:top w:val="none" w:sz="0" w:space="0" w:color="auto"/>
        <w:left w:val="none" w:sz="0" w:space="0" w:color="auto"/>
        <w:bottom w:val="none" w:sz="0" w:space="0" w:color="auto"/>
        <w:right w:val="none" w:sz="0" w:space="0" w:color="auto"/>
      </w:divBdr>
    </w:div>
    <w:div w:id="2077194042">
      <w:bodyDiv w:val="1"/>
      <w:marLeft w:val="0"/>
      <w:marRight w:val="0"/>
      <w:marTop w:val="0"/>
      <w:marBottom w:val="0"/>
      <w:divBdr>
        <w:top w:val="none" w:sz="0" w:space="0" w:color="auto"/>
        <w:left w:val="none" w:sz="0" w:space="0" w:color="auto"/>
        <w:bottom w:val="none" w:sz="0" w:space="0" w:color="auto"/>
        <w:right w:val="none" w:sz="0" w:space="0" w:color="auto"/>
      </w:divBdr>
    </w:div>
    <w:div w:id="20913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mission.europa.eu/strategy-and-policy/eu-budget/how-it-works/annual-lifecycle/implementation/anti-fraud-measures/edes_f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ikis.ec.europa.eu/display/ExactExternalWikiFR/ePRAG" TargetMode="External"/><Relationship Id="rId17" Type="http://schemas.openxmlformats.org/officeDocument/2006/relationships/hyperlink" Target="mailto:thammofii@gmail.com" TargetMode="External"/><Relationship Id="rId2" Type="http://schemas.openxmlformats.org/officeDocument/2006/relationships/numbering" Target="numbering.xml"/><Relationship Id="rId16" Type="http://schemas.openxmlformats.org/officeDocument/2006/relationships/hyperlink" Target="mailto:siwar.ben-hamed@ofii.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europa.eu/youreurope/business/selling-in-eu/public-contracts/public-tendering-rules/index_en.htm%20" TargetMode="External"/><Relationship Id="rId5" Type="http://schemas.openxmlformats.org/officeDocument/2006/relationships/webSettings" Target="webSettings.xml"/><Relationship Id="rId15" Type="http://schemas.openxmlformats.org/officeDocument/2006/relationships/hyperlink" Target="mailto:siwar.ben-hamed@ofii.f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info/funding-tenders/managing-your-project/communicating-and-raising-eu-visibility_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9F88-9173-40E9-89CD-4BE17A29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3727</Words>
  <Characters>20504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HAMMOUDA, Helene</dc:creator>
  <cp:lastModifiedBy>siwar ben hamed</cp:lastModifiedBy>
  <cp:revision>2</cp:revision>
  <cp:lastPrinted>2024-04-16T07:26:00Z</cp:lastPrinted>
  <dcterms:created xsi:type="dcterms:W3CDTF">2024-04-29T14:43:00Z</dcterms:created>
  <dcterms:modified xsi:type="dcterms:W3CDTF">2024-04-29T14:43:00Z</dcterms:modified>
</cp:coreProperties>
</file>