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7451" w:rsidRPr="004368B4" w:rsidRDefault="009E359B" w:rsidP="003666D0">
      <w:pPr>
        <w:spacing w:before="120" w:after="120" w:line="276" w:lineRule="auto"/>
        <w:ind w:left="5"/>
        <w:jc w:val="center"/>
        <w:rPr>
          <w:b/>
          <w:sz w:val="32"/>
          <w:szCs w:val="32"/>
          <w:lang w:val="fr-FR"/>
        </w:rPr>
      </w:pPr>
      <w:r w:rsidRPr="004368B4">
        <w:rPr>
          <w:b/>
          <w:sz w:val="32"/>
          <w:szCs w:val="32"/>
          <w:lang w:val="fr-FR"/>
        </w:rPr>
        <w:t>L’union Tunisienne de Solidarité Sociale</w:t>
      </w:r>
    </w:p>
    <w:p w:rsidR="000A7451" w:rsidRPr="004368B4" w:rsidRDefault="000A7451" w:rsidP="003666D0">
      <w:pPr>
        <w:spacing w:before="120" w:after="120" w:line="276" w:lineRule="auto"/>
        <w:ind w:left="5"/>
        <w:jc w:val="center"/>
        <w:rPr>
          <w:b/>
          <w:sz w:val="32"/>
          <w:szCs w:val="32"/>
          <w:lang w:val="fr-FR"/>
        </w:rPr>
      </w:pPr>
    </w:p>
    <w:p w:rsidR="000A7451" w:rsidRPr="004368B4" w:rsidRDefault="000A7451" w:rsidP="003666D0">
      <w:pPr>
        <w:spacing w:before="120" w:after="120" w:line="276" w:lineRule="auto"/>
        <w:ind w:left="5"/>
        <w:jc w:val="center"/>
        <w:rPr>
          <w:sz w:val="32"/>
          <w:szCs w:val="32"/>
          <w:lang w:val="fr-FR"/>
        </w:rPr>
      </w:pPr>
      <w:r w:rsidRPr="004368B4">
        <w:rPr>
          <w:b/>
          <w:sz w:val="32"/>
          <w:szCs w:val="32"/>
          <w:lang w:val="fr-FR"/>
        </w:rPr>
        <w:t>Programme IEV de Coopération Transfrontalière - Italie-Tunisie 2014-2020</w:t>
      </w:r>
    </w:p>
    <w:p w:rsidR="000A7451" w:rsidRPr="004368B4" w:rsidRDefault="000A7451" w:rsidP="003666D0">
      <w:pPr>
        <w:spacing w:before="120" w:after="120" w:line="276" w:lineRule="auto"/>
        <w:ind w:left="5"/>
        <w:jc w:val="center"/>
        <w:rPr>
          <w:sz w:val="28"/>
          <w:szCs w:val="28"/>
          <w:lang w:val="fr-FR"/>
        </w:rPr>
      </w:pPr>
    </w:p>
    <w:p w:rsidR="000A7451" w:rsidRPr="004368B4" w:rsidRDefault="000A7451" w:rsidP="003B4804">
      <w:pPr>
        <w:spacing w:before="120" w:after="120" w:line="276" w:lineRule="auto"/>
        <w:ind w:left="5"/>
        <w:jc w:val="center"/>
        <w:rPr>
          <w:b/>
          <w:bCs/>
          <w:sz w:val="28"/>
          <w:szCs w:val="28"/>
          <w:lang w:val="fr-FR"/>
        </w:rPr>
      </w:pPr>
      <w:r w:rsidRPr="004368B4">
        <w:rPr>
          <w:b/>
          <w:bCs/>
          <w:sz w:val="28"/>
          <w:szCs w:val="28"/>
          <w:lang w:val="fr-FR"/>
        </w:rPr>
        <w:t xml:space="preserve">Consultation° </w:t>
      </w:r>
      <w:r w:rsidR="003B4804">
        <w:rPr>
          <w:b/>
          <w:bCs/>
          <w:sz w:val="28"/>
          <w:szCs w:val="28"/>
          <w:lang w:val="fr-FR"/>
        </w:rPr>
        <w:t>23</w:t>
      </w:r>
      <w:r w:rsidRPr="004368B4">
        <w:rPr>
          <w:b/>
          <w:bCs/>
          <w:sz w:val="28"/>
          <w:szCs w:val="28"/>
          <w:lang w:val="fr-FR"/>
        </w:rPr>
        <w:t>/2023</w:t>
      </w:r>
    </w:p>
    <w:p w:rsidR="000A7451" w:rsidRPr="004368B4" w:rsidRDefault="000A7451" w:rsidP="003666D0">
      <w:pPr>
        <w:spacing w:before="120" w:after="120" w:line="276" w:lineRule="auto"/>
        <w:jc w:val="center"/>
        <w:rPr>
          <w:b/>
          <w:sz w:val="28"/>
          <w:szCs w:val="28"/>
          <w:lang w:val="fr-FR"/>
        </w:rPr>
      </w:pPr>
    </w:p>
    <w:p w:rsidR="000A7451" w:rsidRPr="004368B4" w:rsidRDefault="000A7451" w:rsidP="003666D0">
      <w:pPr>
        <w:spacing w:before="120" w:after="120" w:line="276" w:lineRule="auto"/>
        <w:jc w:val="center"/>
        <w:rPr>
          <w:b/>
          <w:sz w:val="28"/>
          <w:szCs w:val="28"/>
          <w:lang w:val="fr-FR"/>
        </w:rPr>
      </w:pPr>
    </w:p>
    <w:p w:rsidR="009E359B" w:rsidRPr="004368B4" w:rsidRDefault="009E359B" w:rsidP="003666D0">
      <w:pPr>
        <w:spacing w:before="120" w:after="120" w:line="276" w:lineRule="auto"/>
        <w:jc w:val="center"/>
        <w:rPr>
          <w:b/>
          <w:sz w:val="28"/>
          <w:szCs w:val="28"/>
          <w:lang w:val="fr-FR"/>
        </w:rPr>
      </w:pPr>
      <w:r w:rsidRPr="004368B4">
        <w:rPr>
          <w:b/>
          <w:sz w:val="28"/>
          <w:szCs w:val="28"/>
          <w:lang w:val="fr-FR"/>
        </w:rPr>
        <w:t xml:space="preserve">Termes de référence </w:t>
      </w:r>
    </w:p>
    <w:p w:rsidR="009E359B" w:rsidRPr="004368B4" w:rsidRDefault="009E359B" w:rsidP="00344468">
      <w:pPr>
        <w:spacing w:before="120" w:after="120" w:line="276" w:lineRule="auto"/>
        <w:jc w:val="center"/>
        <w:rPr>
          <w:sz w:val="28"/>
          <w:szCs w:val="28"/>
          <w:lang w:val="fr-FR"/>
        </w:rPr>
      </w:pPr>
      <w:r w:rsidRPr="004368B4">
        <w:rPr>
          <w:b/>
          <w:sz w:val="28"/>
          <w:szCs w:val="28"/>
          <w:lang w:val="fr-FR"/>
        </w:rPr>
        <w:t xml:space="preserve">Sélection d’un  </w:t>
      </w:r>
      <w:r w:rsidR="00DB3EF3">
        <w:rPr>
          <w:b/>
          <w:sz w:val="28"/>
          <w:szCs w:val="28"/>
          <w:lang w:val="fr-FR"/>
        </w:rPr>
        <w:t>bureau de</w:t>
      </w:r>
      <w:r w:rsidR="00993FBA">
        <w:rPr>
          <w:b/>
          <w:sz w:val="28"/>
          <w:szCs w:val="28"/>
          <w:lang w:val="fr-FR"/>
        </w:rPr>
        <w:t xml:space="preserve"> formation</w:t>
      </w:r>
      <w:r w:rsidR="00DB3EF3">
        <w:rPr>
          <w:b/>
          <w:sz w:val="28"/>
          <w:szCs w:val="28"/>
          <w:lang w:val="fr-FR"/>
        </w:rPr>
        <w:t xml:space="preserve"> pour la réalisation  d’un programme d’appui aux jeunes entrepreneur</w:t>
      </w:r>
      <w:r w:rsidR="00F147DC">
        <w:rPr>
          <w:b/>
          <w:sz w:val="28"/>
          <w:szCs w:val="28"/>
          <w:lang w:val="fr-FR"/>
        </w:rPr>
        <w:t>s</w:t>
      </w:r>
      <w:r w:rsidR="00DB3EF3">
        <w:rPr>
          <w:b/>
          <w:sz w:val="28"/>
          <w:szCs w:val="28"/>
          <w:lang w:val="fr-FR"/>
        </w:rPr>
        <w:t xml:space="preserve"> dans le domaine de l’entreprenariat et de droit de l’environnement dans les deux gouvernorats de Gabès et Nabeul.</w:t>
      </w:r>
      <w:r w:rsidRPr="004368B4">
        <w:rPr>
          <w:b/>
          <w:sz w:val="28"/>
          <w:szCs w:val="28"/>
          <w:lang w:val="fr-FR"/>
        </w:rPr>
        <w:t xml:space="preserve"> </w:t>
      </w:r>
    </w:p>
    <w:p w:rsidR="000A7451" w:rsidRPr="004368B4" w:rsidRDefault="000A7451" w:rsidP="003666D0">
      <w:pPr>
        <w:spacing w:before="120" w:after="120" w:line="276" w:lineRule="auto"/>
        <w:ind w:left="5"/>
        <w:jc w:val="center"/>
        <w:rPr>
          <w:sz w:val="28"/>
          <w:szCs w:val="28"/>
          <w:lang w:val="fr-FR"/>
        </w:rPr>
      </w:pPr>
    </w:p>
    <w:p w:rsidR="000A7451" w:rsidRPr="004368B4" w:rsidRDefault="000A7451" w:rsidP="003666D0">
      <w:pPr>
        <w:spacing w:before="120" w:after="120" w:line="276" w:lineRule="auto"/>
        <w:jc w:val="center"/>
        <w:rPr>
          <w:b/>
          <w:sz w:val="28"/>
          <w:szCs w:val="28"/>
          <w:lang w:val="fr-FR"/>
        </w:rPr>
      </w:pPr>
    </w:p>
    <w:p w:rsidR="000A7451" w:rsidRPr="004368B4" w:rsidRDefault="000A7451" w:rsidP="003666D0">
      <w:pPr>
        <w:spacing w:before="120" w:after="120" w:line="276" w:lineRule="auto"/>
        <w:rPr>
          <w:b/>
          <w:sz w:val="28"/>
          <w:szCs w:val="28"/>
          <w:lang w:val="fr-FR"/>
        </w:rPr>
      </w:pPr>
    </w:p>
    <w:p w:rsidR="000A7451" w:rsidRPr="004368B4" w:rsidRDefault="000A7451" w:rsidP="00172E01">
      <w:pPr>
        <w:spacing w:before="120" w:after="120" w:line="276" w:lineRule="auto"/>
        <w:rPr>
          <w:b/>
          <w:sz w:val="28"/>
          <w:szCs w:val="28"/>
          <w:lang w:val="fr-FR"/>
        </w:rPr>
      </w:pPr>
    </w:p>
    <w:p w:rsidR="000A7451" w:rsidRPr="004368B4" w:rsidRDefault="000A7451" w:rsidP="003666D0">
      <w:pPr>
        <w:spacing w:before="120" w:after="120" w:line="276" w:lineRule="auto"/>
        <w:jc w:val="center"/>
        <w:rPr>
          <w:b/>
          <w:sz w:val="28"/>
          <w:szCs w:val="28"/>
          <w:lang w:val="fr-FR"/>
        </w:rPr>
      </w:pPr>
      <w:r w:rsidRPr="004368B4">
        <w:rPr>
          <w:b/>
          <w:sz w:val="28"/>
          <w:szCs w:val="28"/>
          <w:lang w:val="fr-FR"/>
        </w:rPr>
        <w:t>PROJET</w:t>
      </w:r>
    </w:p>
    <w:p w:rsidR="000A7451" w:rsidRPr="004368B4" w:rsidRDefault="000A7451" w:rsidP="003666D0">
      <w:pPr>
        <w:spacing w:before="120" w:after="120" w:line="276" w:lineRule="auto"/>
        <w:jc w:val="center"/>
        <w:rPr>
          <w:b/>
          <w:sz w:val="28"/>
          <w:szCs w:val="28"/>
          <w:lang w:val="fr-FR"/>
        </w:rPr>
      </w:pPr>
      <w:r w:rsidRPr="004368B4">
        <w:rPr>
          <w:b/>
          <w:sz w:val="28"/>
          <w:szCs w:val="28"/>
          <w:lang w:val="fr-FR"/>
        </w:rPr>
        <w:t>Re-lancer une Nouvelle économie</w:t>
      </w:r>
    </w:p>
    <w:p w:rsidR="000A7451" w:rsidRPr="004368B4" w:rsidRDefault="000A7451" w:rsidP="003666D0">
      <w:pPr>
        <w:spacing w:before="120" w:after="120" w:line="276" w:lineRule="auto"/>
        <w:jc w:val="center"/>
        <w:rPr>
          <w:b/>
          <w:sz w:val="28"/>
          <w:szCs w:val="28"/>
          <w:lang w:val="fr-FR"/>
        </w:rPr>
      </w:pPr>
    </w:p>
    <w:p w:rsidR="000A7451" w:rsidRPr="004368B4" w:rsidRDefault="000A7451" w:rsidP="003666D0">
      <w:pPr>
        <w:spacing w:before="120" w:after="120" w:line="276" w:lineRule="auto"/>
        <w:jc w:val="center"/>
        <w:rPr>
          <w:b/>
          <w:sz w:val="28"/>
          <w:szCs w:val="28"/>
          <w:lang w:val="fr-FR"/>
        </w:rPr>
      </w:pPr>
      <w:r w:rsidRPr="004368B4">
        <w:rPr>
          <w:b/>
          <w:sz w:val="28"/>
          <w:szCs w:val="28"/>
          <w:lang w:val="fr-FR"/>
        </w:rPr>
        <w:t>Acronyme du projet</w:t>
      </w:r>
    </w:p>
    <w:p w:rsidR="000A7451" w:rsidRPr="004368B4" w:rsidRDefault="000A7451" w:rsidP="003666D0">
      <w:pPr>
        <w:spacing w:before="120" w:after="120" w:line="276" w:lineRule="auto"/>
        <w:jc w:val="center"/>
        <w:rPr>
          <w:bCs/>
          <w:sz w:val="28"/>
          <w:szCs w:val="28"/>
          <w:lang w:val="fr-FR"/>
        </w:rPr>
      </w:pPr>
      <w:r w:rsidRPr="004368B4">
        <w:rPr>
          <w:bCs/>
          <w:sz w:val="28"/>
          <w:szCs w:val="28"/>
          <w:lang w:val="fr-FR"/>
        </w:rPr>
        <w:t>Re-Né C-5-3.1-39</w:t>
      </w:r>
    </w:p>
    <w:p w:rsidR="008F5A8B" w:rsidRPr="004368B4" w:rsidRDefault="008F5A8B" w:rsidP="003666D0">
      <w:pPr>
        <w:spacing w:line="276" w:lineRule="auto"/>
        <w:rPr>
          <w:lang w:val="fr-FR"/>
        </w:rPr>
      </w:pPr>
    </w:p>
    <w:p w:rsidR="000A7451" w:rsidRPr="004368B4" w:rsidRDefault="000A7451" w:rsidP="003666D0">
      <w:pPr>
        <w:spacing w:line="276" w:lineRule="auto"/>
        <w:rPr>
          <w:lang w:val="fr-FR"/>
        </w:rPr>
      </w:pPr>
    </w:p>
    <w:p w:rsidR="000A7451" w:rsidRPr="004368B4" w:rsidRDefault="000A7451" w:rsidP="003666D0">
      <w:pPr>
        <w:spacing w:line="276" w:lineRule="auto"/>
        <w:rPr>
          <w:lang w:val="fr-FR"/>
        </w:rPr>
      </w:pPr>
    </w:p>
    <w:p w:rsidR="000A7451" w:rsidRDefault="000A7451" w:rsidP="003666D0">
      <w:pPr>
        <w:spacing w:line="276" w:lineRule="auto"/>
        <w:rPr>
          <w:lang w:val="fr-FR"/>
        </w:rPr>
      </w:pPr>
    </w:p>
    <w:p w:rsidR="004368B4" w:rsidRDefault="004368B4" w:rsidP="003666D0">
      <w:pPr>
        <w:spacing w:line="276" w:lineRule="auto"/>
        <w:rPr>
          <w:lang w:val="fr-FR"/>
        </w:rPr>
      </w:pPr>
    </w:p>
    <w:p w:rsidR="004368B4" w:rsidRPr="004368B4" w:rsidRDefault="004368B4" w:rsidP="003666D0">
      <w:pPr>
        <w:spacing w:line="276" w:lineRule="auto"/>
        <w:rPr>
          <w:lang w:val="fr-FR"/>
        </w:rPr>
      </w:pPr>
    </w:p>
    <w:p w:rsidR="000A7451" w:rsidRPr="004368B4" w:rsidRDefault="000A7451" w:rsidP="003666D0">
      <w:pPr>
        <w:spacing w:line="276" w:lineRule="auto"/>
        <w:rPr>
          <w:lang w:val="fr-FR"/>
        </w:rPr>
      </w:pPr>
    </w:p>
    <w:p w:rsidR="00F147DC" w:rsidRDefault="00F147DC" w:rsidP="003666D0">
      <w:pPr>
        <w:tabs>
          <w:tab w:val="left" w:pos="2745"/>
        </w:tabs>
        <w:spacing w:line="276" w:lineRule="auto"/>
        <w:jc w:val="lowKashida"/>
        <w:rPr>
          <w:lang w:val="fr-FR"/>
        </w:rPr>
      </w:pPr>
    </w:p>
    <w:p w:rsidR="000A7451" w:rsidRPr="004368B4" w:rsidRDefault="000A7451" w:rsidP="003666D0">
      <w:pPr>
        <w:tabs>
          <w:tab w:val="left" w:pos="2745"/>
        </w:tabs>
        <w:spacing w:line="276" w:lineRule="auto"/>
        <w:jc w:val="lowKashida"/>
        <w:rPr>
          <w:b/>
          <w:bCs/>
          <w:lang w:val="fr-FR"/>
        </w:rPr>
      </w:pPr>
      <w:r w:rsidRPr="004368B4">
        <w:rPr>
          <w:b/>
          <w:bCs/>
          <w:lang w:val="fr-FR"/>
        </w:rPr>
        <w:lastRenderedPageBreak/>
        <w:t xml:space="preserve">Contexte : </w:t>
      </w:r>
    </w:p>
    <w:p w:rsidR="000A7451" w:rsidRPr="004368B4" w:rsidRDefault="000A7451" w:rsidP="003666D0">
      <w:pPr>
        <w:pStyle w:val="NormalWeb"/>
        <w:shd w:val="clear" w:color="auto" w:fill="FFFFFF"/>
        <w:spacing w:before="0" w:beforeAutospacing="0" w:after="0" w:afterAutospacing="0" w:line="276" w:lineRule="auto"/>
        <w:jc w:val="lowKashida"/>
        <w:rPr>
          <w:bCs/>
        </w:rPr>
      </w:pPr>
      <w:r w:rsidRPr="004368B4">
        <w:rPr>
          <w:lang w:bidi="ar-TN"/>
        </w:rPr>
        <w:t xml:space="preserve">Le Programme de développement de l’Union Tunisienne de Solidarité Sociale (UTSS) cible dans ses interventions </w:t>
      </w:r>
      <w:r w:rsidRPr="004368B4">
        <w:rPr>
          <w:bCs/>
        </w:rPr>
        <w:t>la diffusion de la culture d’auto-développement et d’entrepreneuriat chez les populations les plus vulnérables</w:t>
      </w:r>
      <w:r w:rsidRPr="004368B4">
        <w:rPr>
          <w:lang w:bidi="ar-TN"/>
        </w:rPr>
        <w:t xml:space="preserve">, familles économiquement faibles  du monde rural / semi-urbain tunisien et </w:t>
      </w:r>
      <w:r w:rsidRPr="004368B4">
        <w:rPr>
          <w:bCs/>
        </w:rPr>
        <w:t>principalement les jeunes et les femmes. Ils englobent un ensemble de mesures d’appui, d’assistance et d’aide à l’insertion socioéconomique et professionnelle pour la création et la pérennisation d’activités génératrices de revenus, sous forme de micro-entreprises d’intérêt social, c'est-à-dire qui génèrent des revenus pour les familles économiquement faibles et qui améliorent leur niveau de vie tout en créant une dynamique locale.</w:t>
      </w:r>
    </w:p>
    <w:p w:rsidR="000A7451" w:rsidRPr="004368B4" w:rsidRDefault="000A7451" w:rsidP="00B607D1">
      <w:pPr>
        <w:pStyle w:val="NormalWeb"/>
        <w:shd w:val="clear" w:color="auto" w:fill="FFFFFF"/>
        <w:spacing w:before="0" w:beforeAutospacing="0" w:after="0" w:afterAutospacing="0" w:line="276" w:lineRule="auto"/>
        <w:jc w:val="lowKashida"/>
        <w:rPr>
          <w:bCs/>
        </w:rPr>
      </w:pPr>
      <w:r w:rsidRPr="004368B4">
        <w:rPr>
          <w:bCs/>
        </w:rPr>
        <w:t>L’accompagnement, spécifique et personnalisé, est réalisé tout au long du processus, depuis l’identification des projets, l’installation des micro-entreprises jusqu’au suivi/ consolidation post-création (pour favoriser leur rentabilité et leur pérennité).</w:t>
      </w:r>
    </w:p>
    <w:p w:rsidR="000A7451" w:rsidRPr="004368B4" w:rsidRDefault="000A7451" w:rsidP="003666D0">
      <w:pPr>
        <w:spacing w:line="276" w:lineRule="auto"/>
        <w:jc w:val="lowKashida"/>
        <w:rPr>
          <w:lang w:val="fr-FR"/>
        </w:rPr>
      </w:pPr>
      <w:r w:rsidRPr="004368B4">
        <w:rPr>
          <w:lang w:val="fr-FR"/>
        </w:rPr>
        <w:t>Et suite à la décision de l’Autorité de Gestion du Programme Italie - Tunisie 2014-2020 en date du : 07/08/2019, N°10812, le projet « </w:t>
      </w:r>
      <w:r w:rsidRPr="004368B4">
        <w:rPr>
          <w:b/>
          <w:bCs/>
          <w:lang w:val="fr-FR"/>
        </w:rPr>
        <w:t xml:space="preserve">Re-Né » C-5-3.1-39 </w:t>
      </w:r>
      <w:r w:rsidRPr="004368B4">
        <w:rPr>
          <w:lang w:val="fr-FR"/>
        </w:rPr>
        <w:t>qui</w:t>
      </w:r>
      <w:r w:rsidRPr="004368B4">
        <w:rPr>
          <w:b/>
          <w:bCs/>
          <w:lang w:val="fr-FR"/>
        </w:rPr>
        <w:t xml:space="preserve"> </w:t>
      </w:r>
      <w:r w:rsidRPr="004368B4">
        <w:rPr>
          <w:lang w:val="fr-FR"/>
        </w:rPr>
        <w:t xml:space="preserve">propose de mettre en œuvre un modèle international innovant de réduction et de réutilisation des déchets, qui sera testé en Italie et en Tunisie et reproductible dans la région méditerranéenne, les entreprise, les consommateurs, les jeunes et les institutions </w:t>
      </w:r>
      <w:r w:rsidR="00177961">
        <w:rPr>
          <w:lang w:val="fr-FR"/>
        </w:rPr>
        <w:t xml:space="preserve">qui </w:t>
      </w:r>
      <w:r w:rsidRPr="004368B4">
        <w:rPr>
          <w:lang w:val="fr-FR"/>
        </w:rPr>
        <w:t>sont les acteurs clés de la transition vers une économie plus circulaire</w:t>
      </w:r>
      <w:r w:rsidRPr="004368B4">
        <w:rPr>
          <w:b/>
          <w:bCs/>
          <w:lang w:val="fr-FR"/>
        </w:rPr>
        <w:t xml:space="preserve"> </w:t>
      </w:r>
      <w:r w:rsidRPr="004368B4">
        <w:rPr>
          <w:lang w:val="fr-FR"/>
        </w:rPr>
        <w:t>,a été approuvé avec les partenaires listés ci-dessus :</w:t>
      </w:r>
    </w:p>
    <w:p w:rsidR="000A7451" w:rsidRPr="004368B4" w:rsidRDefault="000A7451" w:rsidP="003666D0">
      <w:pPr>
        <w:pStyle w:val="Sansinterligne"/>
        <w:spacing w:after="80" w:line="276" w:lineRule="auto"/>
        <w:ind w:firstLine="0"/>
        <w:jc w:val="lowKashida"/>
        <w:rPr>
          <w:rFonts w:ascii="Times New Roman" w:hAnsi="Times New Roman" w:cs="Times New Roman"/>
          <w:sz w:val="24"/>
          <w:szCs w:val="24"/>
        </w:rPr>
      </w:pPr>
      <w:r w:rsidRPr="004368B4">
        <w:rPr>
          <w:rFonts w:ascii="Times New Roman" w:hAnsi="Times New Roman" w:cs="Times New Roman"/>
          <w:b/>
          <w:bCs/>
          <w:sz w:val="24"/>
          <w:szCs w:val="24"/>
        </w:rPr>
        <w:t>Bénéficiaire Principal/Partenaire 1</w:t>
      </w:r>
      <w:r w:rsidRPr="004368B4">
        <w:rPr>
          <w:rFonts w:ascii="Times New Roman" w:hAnsi="Times New Roman" w:cs="Times New Roman"/>
          <w:sz w:val="24"/>
          <w:szCs w:val="24"/>
        </w:rPr>
        <w:t>: Ville de Balestrate, BLS (IT).</w:t>
      </w:r>
    </w:p>
    <w:p w:rsidR="000A7451" w:rsidRPr="004368B4" w:rsidRDefault="000A7451" w:rsidP="003666D0">
      <w:pPr>
        <w:pStyle w:val="Sansinterligne"/>
        <w:spacing w:after="80" w:line="276" w:lineRule="auto"/>
        <w:ind w:firstLine="0"/>
        <w:jc w:val="lowKashida"/>
        <w:rPr>
          <w:rFonts w:ascii="Times New Roman" w:hAnsi="Times New Roman" w:cs="Times New Roman"/>
          <w:sz w:val="24"/>
          <w:szCs w:val="24"/>
        </w:rPr>
      </w:pPr>
      <w:r w:rsidRPr="004368B4">
        <w:rPr>
          <w:rFonts w:ascii="Times New Roman" w:hAnsi="Times New Roman" w:cs="Times New Roman"/>
          <w:b/>
          <w:bCs/>
          <w:sz w:val="24"/>
          <w:szCs w:val="24"/>
        </w:rPr>
        <w:t>Partenaire 2</w:t>
      </w:r>
      <w:r w:rsidRPr="004368B4">
        <w:rPr>
          <w:rFonts w:ascii="Times New Roman" w:hAnsi="Times New Roman" w:cs="Times New Roman"/>
          <w:sz w:val="24"/>
          <w:szCs w:val="24"/>
        </w:rPr>
        <w:t xml:space="preserve"> :</w:t>
      </w:r>
      <w:r w:rsidRPr="004368B4">
        <w:rPr>
          <w:rFonts w:ascii="Times New Roman" w:hAnsi="Times New Roman" w:cs="Times New Roman"/>
          <w:sz w:val="24"/>
          <w:szCs w:val="24"/>
        </w:rPr>
        <w:tab/>
        <w:t xml:space="preserve"> Ville de Calatafimi segesta, VdCS (IT).</w:t>
      </w:r>
    </w:p>
    <w:p w:rsidR="000A7451" w:rsidRPr="004368B4" w:rsidRDefault="000A7451" w:rsidP="003666D0">
      <w:pPr>
        <w:pStyle w:val="Sansinterligne"/>
        <w:spacing w:after="80" w:line="276" w:lineRule="auto"/>
        <w:ind w:firstLine="0"/>
        <w:jc w:val="lowKashida"/>
        <w:rPr>
          <w:rFonts w:ascii="Times New Roman" w:hAnsi="Times New Roman" w:cs="Times New Roman"/>
          <w:sz w:val="24"/>
          <w:szCs w:val="24"/>
        </w:rPr>
      </w:pPr>
      <w:r w:rsidRPr="004368B4">
        <w:rPr>
          <w:rFonts w:ascii="Times New Roman" w:hAnsi="Times New Roman" w:cs="Times New Roman"/>
          <w:b/>
          <w:bCs/>
          <w:sz w:val="24"/>
          <w:szCs w:val="24"/>
        </w:rPr>
        <w:t xml:space="preserve">Partenaire 3 : </w:t>
      </w:r>
      <w:r w:rsidRPr="004368B4">
        <w:rPr>
          <w:rFonts w:ascii="Times New Roman" w:hAnsi="Times New Roman" w:cs="Times New Roman"/>
          <w:sz w:val="24"/>
          <w:szCs w:val="24"/>
        </w:rPr>
        <w:t>Conseil National de Recherche, CNR (IT).</w:t>
      </w:r>
    </w:p>
    <w:p w:rsidR="000A7451" w:rsidRPr="004368B4" w:rsidRDefault="000A7451" w:rsidP="003666D0">
      <w:pPr>
        <w:pStyle w:val="Sansinterligne"/>
        <w:spacing w:after="80" w:line="276" w:lineRule="auto"/>
        <w:ind w:firstLine="0"/>
        <w:jc w:val="lowKashida"/>
        <w:rPr>
          <w:rFonts w:ascii="Times New Roman" w:hAnsi="Times New Roman" w:cs="Times New Roman"/>
          <w:sz w:val="24"/>
          <w:szCs w:val="24"/>
        </w:rPr>
      </w:pPr>
      <w:r w:rsidRPr="004368B4">
        <w:rPr>
          <w:rFonts w:ascii="Times New Roman" w:hAnsi="Times New Roman" w:cs="Times New Roman"/>
          <w:b/>
          <w:bCs/>
          <w:sz w:val="24"/>
          <w:szCs w:val="24"/>
        </w:rPr>
        <w:t xml:space="preserve">Partenaire 4 : </w:t>
      </w:r>
      <w:r w:rsidRPr="004368B4">
        <w:rPr>
          <w:rFonts w:ascii="Times New Roman" w:hAnsi="Times New Roman" w:cs="Times New Roman"/>
          <w:sz w:val="24"/>
          <w:szCs w:val="24"/>
        </w:rPr>
        <w:t>Union Tunisienne de Solidarité Sociale, UTSS (TN).</w:t>
      </w:r>
    </w:p>
    <w:p w:rsidR="000A7451" w:rsidRPr="004368B4" w:rsidRDefault="000A7451" w:rsidP="003666D0">
      <w:pPr>
        <w:pStyle w:val="Sansinterligne"/>
        <w:spacing w:after="80" w:line="276" w:lineRule="auto"/>
        <w:ind w:firstLine="0"/>
        <w:jc w:val="lowKashida"/>
        <w:rPr>
          <w:rFonts w:ascii="Times New Roman" w:hAnsi="Times New Roman" w:cs="Times New Roman"/>
          <w:sz w:val="24"/>
          <w:szCs w:val="24"/>
        </w:rPr>
      </w:pPr>
      <w:r w:rsidRPr="004368B4">
        <w:rPr>
          <w:rFonts w:ascii="Times New Roman" w:hAnsi="Times New Roman" w:cs="Times New Roman"/>
          <w:b/>
          <w:bCs/>
          <w:sz w:val="24"/>
          <w:szCs w:val="24"/>
        </w:rPr>
        <w:t>Partenaire 5</w:t>
      </w:r>
      <w:r w:rsidRPr="004368B4">
        <w:rPr>
          <w:rFonts w:ascii="Times New Roman" w:hAnsi="Times New Roman" w:cs="Times New Roman"/>
          <w:sz w:val="24"/>
          <w:szCs w:val="24"/>
        </w:rPr>
        <w:t> : Municipalité de Zarat , ZRT (TN).</w:t>
      </w:r>
    </w:p>
    <w:p w:rsidR="000A7451" w:rsidRPr="004368B4" w:rsidRDefault="000A7451" w:rsidP="003666D0">
      <w:pPr>
        <w:pStyle w:val="Sansinterligne"/>
        <w:spacing w:after="80" w:line="276" w:lineRule="auto"/>
        <w:ind w:firstLine="0"/>
        <w:jc w:val="lowKashida"/>
        <w:rPr>
          <w:rFonts w:ascii="Times New Roman" w:hAnsi="Times New Roman" w:cs="Times New Roman"/>
          <w:sz w:val="24"/>
          <w:szCs w:val="24"/>
        </w:rPr>
      </w:pPr>
      <w:r w:rsidRPr="004368B4">
        <w:rPr>
          <w:rFonts w:ascii="Times New Roman" w:hAnsi="Times New Roman" w:cs="Times New Roman"/>
          <w:b/>
          <w:bCs/>
          <w:sz w:val="24"/>
          <w:szCs w:val="24"/>
        </w:rPr>
        <w:t>Partenaire 6 :</w:t>
      </w:r>
      <w:r w:rsidRPr="004368B4">
        <w:rPr>
          <w:rFonts w:ascii="Times New Roman" w:hAnsi="Times New Roman" w:cs="Times New Roman"/>
          <w:sz w:val="24"/>
          <w:szCs w:val="24"/>
        </w:rPr>
        <w:t xml:space="preserve"> Municipalité Maâmoura , MMR (TN). </w:t>
      </w:r>
    </w:p>
    <w:p w:rsidR="000A7451" w:rsidRPr="004368B4" w:rsidRDefault="000A7451" w:rsidP="003666D0">
      <w:pPr>
        <w:pStyle w:val="Sansinterligne"/>
        <w:spacing w:after="80" w:line="276" w:lineRule="auto"/>
        <w:ind w:firstLine="0"/>
        <w:jc w:val="lowKashida"/>
        <w:rPr>
          <w:rFonts w:ascii="Times New Roman" w:hAnsi="Times New Roman" w:cs="Times New Roman"/>
          <w:sz w:val="24"/>
          <w:szCs w:val="24"/>
        </w:rPr>
      </w:pPr>
      <w:r w:rsidRPr="004368B4">
        <w:rPr>
          <w:rFonts w:ascii="Times New Roman" w:hAnsi="Times New Roman" w:cs="Times New Roman"/>
          <w:b/>
          <w:bCs/>
          <w:sz w:val="24"/>
          <w:szCs w:val="24"/>
        </w:rPr>
        <w:t>Partenaire 7</w:t>
      </w:r>
      <w:r w:rsidR="00085185">
        <w:rPr>
          <w:rFonts w:ascii="Times New Roman" w:hAnsi="Times New Roman" w:cs="Times New Roman"/>
          <w:sz w:val="24"/>
          <w:szCs w:val="24"/>
        </w:rPr>
        <w:t xml:space="preserve"> : Muncipalita </w:t>
      </w:r>
      <w:r w:rsidRPr="004368B4">
        <w:rPr>
          <w:rFonts w:ascii="Times New Roman" w:hAnsi="Times New Roman" w:cs="Times New Roman"/>
          <w:sz w:val="24"/>
          <w:szCs w:val="24"/>
        </w:rPr>
        <w:t>de Favignana-Organe de gestion de la zone de protection marine îles Egadi ,</w:t>
      </w:r>
      <w:r w:rsidRPr="004368B4">
        <w:rPr>
          <w:rFonts w:ascii="Times New Roman" w:hAnsi="Times New Roman" w:cs="Times New Roman"/>
          <w:b/>
          <w:bCs/>
          <w:sz w:val="24"/>
          <w:szCs w:val="24"/>
        </w:rPr>
        <w:t xml:space="preserve"> </w:t>
      </w:r>
      <w:r w:rsidRPr="004368B4">
        <w:rPr>
          <w:rFonts w:ascii="Times New Roman" w:hAnsi="Times New Roman" w:cs="Times New Roman"/>
          <w:sz w:val="24"/>
          <w:szCs w:val="24"/>
        </w:rPr>
        <w:t>(AMPIE) (IT).</w:t>
      </w:r>
      <w:r w:rsidRPr="004368B4">
        <w:rPr>
          <w:rFonts w:ascii="Times New Roman" w:hAnsi="Times New Roman" w:cs="Times New Roman"/>
          <w:b/>
          <w:bCs/>
          <w:sz w:val="24"/>
          <w:szCs w:val="24"/>
        </w:rPr>
        <w:t xml:space="preserve">  </w:t>
      </w:r>
      <w:r w:rsidRPr="004368B4">
        <w:rPr>
          <w:rFonts w:ascii="Times New Roman" w:hAnsi="Times New Roman" w:cs="Times New Roman"/>
          <w:sz w:val="24"/>
          <w:szCs w:val="24"/>
        </w:rPr>
        <w:tab/>
      </w:r>
      <w:r w:rsidRPr="004368B4">
        <w:rPr>
          <w:rFonts w:ascii="Times New Roman" w:hAnsi="Times New Roman" w:cs="Times New Roman"/>
          <w:sz w:val="24"/>
          <w:szCs w:val="24"/>
        </w:rPr>
        <w:tab/>
      </w:r>
      <w:r w:rsidRPr="004368B4">
        <w:rPr>
          <w:rFonts w:ascii="Times New Roman" w:hAnsi="Times New Roman" w:cs="Times New Roman"/>
          <w:sz w:val="24"/>
          <w:szCs w:val="24"/>
        </w:rPr>
        <w:tab/>
      </w:r>
      <w:r w:rsidRPr="004368B4">
        <w:rPr>
          <w:rFonts w:ascii="Times New Roman" w:hAnsi="Times New Roman" w:cs="Times New Roman"/>
          <w:sz w:val="24"/>
          <w:szCs w:val="24"/>
        </w:rPr>
        <w:tab/>
      </w:r>
    </w:p>
    <w:p w:rsidR="000A7451" w:rsidRPr="004368B4" w:rsidRDefault="000A7451" w:rsidP="00177961">
      <w:pPr>
        <w:pStyle w:val="NormalWeb"/>
        <w:shd w:val="clear" w:color="auto" w:fill="FFFFFF"/>
        <w:spacing w:before="0" w:beforeAutospacing="0" w:after="0" w:afterAutospacing="0" w:line="276" w:lineRule="auto"/>
        <w:jc w:val="lowKashida"/>
      </w:pPr>
      <w:r w:rsidRPr="004368B4">
        <w:rPr>
          <w:lang w:bidi="ar-TN"/>
        </w:rPr>
        <w:t>L’une des activités du projet est de sélectionner</w:t>
      </w:r>
      <w:r w:rsidR="00176EEB" w:rsidRPr="004368B4">
        <w:rPr>
          <w:lang w:bidi="ar-TN"/>
        </w:rPr>
        <w:t xml:space="preserve"> </w:t>
      </w:r>
      <w:r w:rsidR="00993FBA">
        <w:rPr>
          <w:lang w:bidi="ar-TN"/>
        </w:rPr>
        <w:t xml:space="preserve">un bureau de formation ou </w:t>
      </w:r>
      <w:r w:rsidR="00176EEB" w:rsidRPr="004368B4">
        <w:rPr>
          <w:lang w:bidi="ar-TN"/>
        </w:rPr>
        <w:t>un</w:t>
      </w:r>
      <w:r w:rsidR="00085185">
        <w:rPr>
          <w:lang w:bidi="ar-TN"/>
        </w:rPr>
        <w:t>e boite de consulting qui sera chargée de l’accompagnement et de renforcement de capacité des entrepreneurs sur plusieurs thématiques</w:t>
      </w:r>
      <w:r w:rsidR="003179CA" w:rsidRPr="004368B4">
        <w:rPr>
          <w:lang w:bidi="ar-TN"/>
        </w:rPr>
        <w:t xml:space="preserve"> dans le gouvernorat de Gabès</w:t>
      </w:r>
      <w:r w:rsidR="00085185">
        <w:rPr>
          <w:lang w:bidi="ar-TN"/>
        </w:rPr>
        <w:t xml:space="preserve"> et de Nabeul</w:t>
      </w:r>
      <w:r w:rsidR="00176EEB" w:rsidRPr="004368B4">
        <w:rPr>
          <w:lang w:bidi="ar-TN"/>
        </w:rPr>
        <w:t xml:space="preserve">. </w:t>
      </w:r>
      <w:r w:rsidR="00177961">
        <w:rPr>
          <w:lang w:bidi="ar-TN"/>
        </w:rPr>
        <w:t>Ce processus de formation</w:t>
      </w:r>
      <w:r w:rsidR="006F1856" w:rsidRPr="004368B4">
        <w:rPr>
          <w:lang w:bidi="ar-TN"/>
        </w:rPr>
        <w:t xml:space="preserve"> contribue dans l</w:t>
      </w:r>
      <w:r w:rsidRPr="004368B4">
        <w:t xml:space="preserve">es objectifs spécifiques </w:t>
      </w:r>
      <w:r w:rsidR="00177961">
        <w:t xml:space="preserve">suivants </w:t>
      </w:r>
      <w:r w:rsidRPr="004368B4">
        <w:t>du projet :</w:t>
      </w:r>
    </w:p>
    <w:p w:rsidR="00905A0B" w:rsidRPr="004368B4" w:rsidRDefault="000A7451" w:rsidP="003666D0">
      <w:pPr>
        <w:pStyle w:val="NormalWeb"/>
        <w:numPr>
          <w:ilvl w:val="0"/>
          <w:numId w:val="1"/>
        </w:numPr>
        <w:shd w:val="clear" w:color="auto" w:fill="FFFFFF"/>
        <w:spacing w:before="0" w:beforeAutospacing="0" w:after="0" w:afterAutospacing="0" w:line="276" w:lineRule="auto"/>
        <w:jc w:val="lowKashida"/>
        <w:rPr>
          <w:lang w:bidi="ar-TN"/>
        </w:rPr>
      </w:pPr>
      <w:r w:rsidRPr="004368B4">
        <w:rPr>
          <w:lang w:bidi="ar-TN"/>
        </w:rPr>
        <w:t>Prévenir et réduire la dispersion des déchets générés par une meilleure gestion des déchets au niveau institu</w:t>
      </w:r>
      <w:r w:rsidR="00905A0B" w:rsidRPr="004368B4">
        <w:rPr>
          <w:lang w:bidi="ar-TN"/>
        </w:rPr>
        <w:t>tionnel, juridique et financier.</w:t>
      </w:r>
    </w:p>
    <w:p w:rsidR="00BB09E1" w:rsidRPr="004368B4" w:rsidRDefault="000A7451" w:rsidP="003666D0">
      <w:pPr>
        <w:pStyle w:val="NormalWeb"/>
        <w:numPr>
          <w:ilvl w:val="0"/>
          <w:numId w:val="1"/>
        </w:numPr>
        <w:shd w:val="clear" w:color="auto" w:fill="FFFFFF"/>
        <w:spacing w:before="0" w:beforeAutospacing="0" w:after="0" w:afterAutospacing="0" w:line="276" w:lineRule="auto"/>
        <w:jc w:val="lowKashida"/>
        <w:rPr>
          <w:lang w:bidi="ar-TN"/>
        </w:rPr>
      </w:pPr>
      <w:r w:rsidRPr="004368B4">
        <w:rPr>
          <w:lang w:bidi="ar-TN"/>
        </w:rPr>
        <w:t>Créer des points de recyclage et une plateforme internationale d’échange d’informations et d’exper</w:t>
      </w:r>
      <w:r w:rsidR="00CE5E2F" w:rsidRPr="004368B4">
        <w:rPr>
          <w:lang w:bidi="ar-TN"/>
        </w:rPr>
        <w:t>tise dans le secteur du déchet.</w:t>
      </w:r>
    </w:p>
    <w:p w:rsidR="00F118B8" w:rsidRPr="004368B4" w:rsidRDefault="00BB09E1" w:rsidP="003666D0">
      <w:pPr>
        <w:spacing w:line="276" w:lineRule="auto"/>
        <w:rPr>
          <w:lang w:val="fr-FR" w:bidi="ar-TN"/>
        </w:rPr>
      </w:pPr>
      <w:r w:rsidRPr="004368B4">
        <w:rPr>
          <w:lang w:val="fr-FR" w:bidi="ar-TN"/>
        </w:rPr>
        <w:br w:type="page"/>
      </w:r>
    </w:p>
    <w:p w:rsidR="000A7451" w:rsidRPr="004368B4" w:rsidRDefault="000A7451" w:rsidP="00756E32">
      <w:pPr>
        <w:pStyle w:val="NormalWeb"/>
        <w:numPr>
          <w:ilvl w:val="0"/>
          <w:numId w:val="1"/>
        </w:numPr>
        <w:shd w:val="clear" w:color="auto" w:fill="FFFFFF"/>
        <w:spacing w:before="0" w:beforeAutospacing="0" w:after="0" w:afterAutospacing="0" w:line="276" w:lineRule="auto"/>
        <w:jc w:val="lowKashida"/>
        <w:rPr>
          <w:lang w:bidi="ar-TN"/>
        </w:rPr>
      </w:pPr>
      <w:r w:rsidRPr="004368B4">
        <w:rPr>
          <w:lang w:bidi="ar-TN"/>
        </w:rPr>
        <w:t>Assurer la durabi</w:t>
      </w:r>
      <w:r w:rsidR="00756E32">
        <w:rPr>
          <w:lang w:bidi="ar-TN"/>
        </w:rPr>
        <w:t xml:space="preserve">lité des entreprises « vertes », </w:t>
      </w:r>
      <w:r w:rsidRPr="004368B4">
        <w:rPr>
          <w:lang w:bidi="ar-TN"/>
        </w:rPr>
        <w:t>les spin-offs</w:t>
      </w:r>
      <w:r w:rsidR="00756E32">
        <w:rPr>
          <w:lang w:bidi="ar-TN"/>
        </w:rPr>
        <w:t xml:space="preserve"> et les start-up</w:t>
      </w:r>
      <w:r w:rsidRPr="004368B4">
        <w:rPr>
          <w:lang w:bidi="ar-TN"/>
        </w:rPr>
        <w:t xml:space="preserve"> ayant un impact environnemental durable, avec la mise en place du prix de la durabilité pour les entreprises existantes ou p</w:t>
      </w:r>
      <w:r w:rsidR="00CE5E2F" w:rsidRPr="004368B4">
        <w:rPr>
          <w:lang w:bidi="ar-TN"/>
        </w:rPr>
        <w:t>our la création de start-ups</w:t>
      </w:r>
      <w:r w:rsidR="003A0E7B" w:rsidRPr="004368B4">
        <w:rPr>
          <w:lang w:bidi="ar-TN"/>
        </w:rPr>
        <w:t>.</w:t>
      </w:r>
      <w:r w:rsidR="00CE5E2F" w:rsidRPr="004368B4">
        <w:rPr>
          <w:lang w:bidi="ar-TN"/>
        </w:rPr>
        <w:t xml:space="preserve">   </w:t>
      </w:r>
    </w:p>
    <w:p w:rsidR="000A7451" w:rsidRPr="004368B4" w:rsidRDefault="000A7451" w:rsidP="003666D0">
      <w:pPr>
        <w:pStyle w:val="NormalWeb"/>
        <w:numPr>
          <w:ilvl w:val="0"/>
          <w:numId w:val="1"/>
        </w:numPr>
        <w:shd w:val="clear" w:color="auto" w:fill="FFFFFF"/>
        <w:spacing w:before="0" w:beforeAutospacing="0" w:after="0" w:afterAutospacing="0" w:line="276" w:lineRule="auto"/>
        <w:jc w:val="lowKashida"/>
        <w:rPr>
          <w:lang w:bidi="ar-TN"/>
        </w:rPr>
      </w:pPr>
      <w:r w:rsidRPr="004368B4">
        <w:rPr>
          <w:lang w:bidi="ar-TN"/>
        </w:rPr>
        <w:t>Développer et soutenir des compagnes d’information pour sensibiliser à la prévention et à la dispersion des déchets</w:t>
      </w:r>
      <w:r w:rsidR="00756E32">
        <w:rPr>
          <w:lang w:bidi="ar-TN"/>
        </w:rPr>
        <w:t>.</w:t>
      </w:r>
      <w:r w:rsidRPr="004368B4">
        <w:rPr>
          <w:lang w:bidi="ar-TN"/>
        </w:rPr>
        <w:t xml:space="preserve"> et renforcer les capacités humaines par la formation dans le domaine de la gestion des déchets.</w:t>
      </w:r>
    </w:p>
    <w:p w:rsidR="000A7451" w:rsidRPr="004368B4" w:rsidRDefault="000A7451" w:rsidP="003666D0">
      <w:pPr>
        <w:pStyle w:val="Titre2"/>
        <w:spacing w:line="276" w:lineRule="auto"/>
        <w:jc w:val="lowKashida"/>
        <w:rPr>
          <w:rFonts w:ascii="Times New Roman" w:hAnsi="Times New Roman" w:cs="Times New Roman"/>
          <w:color w:val="auto"/>
        </w:rPr>
      </w:pPr>
      <w:r w:rsidRPr="004368B4">
        <w:rPr>
          <w:rFonts w:ascii="Times New Roman" w:hAnsi="Times New Roman" w:cs="Times New Roman"/>
          <w:color w:val="auto"/>
        </w:rPr>
        <w:t>Art. 1 - Objet de la consultation :</w:t>
      </w:r>
    </w:p>
    <w:p w:rsidR="000A7451" w:rsidRPr="004368B4" w:rsidRDefault="000A7451" w:rsidP="003666D0">
      <w:pPr>
        <w:spacing w:line="276" w:lineRule="auto"/>
        <w:ind w:left="709"/>
        <w:jc w:val="lowKashida"/>
        <w:rPr>
          <w:b/>
          <w:bCs/>
          <w:lang w:val="fr-FR"/>
        </w:rPr>
      </w:pPr>
    </w:p>
    <w:p w:rsidR="000A7451" w:rsidRPr="004368B4" w:rsidRDefault="000A7451" w:rsidP="00085185">
      <w:pPr>
        <w:spacing w:line="276" w:lineRule="auto"/>
        <w:jc w:val="lowKashida"/>
        <w:rPr>
          <w:lang w:val="fr-FR"/>
        </w:rPr>
      </w:pPr>
      <w:r w:rsidRPr="004368B4">
        <w:rPr>
          <w:lang w:val="fr-FR"/>
        </w:rPr>
        <w:t xml:space="preserve">La présente consultation vise à </w:t>
      </w:r>
      <w:r w:rsidR="00C67FEC" w:rsidRPr="004368B4">
        <w:rPr>
          <w:lang w:val="fr-FR"/>
        </w:rPr>
        <w:t xml:space="preserve">recruter </w:t>
      </w:r>
      <w:r w:rsidR="00085185" w:rsidRPr="00085185">
        <w:rPr>
          <w:lang w:val="fr-FR" w:bidi="ar-TN"/>
        </w:rPr>
        <w:t>une boite de consulting</w:t>
      </w:r>
      <w:r w:rsidR="00085185">
        <w:rPr>
          <w:lang w:val="fr-FR" w:bidi="ar-TN"/>
        </w:rPr>
        <w:t xml:space="preserve"> ou un bureau de formation</w:t>
      </w:r>
      <w:r w:rsidR="00085185" w:rsidRPr="00085185">
        <w:rPr>
          <w:lang w:val="fr-FR" w:bidi="ar-TN"/>
        </w:rPr>
        <w:t xml:space="preserve"> qui sera chargée de l’accompagnement et de renforcement de capacité des entrepreneurs sur plusieurs thématiques dans le gouvernorat de Gabès et de Nabeul</w:t>
      </w:r>
      <w:r w:rsidR="00085185">
        <w:rPr>
          <w:lang w:val="fr-FR" w:bidi="ar-TN"/>
        </w:rPr>
        <w:t>, les</w:t>
      </w:r>
      <w:r w:rsidR="00085185" w:rsidRPr="004368B4">
        <w:rPr>
          <w:lang w:val="fr-FR"/>
        </w:rPr>
        <w:t xml:space="preserve"> </w:t>
      </w:r>
      <w:r w:rsidR="002417C6" w:rsidRPr="004368B4">
        <w:rPr>
          <w:lang w:val="fr-FR"/>
        </w:rPr>
        <w:t xml:space="preserve">deux </w:t>
      </w:r>
      <w:r w:rsidR="00176EEB" w:rsidRPr="004368B4">
        <w:rPr>
          <w:lang w:val="fr-FR"/>
        </w:rPr>
        <w:t>zone</w:t>
      </w:r>
      <w:r w:rsidR="002417C6" w:rsidRPr="004368B4">
        <w:rPr>
          <w:lang w:val="fr-FR"/>
        </w:rPr>
        <w:t>s</w:t>
      </w:r>
      <w:r w:rsidR="00176EEB" w:rsidRPr="004368B4">
        <w:rPr>
          <w:lang w:val="fr-FR"/>
        </w:rPr>
        <w:t xml:space="preserve"> d’intervention du projet</w:t>
      </w:r>
      <w:r w:rsidR="00085185">
        <w:rPr>
          <w:lang w:val="fr-FR"/>
        </w:rPr>
        <w:t>.</w:t>
      </w:r>
    </w:p>
    <w:p w:rsidR="000A7451" w:rsidRDefault="000A7451" w:rsidP="00905D25">
      <w:pPr>
        <w:pStyle w:val="Titre2"/>
        <w:spacing w:line="276" w:lineRule="auto"/>
        <w:jc w:val="lowKashida"/>
        <w:rPr>
          <w:rFonts w:ascii="Times New Roman" w:hAnsi="Times New Roman" w:cs="Times New Roman"/>
          <w:color w:val="auto"/>
        </w:rPr>
      </w:pPr>
      <w:r w:rsidRPr="004368B4">
        <w:rPr>
          <w:rFonts w:ascii="Times New Roman" w:hAnsi="Times New Roman" w:cs="Times New Roman"/>
          <w:color w:val="auto"/>
        </w:rPr>
        <w:t>Art. 2 – Activités à réaliser</w:t>
      </w:r>
      <w:r w:rsidR="00905D25" w:rsidRPr="004368B4">
        <w:rPr>
          <w:rFonts w:ascii="Times New Roman" w:hAnsi="Times New Roman" w:cs="Times New Roman"/>
          <w:color w:val="auto"/>
        </w:rPr>
        <w:t xml:space="preserve"> </w:t>
      </w:r>
      <w:r w:rsidRPr="004368B4">
        <w:rPr>
          <w:rFonts w:ascii="Times New Roman" w:hAnsi="Times New Roman" w:cs="Times New Roman"/>
          <w:color w:val="auto"/>
        </w:rPr>
        <w:t>:</w:t>
      </w:r>
    </w:p>
    <w:p w:rsidR="00085185" w:rsidRPr="00085185" w:rsidRDefault="00085185" w:rsidP="00821BCE">
      <w:pPr>
        <w:rPr>
          <w:i/>
          <w:iCs/>
          <w:u w:val="single"/>
          <w:lang w:val="fr-FR"/>
        </w:rPr>
      </w:pPr>
      <w:r w:rsidRPr="00085185">
        <w:rPr>
          <w:i/>
          <w:iCs/>
          <w:u w:val="single"/>
          <w:lang w:val="fr-FR"/>
        </w:rPr>
        <w:t xml:space="preserve">Une série de formation sur la thématique de </w:t>
      </w:r>
      <w:r w:rsidRPr="009D4DB8">
        <w:rPr>
          <w:b/>
          <w:bCs/>
          <w:i/>
          <w:iCs/>
          <w:u w:val="single"/>
          <w:lang w:val="fr-FR"/>
        </w:rPr>
        <w:t>“droit de l’</w:t>
      </w:r>
      <w:r w:rsidR="00821BCE" w:rsidRPr="009D4DB8">
        <w:rPr>
          <w:b/>
          <w:bCs/>
          <w:i/>
          <w:iCs/>
          <w:u w:val="single"/>
          <w:lang w:val="fr-FR"/>
        </w:rPr>
        <w:t>environnement“</w:t>
      </w:r>
      <w:r w:rsidRPr="009D4DB8">
        <w:rPr>
          <w:b/>
          <w:bCs/>
          <w:i/>
          <w:iCs/>
          <w:u w:val="single"/>
          <w:lang w:val="fr-FR"/>
        </w:rPr>
        <w:t>,</w:t>
      </w:r>
      <w:r w:rsidRPr="00085185">
        <w:rPr>
          <w:i/>
          <w:iCs/>
          <w:u w:val="single"/>
          <w:lang w:val="fr-FR"/>
        </w:rPr>
        <w:t xml:space="preserve"> soit les </w:t>
      </w:r>
      <w:r w:rsidR="00821BCE" w:rsidRPr="00085185">
        <w:rPr>
          <w:i/>
          <w:iCs/>
          <w:u w:val="single"/>
          <w:lang w:val="fr-FR"/>
        </w:rPr>
        <w:t>rubriques</w:t>
      </w:r>
      <w:r w:rsidRPr="00085185">
        <w:rPr>
          <w:i/>
          <w:iCs/>
          <w:u w:val="single"/>
          <w:lang w:val="fr-FR"/>
        </w:rPr>
        <w:t xml:space="preserve"> suivantes : </w:t>
      </w:r>
    </w:p>
    <w:p w:rsidR="00B1440A" w:rsidRPr="004368B4" w:rsidRDefault="00085185" w:rsidP="00700C59">
      <w:pPr>
        <w:rPr>
          <w:lang w:val="fr-FR" w:eastAsia="fr-FR" w:bidi="fr-FR"/>
        </w:rPr>
      </w:pPr>
      <w:r>
        <w:rPr>
          <w:b/>
          <w:bCs/>
          <w:lang w:val="fr-FR" w:eastAsia="fr-FR" w:bidi="fr-FR"/>
        </w:rPr>
        <w:t>a</w:t>
      </w:r>
      <w:r w:rsidR="00B1440A" w:rsidRPr="004368B4">
        <w:rPr>
          <w:lang w:val="fr-FR" w:eastAsia="fr-FR" w:bidi="fr-FR"/>
        </w:rPr>
        <w:t>-Introduction au droit de l’environnement</w:t>
      </w:r>
      <w:r w:rsidR="00700C59">
        <w:rPr>
          <w:lang w:val="fr-FR" w:eastAsia="fr-FR" w:bidi="fr-FR"/>
        </w:rPr>
        <w:t xml:space="preserve"> et c</w:t>
      </w:r>
      <w:r w:rsidR="00B1440A" w:rsidRPr="004368B4">
        <w:rPr>
          <w:lang w:val="fr-FR" w:eastAsia="fr-FR" w:bidi="fr-FR"/>
        </w:rPr>
        <w:t>itation des principes fondamentaux de protection de l’environnement</w:t>
      </w:r>
      <w:r w:rsidR="00700C59">
        <w:rPr>
          <w:lang w:val="fr-FR" w:eastAsia="fr-FR" w:bidi="fr-FR"/>
        </w:rPr>
        <w:t xml:space="preserve"> </w:t>
      </w:r>
      <w:r w:rsidR="00700C59" w:rsidRPr="00700C59">
        <w:rPr>
          <w:b/>
          <w:bCs/>
          <w:lang w:val="fr-FR" w:eastAsia="fr-FR" w:bidi="fr-FR"/>
        </w:rPr>
        <w:t>(1 journée)</w:t>
      </w:r>
    </w:p>
    <w:p w:rsidR="00B1440A" w:rsidRPr="004368B4" w:rsidRDefault="00700C59" w:rsidP="00700C59">
      <w:pPr>
        <w:rPr>
          <w:lang w:val="fr-FR" w:eastAsia="fr-FR" w:bidi="fr-FR"/>
        </w:rPr>
      </w:pPr>
      <w:r>
        <w:rPr>
          <w:b/>
          <w:bCs/>
          <w:lang w:val="fr-FR" w:eastAsia="fr-FR" w:bidi="fr-FR"/>
        </w:rPr>
        <w:t>b</w:t>
      </w:r>
      <w:r w:rsidR="00B1440A" w:rsidRPr="004368B4">
        <w:rPr>
          <w:b/>
          <w:bCs/>
          <w:lang w:val="fr-FR" w:eastAsia="fr-FR" w:bidi="fr-FR"/>
        </w:rPr>
        <w:t>-</w:t>
      </w:r>
      <w:r w:rsidR="00B1440A" w:rsidRPr="004368B4">
        <w:rPr>
          <w:lang w:val="fr-FR" w:eastAsia="fr-FR" w:bidi="fr-FR"/>
        </w:rPr>
        <w:t xml:space="preserve"> Education des outils de protection de l’environnement</w:t>
      </w:r>
      <w:r>
        <w:rPr>
          <w:lang w:val="fr-FR" w:eastAsia="fr-FR" w:bidi="fr-FR"/>
        </w:rPr>
        <w:t xml:space="preserve"> </w:t>
      </w:r>
      <w:r w:rsidRPr="00700C59">
        <w:rPr>
          <w:b/>
          <w:bCs/>
          <w:lang w:val="fr-FR" w:eastAsia="fr-FR" w:bidi="fr-FR"/>
        </w:rPr>
        <w:t>(</w:t>
      </w:r>
      <w:r>
        <w:rPr>
          <w:b/>
          <w:bCs/>
          <w:lang w:val="fr-FR" w:eastAsia="fr-FR" w:bidi="fr-FR"/>
        </w:rPr>
        <w:t>2</w:t>
      </w:r>
      <w:r w:rsidRPr="00700C59">
        <w:rPr>
          <w:b/>
          <w:bCs/>
          <w:lang w:val="fr-FR" w:eastAsia="fr-FR" w:bidi="fr-FR"/>
        </w:rPr>
        <w:t xml:space="preserve"> jour</w:t>
      </w:r>
      <w:r>
        <w:rPr>
          <w:b/>
          <w:bCs/>
          <w:lang w:val="fr-FR" w:eastAsia="fr-FR" w:bidi="fr-FR"/>
        </w:rPr>
        <w:t>s</w:t>
      </w:r>
      <w:r w:rsidRPr="00700C59">
        <w:rPr>
          <w:b/>
          <w:bCs/>
          <w:lang w:val="fr-FR" w:eastAsia="fr-FR" w:bidi="fr-FR"/>
        </w:rPr>
        <w:t>)</w:t>
      </w:r>
    </w:p>
    <w:p w:rsidR="00B1440A" w:rsidRPr="004368B4" w:rsidRDefault="00700C59" w:rsidP="00700C59">
      <w:pPr>
        <w:rPr>
          <w:lang w:val="fr-FR" w:eastAsia="fr-FR" w:bidi="fr-FR"/>
        </w:rPr>
      </w:pPr>
      <w:r>
        <w:rPr>
          <w:b/>
          <w:bCs/>
          <w:lang w:val="fr-FR" w:eastAsia="fr-FR" w:bidi="fr-FR"/>
        </w:rPr>
        <w:t>c</w:t>
      </w:r>
      <w:r w:rsidR="00B1440A" w:rsidRPr="004368B4">
        <w:rPr>
          <w:lang w:val="fr-FR" w:eastAsia="fr-FR" w:bidi="fr-FR"/>
        </w:rPr>
        <w:t>-Application du droit de l’environnement dans des secteurs de développement</w:t>
      </w:r>
      <w:r>
        <w:rPr>
          <w:lang w:val="fr-FR" w:eastAsia="fr-FR" w:bidi="fr-FR"/>
        </w:rPr>
        <w:t xml:space="preserve"> </w:t>
      </w:r>
      <w:r w:rsidR="00E55074">
        <w:rPr>
          <w:b/>
          <w:bCs/>
          <w:lang w:val="fr-FR" w:eastAsia="fr-FR" w:bidi="fr-FR"/>
        </w:rPr>
        <w:t>(2 jour</w:t>
      </w:r>
      <w:r>
        <w:rPr>
          <w:b/>
          <w:bCs/>
          <w:lang w:val="fr-FR" w:eastAsia="fr-FR" w:bidi="fr-FR"/>
        </w:rPr>
        <w:t>s</w:t>
      </w:r>
      <w:r w:rsidRPr="00700C59">
        <w:rPr>
          <w:b/>
          <w:bCs/>
          <w:lang w:val="fr-FR" w:eastAsia="fr-FR" w:bidi="fr-FR"/>
        </w:rPr>
        <w:t>)</w:t>
      </w:r>
    </w:p>
    <w:p w:rsidR="00700C59" w:rsidRDefault="00700C59" w:rsidP="00821BCE">
      <w:pPr>
        <w:rPr>
          <w:i/>
          <w:iCs/>
          <w:u w:val="single"/>
          <w:lang w:val="fr-FR"/>
        </w:rPr>
      </w:pPr>
    </w:p>
    <w:p w:rsidR="00821BCE" w:rsidRPr="00085185" w:rsidRDefault="00821BCE" w:rsidP="00821BCE">
      <w:pPr>
        <w:rPr>
          <w:i/>
          <w:iCs/>
          <w:u w:val="single"/>
          <w:lang w:val="fr-FR"/>
        </w:rPr>
      </w:pPr>
      <w:r w:rsidRPr="00085185">
        <w:rPr>
          <w:i/>
          <w:iCs/>
          <w:u w:val="single"/>
          <w:lang w:val="fr-FR"/>
        </w:rPr>
        <w:t xml:space="preserve">Une série de formation sur la thématique de </w:t>
      </w:r>
      <w:r w:rsidRPr="009D4DB8">
        <w:rPr>
          <w:b/>
          <w:bCs/>
          <w:i/>
          <w:iCs/>
          <w:u w:val="single"/>
          <w:lang w:val="fr-FR"/>
        </w:rPr>
        <w:t>“L’</w:t>
      </w:r>
      <w:r w:rsidR="00503612" w:rsidRPr="009D4DB8">
        <w:rPr>
          <w:b/>
          <w:bCs/>
          <w:i/>
          <w:iCs/>
          <w:u w:val="single"/>
          <w:lang w:val="fr-FR"/>
        </w:rPr>
        <w:t>entreprenariat</w:t>
      </w:r>
      <w:r w:rsidRPr="009D4DB8">
        <w:rPr>
          <w:b/>
          <w:bCs/>
          <w:i/>
          <w:iCs/>
          <w:u w:val="single"/>
          <w:lang w:val="fr-FR"/>
        </w:rPr>
        <w:t>“,</w:t>
      </w:r>
      <w:r w:rsidRPr="00085185">
        <w:rPr>
          <w:i/>
          <w:iCs/>
          <w:u w:val="single"/>
          <w:lang w:val="fr-FR"/>
        </w:rPr>
        <w:t xml:space="preserve"> soit les rubriques suivantes : </w:t>
      </w:r>
    </w:p>
    <w:p w:rsidR="00821BCE" w:rsidRPr="00085185" w:rsidRDefault="00821BCE" w:rsidP="00821BCE">
      <w:pPr>
        <w:rPr>
          <w:i/>
          <w:iCs/>
          <w:u w:val="single"/>
          <w:lang w:val="fr-FR"/>
        </w:rPr>
      </w:pPr>
    </w:p>
    <w:p w:rsidR="00503612" w:rsidRPr="00EC4FF1" w:rsidRDefault="00503612" w:rsidP="00756E32">
      <w:pPr>
        <w:pStyle w:val="Default"/>
        <w:spacing w:line="276" w:lineRule="auto"/>
      </w:pPr>
      <w:r w:rsidRPr="00EC4FF1">
        <w:t xml:space="preserve">Cette formation vise à </w:t>
      </w:r>
      <w:r w:rsidR="00756E32">
        <w:t>renforcer les connaissances entrepreneuriale</w:t>
      </w:r>
      <w:r w:rsidR="00F22E3E">
        <w:t>s</w:t>
      </w:r>
      <w:r w:rsidR="00756E32">
        <w:t xml:space="preserve"> des jeunes</w:t>
      </w:r>
      <w:r w:rsidRPr="00EC4FF1">
        <w:t xml:space="preserve">. A l’issue de cette session de formation, les </w:t>
      </w:r>
      <w:r w:rsidR="00756E32">
        <w:t>jeune</w:t>
      </w:r>
      <w:r>
        <w:t>s</w:t>
      </w:r>
      <w:r w:rsidRPr="00EC4FF1">
        <w:t xml:space="preserve"> maitrisent : </w:t>
      </w:r>
    </w:p>
    <w:p w:rsidR="00503612" w:rsidRDefault="00E55074" w:rsidP="00E55074">
      <w:pPr>
        <w:pStyle w:val="Default"/>
        <w:spacing w:line="276" w:lineRule="auto"/>
      </w:pPr>
      <w:r w:rsidRPr="00E55074">
        <w:rPr>
          <w:b/>
          <w:bCs/>
        </w:rPr>
        <w:t>a-</w:t>
      </w:r>
      <w:r w:rsidR="00756E32">
        <w:rPr>
          <w:b/>
          <w:bCs/>
        </w:rPr>
        <w:t xml:space="preserve"> </w:t>
      </w:r>
      <w:r w:rsidR="00503612">
        <w:t>L</w:t>
      </w:r>
      <w:r w:rsidR="00503612" w:rsidRPr="00EC4FF1">
        <w:t>es caractéristiques, les compétences et le profil d’un entrepreneur idéal</w:t>
      </w:r>
      <w:r w:rsidR="00700C59">
        <w:t xml:space="preserve">, soit </w:t>
      </w:r>
      <w:r w:rsidR="00700C59" w:rsidRPr="00700C59">
        <w:rPr>
          <w:b/>
          <w:bCs/>
        </w:rPr>
        <w:t>(</w:t>
      </w:r>
      <w:r w:rsidR="00700C59">
        <w:rPr>
          <w:b/>
          <w:bCs/>
        </w:rPr>
        <w:t>1</w:t>
      </w:r>
      <w:r w:rsidR="00700C59" w:rsidRPr="00700C59">
        <w:rPr>
          <w:b/>
          <w:bCs/>
        </w:rPr>
        <w:t xml:space="preserve"> journée)</w:t>
      </w:r>
      <w:r w:rsidR="00700C59">
        <w:t xml:space="preserve"> d’introduction</w:t>
      </w:r>
      <w:r w:rsidR="00503612" w:rsidRPr="00EC4FF1">
        <w:t xml:space="preserve">. </w:t>
      </w:r>
    </w:p>
    <w:p w:rsidR="00E55074" w:rsidRPr="00E55074" w:rsidRDefault="00E55074" w:rsidP="00E55074">
      <w:pPr>
        <w:pStyle w:val="Default"/>
        <w:spacing w:line="276" w:lineRule="auto"/>
      </w:pPr>
      <w:r w:rsidRPr="00E55074">
        <w:rPr>
          <w:b/>
          <w:bCs/>
        </w:rPr>
        <w:t>b-</w:t>
      </w:r>
      <w:r>
        <w:rPr>
          <w:b/>
          <w:bCs/>
        </w:rPr>
        <w:t xml:space="preserve"> </w:t>
      </w:r>
      <w:r w:rsidRPr="00E55074">
        <w:t>Etudier les aspect</w:t>
      </w:r>
      <w:r>
        <w:t>s</w:t>
      </w:r>
      <w:r w:rsidRPr="00E55074">
        <w:t xml:space="preserve"> juridiques et les </w:t>
      </w:r>
      <w:r w:rsidR="0019770D">
        <w:t xml:space="preserve">étapes de création d’une start up </w:t>
      </w:r>
      <w:r w:rsidR="0019770D" w:rsidRPr="0019770D">
        <w:rPr>
          <w:b/>
          <w:bCs/>
        </w:rPr>
        <w:t>(2 jours)</w:t>
      </w:r>
    </w:p>
    <w:p w:rsidR="00503612" w:rsidRPr="00EC4FF1" w:rsidRDefault="0019770D" w:rsidP="00700C59">
      <w:pPr>
        <w:pStyle w:val="Default"/>
        <w:spacing w:line="276" w:lineRule="auto"/>
      </w:pPr>
      <w:r>
        <w:rPr>
          <w:b/>
          <w:bCs/>
        </w:rPr>
        <w:t>c</w:t>
      </w:r>
      <w:r w:rsidR="000F29F9" w:rsidRPr="00700C59">
        <w:rPr>
          <w:b/>
          <w:bCs/>
        </w:rPr>
        <w:t>-</w:t>
      </w:r>
      <w:r w:rsidR="000F29F9">
        <w:t xml:space="preserve"> </w:t>
      </w:r>
      <w:r w:rsidR="00503612" w:rsidRPr="00EC4FF1">
        <w:t xml:space="preserve">Le processus d’idéation et les techniques de design thinking : le résultat escompté est d’outiller les </w:t>
      </w:r>
      <w:r w:rsidR="00503612">
        <w:t>candida</w:t>
      </w:r>
      <w:r w:rsidR="00503612" w:rsidRPr="00EC4FF1">
        <w:t>ts en techniques de mise en œuvre ou développement d’une idée de projet et de sa concrétisation</w:t>
      </w:r>
      <w:r w:rsidR="00700C59">
        <w:t xml:space="preserve"> </w:t>
      </w:r>
      <w:r w:rsidR="00700C59" w:rsidRPr="00700C59">
        <w:rPr>
          <w:b/>
          <w:bCs/>
        </w:rPr>
        <w:t>(2 jours)</w:t>
      </w:r>
      <w:r w:rsidR="00503612" w:rsidRPr="00700C59">
        <w:rPr>
          <w:b/>
          <w:bCs/>
        </w:rPr>
        <w:t>.</w:t>
      </w:r>
      <w:r w:rsidR="00503612" w:rsidRPr="00EC4FF1">
        <w:t xml:space="preserve"> </w:t>
      </w:r>
    </w:p>
    <w:p w:rsidR="00503612" w:rsidRPr="00EC4FF1" w:rsidRDefault="0019770D" w:rsidP="0006310A">
      <w:pPr>
        <w:pStyle w:val="Default"/>
        <w:spacing w:line="276" w:lineRule="auto"/>
      </w:pPr>
      <w:r>
        <w:rPr>
          <w:b/>
          <w:bCs/>
        </w:rPr>
        <w:t>d</w:t>
      </w:r>
      <w:r w:rsidR="000F29F9" w:rsidRPr="00700C59">
        <w:rPr>
          <w:b/>
          <w:bCs/>
        </w:rPr>
        <w:t>-</w:t>
      </w:r>
      <w:r w:rsidR="00700C59">
        <w:t xml:space="preserve"> </w:t>
      </w:r>
      <w:r w:rsidR="00503612">
        <w:t>L</w:t>
      </w:r>
      <w:r w:rsidR="00503612" w:rsidRPr="00EC4FF1">
        <w:t>es étapes du parcours entrepreneurial (études de marché, montage financier, BMC, plan d’affaire, Lean canevas)</w:t>
      </w:r>
      <w:r w:rsidR="00700C59">
        <w:t xml:space="preserve"> </w:t>
      </w:r>
      <w:r w:rsidR="00700C59" w:rsidRPr="00700C59">
        <w:rPr>
          <w:b/>
          <w:bCs/>
        </w:rPr>
        <w:t>(</w:t>
      </w:r>
      <w:r w:rsidR="0006310A">
        <w:rPr>
          <w:b/>
          <w:bCs/>
        </w:rPr>
        <w:t>4</w:t>
      </w:r>
      <w:r w:rsidR="00700C59" w:rsidRPr="00700C59">
        <w:rPr>
          <w:b/>
          <w:bCs/>
        </w:rPr>
        <w:t xml:space="preserve"> jours)</w:t>
      </w:r>
      <w:r w:rsidR="00503612" w:rsidRPr="00700C59">
        <w:rPr>
          <w:b/>
          <w:bCs/>
        </w:rPr>
        <w:t>.</w:t>
      </w:r>
      <w:r w:rsidR="00503612" w:rsidRPr="00EC4FF1">
        <w:t xml:space="preserve"> </w:t>
      </w:r>
    </w:p>
    <w:p w:rsidR="00503612" w:rsidRDefault="0019770D" w:rsidP="0006310A">
      <w:pPr>
        <w:pStyle w:val="Default"/>
        <w:spacing w:line="276" w:lineRule="auto"/>
      </w:pPr>
      <w:r>
        <w:rPr>
          <w:b/>
          <w:bCs/>
        </w:rPr>
        <w:t>e</w:t>
      </w:r>
      <w:r w:rsidR="000F29F9" w:rsidRPr="00700C59">
        <w:rPr>
          <w:b/>
          <w:bCs/>
        </w:rPr>
        <w:t>-</w:t>
      </w:r>
      <w:r w:rsidR="00700C59">
        <w:t xml:space="preserve"> </w:t>
      </w:r>
      <w:r w:rsidR="00503612">
        <w:t>L</w:t>
      </w:r>
      <w:r w:rsidR="00503612" w:rsidRPr="00EC4FF1">
        <w:t>es techniques de présentation orale d’un projet entrepreneurial</w:t>
      </w:r>
      <w:r w:rsidR="00700C59">
        <w:t xml:space="preserve"> </w:t>
      </w:r>
      <w:r w:rsidR="00700C59" w:rsidRPr="00700C59">
        <w:rPr>
          <w:b/>
          <w:bCs/>
        </w:rPr>
        <w:t>(</w:t>
      </w:r>
      <w:r w:rsidR="0006310A">
        <w:rPr>
          <w:b/>
          <w:bCs/>
        </w:rPr>
        <w:t>1</w:t>
      </w:r>
      <w:r w:rsidR="00344468">
        <w:rPr>
          <w:b/>
          <w:bCs/>
        </w:rPr>
        <w:t xml:space="preserve"> jour</w:t>
      </w:r>
      <w:r w:rsidR="00700C59" w:rsidRPr="00700C59">
        <w:rPr>
          <w:b/>
          <w:bCs/>
        </w:rPr>
        <w:t>)</w:t>
      </w:r>
      <w:r w:rsidR="00503612" w:rsidRPr="00EC4FF1">
        <w:t xml:space="preserve">. </w:t>
      </w:r>
    </w:p>
    <w:p w:rsidR="0019770D" w:rsidRDefault="0019770D" w:rsidP="000F29F9">
      <w:pPr>
        <w:pStyle w:val="Default"/>
        <w:spacing w:line="276" w:lineRule="auto"/>
      </w:pPr>
    </w:p>
    <w:p w:rsidR="0019770D" w:rsidRDefault="0019770D" w:rsidP="000F29F9">
      <w:pPr>
        <w:pStyle w:val="Default"/>
        <w:spacing w:line="276" w:lineRule="auto"/>
      </w:pPr>
    </w:p>
    <w:p w:rsidR="0019770D" w:rsidRPr="000351FF" w:rsidRDefault="0019770D" w:rsidP="000F29F9">
      <w:pPr>
        <w:pStyle w:val="Default"/>
        <w:spacing w:line="276" w:lineRule="auto"/>
      </w:pPr>
    </w:p>
    <w:p w:rsidR="00821BCE" w:rsidRPr="00821BCE" w:rsidRDefault="00821BCE" w:rsidP="00821BCE">
      <w:pPr>
        <w:rPr>
          <w:lang w:val="fr-FR" w:eastAsia="fr-FR" w:bidi="fr-FR"/>
        </w:rPr>
      </w:pPr>
    </w:p>
    <w:p w:rsidR="000A7451" w:rsidRPr="004368B4" w:rsidRDefault="000A7451" w:rsidP="003666D0">
      <w:pPr>
        <w:pStyle w:val="Titre2"/>
        <w:spacing w:line="276" w:lineRule="auto"/>
        <w:jc w:val="lowKashida"/>
        <w:rPr>
          <w:rFonts w:ascii="Times New Roman" w:eastAsia="Calibri" w:hAnsi="Times New Roman" w:cs="Times New Roman"/>
          <w:b w:val="0"/>
          <w:bCs w:val="0"/>
          <w:color w:val="auto"/>
          <w:sz w:val="24"/>
          <w:szCs w:val="24"/>
        </w:rPr>
      </w:pPr>
      <w:r w:rsidRPr="004368B4">
        <w:rPr>
          <w:rFonts w:ascii="Times New Roman" w:hAnsi="Times New Roman" w:cs="Times New Roman"/>
          <w:color w:val="auto"/>
        </w:rPr>
        <w:t xml:space="preserve">Art.3 – Livrables de la mission : </w:t>
      </w:r>
    </w:p>
    <w:p w:rsidR="00EB5951" w:rsidRPr="004368B4" w:rsidRDefault="002C645D" w:rsidP="00344468">
      <w:pPr>
        <w:pStyle w:val="Titre2"/>
        <w:spacing w:line="360" w:lineRule="auto"/>
        <w:jc w:val="lowKashida"/>
        <w:rPr>
          <w:rFonts w:ascii="Times New Roman" w:eastAsia="Calibri" w:hAnsi="Times New Roman" w:cs="Times New Roman"/>
          <w:b w:val="0"/>
          <w:bCs w:val="0"/>
          <w:color w:val="auto"/>
          <w:sz w:val="24"/>
          <w:szCs w:val="24"/>
        </w:rPr>
      </w:pPr>
      <w:r>
        <w:rPr>
          <w:rFonts w:ascii="Times New Roman" w:eastAsia="Calibri" w:hAnsi="Times New Roman" w:cs="Times New Roman"/>
          <w:color w:val="auto"/>
          <w:sz w:val="24"/>
          <w:szCs w:val="24"/>
        </w:rPr>
        <w:t>a</w:t>
      </w:r>
      <w:r w:rsidR="003666D0" w:rsidRPr="004368B4">
        <w:rPr>
          <w:rFonts w:ascii="Times New Roman" w:eastAsia="Calibri" w:hAnsi="Times New Roman" w:cs="Times New Roman"/>
          <w:color w:val="auto"/>
          <w:sz w:val="24"/>
          <w:szCs w:val="24"/>
        </w:rPr>
        <w:t>-</w:t>
      </w:r>
      <w:r w:rsidR="00344468">
        <w:rPr>
          <w:rFonts w:ascii="Times New Roman" w:eastAsia="Calibri" w:hAnsi="Times New Roman" w:cs="Times New Roman"/>
          <w:color w:val="auto"/>
          <w:sz w:val="24"/>
          <w:szCs w:val="24"/>
        </w:rPr>
        <w:t xml:space="preserve"> </w:t>
      </w:r>
      <w:r w:rsidR="00EB5951" w:rsidRPr="004368B4">
        <w:rPr>
          <w:rFonts w:ascii="Times New Roman" w:eastAsia="Calibri" w:hAnsi="Times New Roman" w:cs="Times New Roman"/>
          <w:b w:val="0"/>
          <w:bCs w:val="0"/>
          <w:color w:val="auto"/>
          <w:sz w:val="24"/>
          <w:szCs w:val="24"/>
        </w:rPr>
        <w:t>Le programme de formation, les méthodes et approches à adopter (sur la base des termes de références en fonction des échanges avec l’équipe du projet)</w:t>
      </w:r>
      <w:r w:rsidR="00FA094B" w:rsidRPr="004368B4">
        <w:rPr>
          <w:rFonts w:ascii="Times New Roman" w:eastAsia="Calibri" w:hAnsi="Times New Roman" w:cs="Times New Roman"/>
          <w:b w:val="0"/>
          <w:bCs w:val="0"/>
          <w:color w:val="auto"/>
          <w:sz w:val="24"/>
          <w:szCs w:val="24"/>
        </w:rPr>
        <w:t>.</w:t>
      </w:r>
    </w:p>
    <w:p w:rsidR="00EB5951" w:rsidRPr="004368B4" w:rsidRDefault="002C645D" w:rsidP="00E66342">
      <w:pPr>
        <w:pStyle w:val="Titre2"/>
        <w:spacing w:line="360" w:lineRule="auto"/>
        <w:jc w:val="lowKashida"/>
        <w:rPr>
          <w:rFonts w:ascii="Times New Roman" w:eastAsia="Calibri" w:hAnsi="Times New Roman" w:cs="Times New Roman"/>
          <w:b w:val="0"/>
          <w:bCs w:val="0"/>
          <w:color w:val="auto"/>
          <w:sz w:val="24"/>
          <w:szCs w:val="24"/>
        </w:rPr>
      </w:pPr>
      <w:r>
        <w:rPr>
          <w:rFonts w:ascii="Times New Roman" w:eastAsia="Calibri" w:hAnsi="Times New Roman" w:cs="Times New Roman"/>
          <w:color w:val="auto"/>
          <w:sz w:val="24"/>
          <w:szCs w:val="24"/>
        </w:rPr>
        <w:t>b</w:t>
      </w:r>
      <w:r w:rsidR="003666D0" w:rsidRPr="004368B4">
        <w:rPr>
          <w:rFonts w:ascii="Times New Roman" w:eastAsia="Calibri" w:hAnsi="Times New Roman" w:cs="Times New Roman"/>
          <w:color w:val="auto"/>
          <w:sz w:val="24"/>
          <w:szCs w:val="24"/>
        </w:rPr>
        <w:t>-</w:t>
      </w:r>
      <w:r w:rsidR="00EB5951" w:rsidRPr="004368B4">
        <w:rPr>
          <w:rFonts w:ascii="Times New Roman" w:eastAsia="Calibri" w:hAnsi="Times New Roman" w:cs="Times New Roman"/>
          <w:b w:val="0"/>
          <w:bCs w:val="0"/>
          <w:color w:val="auto"/>
          <w:sz w:val="24"/>
          <w:szCs w:val="24"/>
        </w:rPr>
        <w:t>Matériel pédago</w:t>
      </w:r>
      <w:r w:rsidR="00FA094B" w:rsidRPr="004368B4">
        <w:rPr>
          <w:rFonts w:ascii="Times New Roman" w:eastAsia="Calibri" w:hAnsi="Times New Roman" w:cs="Times New Roman"/>
          <w:b w:val="0"/>
          <w:bCs w:val="0"/>
          <w:color w:val="auto"/>
          <w:sz w:val="24"/>
          <w:szCs w:val="24"/>
        </w:rPr>
        <w:t>gique à fournir aux participant</w:t>
      </w:r>
      <w:r w:rsidR="00EB5951" w:rsidRPr="004368B4">
        <w:rPr>
          <w:rFonts w:ascii="Times New Roman" w:eastAsia="Calibri" w:hAnsi="Times New Roman" w:cs="Times New Roman"/>
          <w:b w:val="0"/>
          <w:bCs w:val="0"/>
          <w:color w:val="auto"/>
          <w:sz w:val="24"/>
          <w:szCs w:val="24"/>
        </w:rPr>
        <w:t>s</w:t>
      </w:r>
      <w:r w:rsidR="00FA094B" w:rsidRPr="004368B4">
        <w:rPr>
          <w:rFonts w:ascii="Times New Roman" w:eastAsia="Calibri" w:hAnsi="Times New Roman" w:cs="Times New Roman"/>
          <w:b w:val="0"/>
          <w:bCs w:val="0"/>
          <w:color w:val="auto"/>
          <w:sz w:val="24"/>
          <w:szCs w:val="24"/>
        </w:rPr>
        <w:t>.</w:t>
      </w:r>
    </w:p>
    <w:p w:rsidR="00EB5951" w:rsidRPr="004368B4" w:rsidRDefault="002C645D" w:rsidP="00344468">
      <w:pPr>
        <w:pStyle w:val="Titre2"/>
        <w:spacing w:line="360" w:lineRule="auto"/>
        <w:jc w:val="lowKashida"/>
        <w:rPr>
          <w:rFonts w:ascii="Times New Roman" w:eastAsia="Calibri" w:hAnsi="Times New Roman" w:cs="Times New Roman"/>
          <w:b w:val="0"/>
          <w:bCs w:val="0"/>
          <w:color w:val="auto"/>
          <w:sz w:val="24"/>
          <w:szCs w:val="24"/>
        </w:rPr>
      </w:pPr>
      <w:r>
        <w:rPr>
          <w:rFonts w:ascii="Times New Roman" w:eastAsia="Calibri" w:hAnsi="Times New Roman" w:cs="Times New Roman"/>
          <w:color w:val="auto"/>
          <w:sz w:val="24"/>
          <w:szCs w:val="24"/>
        </w:rPr>
        <w:t>c</w:t>
      </w:r>
      <w:r w:rsidR="003666D0" w:rsidRPr="004368B4">
        <w:rPr>
          <w:rFonts w:ascii="Times New Roman" w:eastAsia="Calibri" w:hAnsi="Times New Roman" w:cs="Times New Roman"/>
          <w:color w:val="auto"/>
          <w:sz w:val="24"/>
          <w:szCs w:val="24"/>
        </w:rPr>
        <w:t>-</w:t>
      </w:r>
      <w:r w:rsidR="003666D0" w:rsidRPr="004368B4">
        <w:rPr>
          <w:rFonts w:ascii="Times New Roman" w:eastAsia="Calibri" w:hAnsi="Times New Roman" w:cs="Times New Roman"/>
          <w:b w:val="0"/>
          <w:bCs w:val="0"/>
          <w:color w:val="auto"/>
          <w:sz w:val="24"/>
          <w:szCs w:val="24"/>
        </w:rPr>
        <w:t>U</w:t>
      </w:r>
      <w:r w:rsidR="00EB5951" w:rsidRPr="004368B4">
        <w:rPr>
          <w:rFonts w:ascii="Times New Roman" w:eastAsia="Calibri" w:hAnsi="Times New Roman" w:cs="Times New Roman"/>
          <w:b w:val="0"/>
          <w:bCs w:val="0"/>
          <w:color w:val="auto"/>
          <w:sz w:val="24"/>
          <w:szCs w:val="24"/>
        </w:rPr>
        <w:t xml:space="preserve">n rapport de mission, selon la trame remise lors du briefing, au plus tard </w:t>
      </w:r>
      <w:r w:rsidR="00344468">
        <w:rPr>
          <w:rFonts w:ascii="Times New Roman" w:eastAsia="Calibri" w:hAnsi="Times New Roman" w:cs="Times New Roman"/>
          <w:b w:val="0"/>
          <w:bCs w:val="0"/>
          <w:color w:val="auto"/>
          <w:sz w:val="24"/>
          <w:szCs w:val="24"/>
        </w:rPr>
        <w:t>5</w:t>
      </w:r>
      <w:r w:rsidR="00EB5951" w:rsidRPr="004368B4">
        <w:rPr>
          <w:rFonts w:ascii="Times New Roman" w:eastAsia="Calibri" w:hAnsi="Times New Roman" w:cs="Times New Roman"/>
          <w:b w:val="0"/>
          <w:bCs w:val="0"/>
          <w:color w:val="auto"/>
          <w:sz w:val="24"/>
          <w:szCs w:val="24"/>
        </w:rPr>
        <w:t xml:space="preserve"> jours après la fin de la mission. </w:t>
      </w:r>
    </w:p>
    <w:p w:rsidR="003666D0" w:rsidRPr="004368B4" w:rsidRDefault="002C645D" w:rsidP="005A21A8">
      <w:pPr>
        <w:spacing w:line="360" w:lineRule="auto"/>
        <w:rPr>
          <w:lang w:val="fr-FR" w:eastAsia="fr-FR" w:bidi="fr-FR"/>
        </w:rPr>
      </w:pPr>
      <w:r>
        <w:rPr>
          <w:b/>
          <w:bCs/>
          <w:lang w:val="fr-FR" w:eastAsia="fr-FR" w:bidi="fr-FR"/>
        </w:rPr>
        <w:t>d</w:t>
      </w:r>
      <w:r w:rsidR="003666D0" w:rsidRPr="004368B4">
        <w:rPr>
          <w:lang w:val="fr-FR" w:eastAsia="fr-FR" w:bidi="fr-FR"/>
        </w:rPr>
        <w:t xml:space="preserve">-Un rapport sur l’efficacité de la formation (suite à un teste de niveau réalisé à la fin de </w:t>
      </w:r>
      <w:r w:rsidR="005A21A8">
        <w:rPr>
          <w:lang w:val="fr-FR" w:eastAsia="fr-FR" w:bidi="fr-FR"/>
        </w:rPr>
        <w:t>chaque</w:t>
      </w:r>
      <w:r w:rsidR="003666D0" w:rsidRPr="004368B4">
        <w:rPr>
          <w:lang w:val="fr-FR" w:eastAsia="fr-FR" w:bidi="fr-FR"/>
        </w:rPr>
        <w:t xml:space="preserve"> formation)</w:t>
      </w:r>
    </w:p>
    <w:p w:rsidR="0001236F" w:rsidRPr="004368B4" w:rsidRDefault="002C645D" w:rsidP="001D76D9">
      <w:pPr>
        <w:spacing w:line="360" w:lineRule="auto"/>
        <w:rPr>
          <w:lang w:val="fr-FR" w:eastAsia="fr-FR" w:bidi="fr-FR"/>
        </w:rPr>
      </w:pPr>
      <w:r>
        <w:rPr>
          <w:b/>
          <w:bCs/>
          <w:lang w:val="fr-FR" w:eastAsia="fr-FR" w:bidi="fr-FR"/>
        </w:rPr>
        <w:t>e</w:t>
      </w:r>
      <w:r w:rsidR="003666D0" w:rsidRPr="004368B4">
        <w:rPr>
          <w:lang w:val="fr-FR" w:eastAsia="fr-FR" w:bidi="fr-FR"/>
        </w:rPr>
        <w:t>-</w:t>
      </w:r>
      <w:r w:rsidR="001D76D9">
        <w:rPr>
          <w:lang w:val="fr-FR" w:eastAsia="fr-FR" w:bidi="fr-FR"/>
        </w:rPr>
        <w:t>Des fiches d’évaluation</w:t>
      </w:r>
    </w:p>
    <w:p w:rsidR="00E66342" w:rsidRPr="00C668F1" w:rsidRDefault="002C645D" w:rsidP="00E66342">
      <w:pPr>
        <w:pStyle w:val="Default"/>
        <w:spacing w:line="360" w:lineRule="auto"/>
      </w:pPr>
      <w:r>
        <w:rPr>
          <w:b/>
          <w:bCs/>
        </w:rPr>
        <w:t>f</w:t>
      </w:r>
      <w:r w:rsidR="00E66342" w:rsidRPr="00C668F1">
        <w:t>-Attestations</w:t>
      </w:r>
      <w:r w:rsidR="00E66342">
        <w:rPr>
          <w:rFonts w:hint="eastAsia"/>
        </w:rPr>
        <w:t xml:space="preserve"> de formation</w:t>
      </w:r>
    </w:p>
    <w:p w:rsidR="001D76D9" w:rsidRDefault="002C645D" w:rsidP="001D76D9">
      <w:pPr>
        <w:pStyle w:val="Default"/>
        <w:spacing w:line="360" w:lineRule="auto"/>
        <w:rPr>
          <w:lang w:eastAsia="fr-FR" w:bidi="fr-FR"/>
        </w:rPr>
      </w:pPr>
      <w:r>
        <w:t>g</w:t>
      </w:r>
      <w:r w:rsidR="00E66342">
        <w:t>-Fiche</w:t>
      </w:r>
      <w:r w:rsidR="00344468">
        <w:t xml:space="preserve">s </w:t>
      </w:r>
      <w:r w:rsidR="00E66342">
        <w:t xml:space="preserve"> de présence</w:t>
      </w:r>
    </w:p>
    <w:p w:rsidR="000A7451" w:rsidRPr="001D76D9" w:rsidRDefault="001D76D9" w:rsidP="001D76D9">
      <w:pPr>
        <w:pStyle w:val="Default"/>
        <w:spacing w:line="360" w:lineRule="auto"/>
        <w:rPr>
          <w:b/>
          <w:bCs/>
        </w:rPr>
      </w:pPr>
      <w:r w:rsidRPr="001D76D9">
        <w:rPr>
          <w:b/>
          <w:bCs/>
          <w:color w:val="auto"/>
        </w:rPr>
        <w:t xml:space="preserve">Art.4  </w:t>
      </w:r>
      <w:r w:rsidR="000A7451" w:rsidRPr="001D76D9">
        <w:rPr>
          <w:b/>
          <w:bCs/>
          <w:color w:val="auto"/>
        </w:rPr>
        <w:t xml:space="preserve">Durée de la mission : </w:t>
      </w:r>
    </w:p>
    <w:p w:rsidR="000A7451" w:rsidRPr="004368B4" w:rsidRDefault="000A7451" w:rsidP="00CB59AD">
      <w:pPr>
        <w:spacing w:line="276" w:lineRule="auto"/>
        <w:jc w:val="lowKashida"/>
        <w:rPr>
          <w:lang w:val="fr-FR"/>
        </w:rPr>
      </w:pPr>
      <w:r w:rsidRPr="004368B4">
        <w:rPr>
          <w:lang w:val="fr-FR"/>
        </w:rPr>
        <w:t>La mission prendra effet à p</w:t>
      </w:r>
      <w:r w:rsidR="00C67FEC" w:rsidRPr="004368B4">
        <w:rPr>
          <w:lang w:val="fr-FR"/>
        </w:rPr>
        <w:t>artir de la date de signature du</w:t>
      </w:r>
      <w:r w:rsidRPr="004368B4">
        <w:rPr>
          <w:lang w:val="fr-FR"/>
        </w:rPr>
        <w:t xml:space="preserve"> </w:t>
      </w:r>
      <w:r w:rsidRPr="00E66342">
        <w:rPr>
          <w:lang w:val="fr-FR"/>
        </w:rPr>
        <w:t>contrat</w:t>
      </w:r>
      <w:r w:rsidR="00C67FEC" w:rsidRPr="00E66342">
        <w:rPr>
          <w:lang w:val="fr-FR"/>
        </w:rPr>
        <w:t xml:space="preserve"> </w:t>
      </w:r>
      <w:r w:rsidR="00350A28" w:rsidRPr="00E66342">
        <w:rPr>
          <w:lang w:val="fr-FR"/>
        </w:rPr>
        <w:t xml:space="preserve">et s’étalera sur </w:t>
      </w:r>
      <w:r w:rsidR="00CB59AD">
        <w:rPr>
          <w:lang w:val="fr-FR"/>
        </w:rPr>
        <w:t>15</w:t>
      </w:r>
      <w:r w:rsidR="00350A28" w:rsidRPr="00E66342">
        <w:rPr>
          <w:lang w:val="fr-FR"/>
        </w:rPr>
        <w:t xml:space="preserve"> </w:t>
      </w:r>
      <w:r w:rsidR="00E66342" w:rsidRPr="00E66342">
        <w:rPr>
          <w:lang w:val="fr-FR"/>
        </w:rPr>
        <w:t>jours</w:t>
      </w:r>
      <w:r w:rsidR="00350A28" w:rsidRPr="00E66342">
        <w:rPr>
          <w:lang w:val="fr-FR"/>
        </w:rPr>
        <w:t>.</w:t>
      </w:r>
    </w:p>
    <w:p w:rsidR="000A7451" w:rsidRPr="004368B4" w:rsidRDefault="000A7451" w:rsidP="003666D0">
      <w:pPr>
        <w:pStyle w:val="Titre2"/>
        <w:spacing w:line="276" w:lineRule="auto"/>
        <w:jc w:val="lowKashida"/>
        <w:rPr>
          <w:rFonts w:ascii="Times New Roman" w:hAnsi="Times New Roman" w:cs="Times New Roman"/>
          <w:b w:val="0"/>
          <w:color w:val="auto"/>
          <w:szCs w:val="24"/>
        </w:rPr>
      </w:pPr>
      <w:r w:rsidRPr="004368B4">
        <w:rPr>
          <w:rFonts w:ascii="Times New Roman" w:hAnsi="Times New Roman" w:cs="Times New Roman"/>
          <w:color w:val="auto"/>
        </w:rPr>
        <w:t>Art.5 Paiement :</w:t>
      </w:r>
      <w:r w:rsidRPr="004368B4">
        <w:rPr>
          <w:rFonts w:ascii="Times New Roman" w:hAnsi="Times New Roman" w:cs="Times New Roman"/>
          <w:b w:val="0"/>
          <w:color w:val="auto"/>
          <w:szCs w:val="24"/>
        </w:rPr>
        <w:t xml:space="preserve"> </w:t>
      </w:r>
    </w:p>
    <w:p w:rsidR="00C52C82" w:rsidRPr="004368B4" w:rsidRDefault="00C52C82" w:rsidP="002C645D">
      <w:pPr>
        <w:spacing w:line="360" w:lineRule="auto"/>
        <w:jc w:val="lowKashida"/>
        <w:rPr>
          <w:lang w:val="fr-FR"/>
        </w:rPr>
      </w:pPr>
      <w:r w:rsidRPr="004368B4">
        <w:rPr>
          <w:lang w:val="fr-FR"/>
        </w:rPr>
        <w:t xml:space="preserve">Les paiements se feront, en HTVA et en Dinars Tunisien par virement bancaire, suite à la présentation </w:t>
      </w:r>
      <w:r w:rsidR="00344468">
        <w:rPr>
          <w:lang w:val="fr-FR"/>
        </w:rPr>
        <w:t xml:space="preserve">d’une facture en 03 exemplaires à la fin de la mission et après remise de rapport </w:t>
      </w:r>
      <w:r w:rsidR="001332ED">
        <w:rPr>
          <w:lang w:val="fr-FR"/>
        </w:rPr>
        <w:t xml:space="preserve">final. </w:t>
      </w:r>
    </w:p>
    <w:p w:rsidR="000A7451" w:rsidRPr="004368B4" w:rsidRDefault="000A7451" w:rsidP="004A11FC">
      <w:pPr>
        <w:pStyle w:val="Titre2"/>
        <w:jc w:val="lowKashida"/>
        <w:rPr>
          <w:rFonts w:ascii="Times New Roman" w:hAnsi="Times New Roman" w:cs="Times New Roman"/>
          <w:color w:val="auto"/>
        </w:rPr>
      </w:pPr>
      <w:r w:rsidRPr="004368B4">
        <w:rPr>
          <w:rFonts w:ascii="Times New Roman" w:hAnsi="Times New Roman" w:cs="Times New Roman"/>
          <w:color w:val="auto"/>
        </w:rPr>
        <w:t xml:space="preserve">Art.6 – Conditions de participation </w:t>
      </w:r>
    </w:p>
    <w:p w:rsidR="000A7451" w:rsidRPr="004368B4" w:rsidRDefault="000A7451" w:rsidP="003666D0">
      <w:pPr>
        <w:spacing w:before="240" w:line="276" w:lineRule="auto"/>
        <w:jc w:val="lowKashida"/>
        <w:rPr>
          <w:lang w:val="fr-FR"/>
        </w:rPr>
      </w:pPr>
      <w:r w:rsidRPr="004368B4">
        <w:rPr>
          <w:lang w:val="fr-FR"/>
        </w:rPr>
        <w:t>Le prestataire doit remplir au moins les conditions générales et professionnelles suivantes:</w:t>
      </w:r>
    </w:p>
    <w:p w:rsidR="000A7451" w:rsidRPr="002C645D" w:rsidRDefault="000A7451" w:rsidP="003666D0">
      <w:pPr>
        <w:spacing w:before="240" w:line="276" w:lineRule="auto"/>
        <w:jc w:val="lowKashida"/>
        <w:rPr>
          <w:lang w:val="fr-FR"/>
        </w:rPr>
      </w:pPr>
      <w:r w:rsidRPr="002C645D">
        <w:rPr>
          <w:b/>
          <w:bCs/>
          <w:lang w:val="fr-FR"/>
        </w:rPr>
        <w:t>6.1</w:t>
      </w:r>
      <w:r w:rsidR="00CE5E2F" w:rsidRPr="002C645D">
        <w:rPr>
          <w:b/>
          <w:bCs/>
          <w:lang w:val="fr-FR"/>
        </w:rPr>
        <w:t>- Conditions</w:t>
      </w:r>
      <w:r w:rsidR="001F3558" w:rsidRPr="002C645D">
        <w:rPr>
          <w:b/>
          <w:bCs/>
          <w:lang w:val="fr-FR"/>
        </w:rPr>
        <w:t xml:space="preserve"> générales</w:t>
      </w:r>
      <w:r w:rsidRPr="002C645D">
        <w:rPr>
          <w:b/>
          <w:bCs/>
          <w:lang w:val="fr-FR"/>
        </w:rPr>
        <w:t>:</w:t>
      </w:r>
      <w:r w:rsidRPr="002C645D">
        <w:rPr>
          <w:lang w:val="fr-FR"/>
        </w:rPr>
        <w:t xml:space="preserve"> </w:t>
      </w:r>
    </w:p>
    <w:p w:rsidR="000A7451" w:rsidRPr="004368B4" w:rsidRDefault="00F777DC" w:rsidP="002C645D">
      <w:pPr>
        <w:pStyle w:val="Paragraphedeliste"/>
        <w:spacing w:before="240"/>
        <w:jc w:val="lowKashida"/>
        <w:rPr>
          <w:rFonts w:ascii="Times New Roman" w:hAnsi="Times New Roman"/>
          <w:sz w:val="24"/>
          <w:szCs w:val="24"/>
        </w:rPr>
      </w:pPr>
      <w:r>
        <w:rPr>
          <w:rFonts w:ascii="Times New Roman" w:hAnsi="Times New Roman"/>
          <w:sz w:val="24"/>
          <w:szCs w:val="24"/>
        </w:rPr>
        <w:t>a</w:t>
      </w:r>
      <w:r w:rsidR="002C645D">
        <w:rPr>
          <w:rFonts w:ascii="Times New Roman" w:hAnsi="Times New Roman"/>
          <w:sz w:val="24"/>
          <w:szCs w:val="24"/>
        </w:rPr>
        <w:t>-</w:t>
      </w:r>
      <w:r>
        <w:rPr>
          <w:rFonts w:ascii="Times New Roman" w:hAnsi="Times New Roman"/>
          <w:sz w:val="24"/>
          <w:szCs w:val="24"/>
        </w:rPr>
        <w:t xml:space="preserve"> </w:t>
      </w:r>
      <w:r w:rsidR="000A7451" w:rsidRPr="004368B4">
        <w:rPr>
          <w:rFonts w:ascii="Times New Roman" w:hAnsi="Times New Roman"/>
          <w:sz w:val="24"/>
          <w:szCs w:val="24"/>
        </w:rPr>
        <w:t>La jouissance des droits civils et politiques.</w:t>
      </w:r>
    </w:p>
    <w:p w:rsidR="000A7451" w:rsidRPr="004368B4" w:rsidRDefault="00F777DC" w:rsidP="00344468">
      <w:pPr>
        <w:pStyle w:val="Paragraphedeliste"/>
        <w:spacing w:before="240"/>
        <w:jc w:val="lowKashida"/>
        <w:rPr>
          <w:rFonts w:ascii="Times New Roman" w:hAnsi="Times New Roman"/>
          <w:sz w:val="24"/>
          <w:szCs w:val="24"/>
        </w:rPr>
      </w:pPr>
      <w:r>
        <w:rPr>
          <w:rFonts w:ascii="Times New Roman" w:hAnsi="Times New Roman"/>
          <w:sz w:val="24"/>
          <w:szCs w:val="24"/>
        </w:rPr>
        <w:t>b</w:t>
      </w:r>
      <w:r w:rsidR="002C645D">
        <w:rPr>
          <w:rFonts w:ascii="Times New Roman" w:hAnsi="Times New Roman"/>
          <w:sz w:val="24"/>
          <w:szCs w:val="24"/>
        </w:rPr>
        <w:t>-</w:t>
      </w:r>
      <w:r>
        <w:rPr>
          <w:rFonts w:ascii="Times New Roman" w:hAnsi="Times New Roman"/>
          <w:sz w:val="24"/>
          <w:szCs w:val="24"/>
        </w:rPr>
        <w:t xml:space="preserve"> </w:t>
      </w:r>
      <w:r w:rsidR="000A7451" w:rsidRPr="004368B4">
        <w:rPr>
          <w:rFonts w:ascii="Times New Roman" w:hAnsi="Times New Roman"/>
          <w:sz w:val="24"/>
          <w:szCs w:val="24"/>
        </w:rPr>
        <w:t xml:space="preserve">Avoir pris connaissance et accepter toutes les conditions énoncées dans </w:t>
      </w:r>
      <w:r w:rsidR="00344468">
        <w:rPr>
          <w:rFonts w:ascii="Times New Roman" w:hAnsi="Times New Roman"/>
          <w:sz w:val="24"/>
          <w:szCs w:val="24"/>
        </w:rPr>
        <w:t>les TDRs.</w:t>
      </w:r>
    </w:p>
    <w:p w:rsidR="000A7451" w:rsidRPr="004368B4" w:rsidRDefault="00F777DC" w:rsidP="009D40B3">
      <w:pPr>
        <w:pStyle w:val="Paragraphedeliste"/>
        <w:spacing w:before="240"/>
        <w:jc w:val="lowKashida"/>
        <w:rPr>
          <w:rFonts w:ascii="Times New Roman" w:hAnsi="Times New Roman"/>
          <w:sz w:val="24"/>
          <w:szCs w:val="24"/>
        </w:rPr>
      </w:pPr>
      <w:r>
        <w:rPr>
          <w:rFonts w:ascii="Times New Roman" w:hAnsi="Times New Roman"/>
          <w:sz w:val="24"/>
          <w:szCs w:val="24"/>
        </w:rPr>
        <w:t>c</w:t>
      </w:r>
      <w:r w:rsidR="002C645D">
        <w:rPr>
          <w:rFonts w:ascii="Times New Roman" w:hAnsi="Times New Roman"/>
          <w:sz w:val="24"/>
          <w:szCs w:val="24"/>
        </w:rPr>
        <w:t>-</w:t>
      </w:r>
      <w:r w:rsidR="000A7451" w:rsidRPr="004368B4">
        <w:rPr>
          <w:rFonts w:ascii="Times New Roman" w:hAnsi="Times New Roman"/>
          <w:sz w:val="24"/>
          <w:szCs w:val="24"/>
        </w:rPr>
        <w:t xml:space="preserve">Absence des situations de défaut de paiement envers </w:t>
      </w:r>
      <w:r w:rsidR="009D40B3">
        <w:rPr>
          <w:rFonts w:ascii="Times New Roman" w:hAnsi="Times New Roman"/>
          <w:sz w:val="24"/>
          <w:szCs w:val="24"/>
        </w:rPr>
        <w:t xml:space="preserve">l’UTSS </w:t>
      </w:r>
      <w:r w:rsidR="000A7451" w:rsidRPr="004368B4">
        <w:rPr>
          <w:rFonts w:ascii="Times New Roman" w:hAnsi="Times New Roman"/>
          <w:sz w:val="24"/>
          <w:szCs w:val="24"/>
        </w:rPr>
        <w:t>dans le cadre de relations juridiques antérieures.</w:t>
      </w:r>
    </w:p>
    <w:p w:rsidR="000A7451" w:rsidRPr="004368B4" w:rsidRDefault="00F777DC" w:rsidP="00F777DC">
      <w:pPr>
        <w:pStyle w:val="Paragraphedeliste"/>
        <w:spacing w:before="240"/>
        <w:jc w:val="lowKashida"/>
        <w:rPr>
          <w:rFonts w:ascii="Times New Roman" w:hAnsi="Times New Roman"/>
          <w:sz w:val="24"/>
          <w:szCs w:val="24"/>
        </w:rPr>
      </w:pPr>
      <w:r>
        <w:rPr>
          <w:rFonts w:ascii="Times New Roman" w:hAnsi="Times New Roman"/>
          <w:sz w:val="24"/>
          <w:szCs w:val="24"/>
        </w:rPr>
        <w:t>d</w:t>
      </w:r>
      <w:r w:rsidR="002C645D">
        <w:rPr>
          <w:rFonts w:ascii="Times New Roman" w:hAnsi="Times New Roman"/>
          <w:sz w:val="24"/>
          <w:szCs w:val="24"/>
        </w:rPr>
        <w:t>-</w:t>
      </w:r>
      <w:r w:rsidR="000A7451" w:rsidRPr="004368B4">
        <w:rPr>
          <w:rFonts w:ascii="Times New Roman" w:hAnsi="Times New Roman"/>
          <w:sz w:val="24"/>
          <w:szCs w:val="24"/>
        </w:rPr>
        <w:t xml:space="preserve">Les </w:t>
      </w:r>
      <w:r>
        <w:rPr>
          <w:rFonts w:ascii="Times New Roman" w:hAnsi="Times New Roman"/>
          <w:sz w:val="24"/>
          <w:szCs w:val="24"/>
        </w:rPr>
        <w:t>experts</w:t>
      </w:r>
      <w:r w:rsidR="000A7451" w:rsidRPr="004368B4">
        <w:rPr>
          <w:rFonts w:ascii="Times New Roman" w:hAnsi="Times New Roman"/>
          <w:sz w:val="24"/>
          <w:szCs w:val="24"/>
        </w:rPr>
        <w:t xml:space="preserve"> ne doivent pas être dans l’un des cas d’exclusion prévus par la législation en vigueur.</w:t>
      </w:r>
    </w:p>
    <w:p w:rsidR="00CB59AD" w:rsidRDefault="00CB59AD" w:rsidP="003666D0">
      <w:pPr>
        <w:spacing w:before="240" w:line="276" w:lineRule="auto"/>
        <w:jc w:val="lowKashida"/>
        <w:rPr>
          <w:b/>
          <w:bCs/>
          <w:lang w:val="fr-FR"/>
        </w:rPr>
      </w:pPr>
    </w:p>
    <w:p w:rsidR="00CB59AD" w:rsidRDefault="00CB59AD" w:rsidP="003666D0">
      <w:pPr>
        <w:spacing w:before="240" w:line="276" w:lineRule="auto"/>
        <w:jc w:val="lowKashida"/>
        <w:rPr>
          <w:b/>
          <w:bCs/>
          <w:lang w:val="fr-FR"/>
        </w:rPr>
      </w:pPr>
    </w:p>
    <w:p w:rsidR="00CB59AD" w:rsidRDefault="00CB59AD" w:rsidP="003666D0">
      <w:pPr>
        <w:spacing w:before="240" w:line="276" w:lineRule="auto"/>
        <w:jc w:val="lowKashida"/>
        <w:rPr>
          <w:b/>
          <w:bCs/>
          <w:lang w:val="fr-FR"/>
        </w:rPr>
      </w:pPr>
    </w:p>
    <w:p w:rsidR="000A7451" w:rsidRPr="00FD67D1" w:rsidRDefault="000A7451" w:rsidP="003666D0">
      <w:pPr>
        <w:spacing w:before="240" w:line="276" w:lineRule="auto"/>
        <w:jc w:val="lowKashida"/>
        <w:rPr>
          <w:b/>
          <w:bCs/>
          <w:lang w:val="fr-FR"/>
        </w:rPr>
      </w:pPr>
      <w:r w:rsidRPr="00FD67D1">
        <w:rPr>
          <w:b/>
          <w:bCs/>
          <w:lang w:val="fr-FR"/>
        </w:rPr>
        <w:t>6.2- Conditions professionnelles :</w:t>
      </w:r>
    </w:p>
    <w:p w:rsidR="00FD67D1" w:rsidRPr="00454A54" w:rsidRDefault="00FD67D1" w:rsidP="00F777DC">
      <w:pPr>
        <w:spacing w:before="240" w:line="276" w:lineRule="auto"/>
        <w:jc w:val="lowKashida"/>
        <w:rPr>
          <w:rFonts w:eastAsia="Calibri"/>
          <w:bdr w:val="none" w:sz="0" w:space="0" w:color="auto"/>
          <w:lang w:val="fr-FR" w:eastAsia="fr-FR" w:bidi="fr-FR"/>
        </w:rPr>
      </w:pPr>
      <w:r w:rsidRPr="00454A54">
        <w:rPr>
          <w:rFonts w:eastAsia="Calibri"/>
          <w:bdr w:val="none" w:sz="0" w:space="0" w:color="auto"/>
          <w:lang w:val="fr-FR" w:eastAsia="fr-FR" w:bidi="fr-FR"/>
        </w:rPr>
        <w:t xml:space="preserve">Peuvent participer à cette consultation, les </w:t>
      </w:r>
      <w:r w:rsidR="00F777DC">
        <w:rPr>
          <w:rFonts w:eastAsia="Calibri"/>
          <w:bdr w:val="none" w:sz="0" w:space="0" w:color="auto"/>
          <w:lang w:val="fr-FR" w:eastAsia="fr-FR" w:bidi="fr-FR"/>
        </w:rPr>
        <w:t>bureaux dont les formateurs</w:t>
      </w:r>
      <w:r w:rsidRPr="00454A54">
        <w:rPr>
          <w:rFonts w:eastAsia="Calibri"/>
          <w:bdr w:val="none" w:sz="0" w:space="0" w:color="auto"/>
          <w:lang w:val="fr-FR" w:eastAsia="fr-FR" w:bidi="fr-FR"/>
        </w:rPr>
        <w:t xml:space="preserve"> </w:t>
      </w:r>
      <w:r w:rsidR="00F777DC">
        <w:rPr>
          <w:rFonts w:eastAsia="Calibri"/>
          <w:bdr w:val="none" w:sz="0" w:space="0" w:color="auto"/>
          <w:lang w:val="fr-FR" w:eastAsia="fr-FR" w:bidi="fr-FR"/>
        </w:rPr>
        <w:t>on</w:t>
      </w:r>
      <w:r w:rsidRPr="00454A54">
        <w:rPr>
          <w:rFonts w:eastAsia="Calibri"/>
          <w:bdr w:val="none" w:sz="0" w:space="0" w:color="auto"/>
          <w:lang w:val="fr-FR" w:eastAsia="fr-FR" w:bidi="fr-FR"/>
        </w:rPr>
        <w:t>t une expérience</w:t>
      </w:r>
      <w:r>
        <w:rPr>
          <w:rFonts w:eastAsia="Calibri"/>
          <w:bdr w:val="none" w:sz="0" w:space="0" w:color="auto"/>
          <w:lang w:val="fr-FR" w:eastAsia="fr-FR" w:bidi="fr-FR"/>
        </w:rPr>
        <w:t xml:space="preserve"> </w:t>
      </w:r>
      <w:r w:rsidRPr="00454A54">
        <w:rPr>
          <w:rFonts w:eastAsia="Calibri"/>
          <w:bdr w:val="none" w:sz="0" w:space="0" w:color="auto"/>
          <w:lang w:val="fr-FR" w:eastAsia="fr-FR" w:bidi="fr-FR"/>
        </w:rPr>
        <w:t>professionnelle générale de plus de 5 ans et justifiant</w:t>
      </w:r>
      <w:r>
        <w:rPr>
          <w:rFonts w:eastAsia="Calibri"/>
          <w:bdr w:val="none" w:sz="0" w:space="0" w:color="auto"/>
          <w:lang w:val="fr-FR" w:eastAsia="fr-FR" w:bidi="fr-FR"/>
        </w:rPr>
        <w:t xml:space="preserve"> </w:t>
      </w:r>
      <w:r w:rsidRPr="00454A54">
        <w:rPr>
          <w:rFonts w:eastAsia="Calibri"/>
          <w:bdr w:val="none" w:sz="0" w:space="0" w:color="auto"/>
          <w:lang w:val="fr-FR" w:eastAsia="fr-FR" w:bidi="fr-FR"/>
        </w:rPr>
        <w:t>de :</w:t>
      </w:r>
    </w:p>
    <w:p w:rsidR="00FD67D1" w:rsidRPr="00454A54" w:rsidRDefault="00F777DC" w:rsidP="00F777DC">
      <w:pPr>
        <w:pStyle w:val="Paragraphedeliste"/>
        <w:spacing w:before="240"/>
        <w:jc w:val="lowKashida"/>
        <w:rPr>
          <w:rFonts w:ascii="Times New Roman" w:hAnsi="Times New Roman"/>
          <w:sz w:val="24"/>
          <w:szCs w:val="24"/>
        </w:rPr>
      </w:pPr>
      <w:r>
        <w:rPr>
          <w:rFonts w:ascii="Times New Roman" w:hAnsi="Times New Roman"/>
          <w:sz w:val="24"/>
          <w:szCs w:val="24"/>
        </w:rPr>
        <w:t xml:space="preserve">a </w:t>
      </w:r>
      <w:r w:rsidR="00E16E7D">
        <w:rPr>
          <w:rFonts w:ascii="Times New Roman" w:hAnsi="Times New Roman"/>
          <w:sz w:val="24"/>
          <w:szCs w:val="24"/>
        </w:rPr>
        <w:t>-</w:t>
      </w:r>
      <w:r w:rsidR="00FD67D1" w:rsidRPr="00454A54">
        <w:rPr>
          <w:rFonts w:ascii="Times New Roman" w:hAnsi="Times New Roman"/>
          <w:sz w:val="24"/>
          <w:szCs w:val="24"/>
        </w:rPr>
        <w:t>Certificat de</w:t>
      </w:r>
      <w:r>
        <w:rPr>
          <w:rFonts w:ascii="Times New Roman" w:hAnsi="Times New Roman"/>
          <w:sz w:val="24"/>
          <w:szCs w:val="24"/>
        </w:rPr>
        <w:t xml:space="preserve"> chaque</w:t>
      </w:r>
      <w:r w:rsidR="00FD67D1" w:rsidRPr="00454A54">
        <w:rPr>
          <w:rFonts w:ascii="Times New Roman" w:hAnsi="Times New Roman"/>
          <w:sz w:val="24"/>
          <w:szCs w:val="24"/>
        </w:rPr>
        <w:t xml:space="preserve"> formateur </w:t>
      </w:r>
      <w:r>
        <w:rPr>
          <w:rFonts w:ascii="Times New Roman" w:hAnsi="Times New Roman"/>
          <w:sz w:val="24"/>
          <w:szCs w:val="24"/>
        </w:rPr>
        <w:t>selon la thématique demandée.</w:t>
      </w:r>
      <w:r w:rsidR="00FD67D1">
        <w:rPr>
          <w:rFonts w:ascii="Times New Roman" w:hAnsi="Times New Roman"/>
          <w:sz w:val="24"/>
          <w:szCs w:val="24"/>
        </w:rPr>
        <w:t xml:space="preserve"> </w:t>
      </w:r>
    </w:p>
    <w:p w:rsidR="00FD67D1" w:rsidRPr="00454A54" w:rsidRDefault="00F777DC" w:rsidP="00A97D2F">
      <w:pPr>
        <w:pStyle w:val="Paragraphedeliste"/>
        <w:spacing w:before="240"/>
        <w:jc w:val="lowKashida"/>
        <w:rPr>
          <w:rFonts w:ascii="Times New Roman" w:hAnsi="Times New Roman"/>
          <w:sz w:val="24"/>
          <w:szCs w:val="24"/>
        </w:rPr>
      </w:pPr>
      <w:r>
        <w:rPr>
          <w:rFonts w:ascii="Times New Roman" w:hAnsi="Times New Roman"/>
          <w:sz w:val="24"/>
          <w:szCs w:val="24"/>
        </w:rPr>
        <w:t xml:space="preserve">b </w:t>
      </w:r>
      <w:r w:rsidR="00E16E7D">
        <w:rPr>
          <w:rFonts w:ascii="Times New Roman" w:hAnsi="Times New Roman"/>
          <w:sz w:val="24"/>
          <w:szCs w:val="24"/>
        </w:rPr>
        <w:t>-</w:t>
      </w:r>
      <w:r w:rsidR="00FD67D1" w:rsidRPr="00454A54">
        <w:rPr>
          <w:rFonts w:ascii="Times New Roman" w:hAnsi="Times New Roman"/>
          <w:sz w:val="24"/>
          <w:szCs w:val="24"/>
        </w:rPr>
        <w:t>Un diplôme de niveau Bac+</w:t>
      </w:r>
      <w:r w:rsidR="00344468">
        <w:rPr>
          <w:rFonts w:ascii="Times New Roman" w:hAnsi="Times New Roman"/>
          <w:sz w:val="24"/>
          <w:szCs w:val="24"/>
        </w:rPr>
        <w:t>4</w:t>
      </w:r>
      <w:r>
        <w:rPr>
          <w:rFonts w:ascii="Times New Roman" w:hAnsi="Times New Roman"/>
          <w:sz w:val="24"/>
          <w:szCs w:val="24"/>
        </w:rPr>
        <w:t>, pour chaque formateur</w:t>
      </w:r>
      <w:r w:rsidR="00FD67D1" w:rsidRPr="00454A54">
        <w:rPr>
          <w:rFonts w:ascii="Times New Roman" w:hAnsi="Times New Roman"/>
          <w:sz w:val="24"/>
          <w:szCs w:val="24"/>
        </w:rPr>
        <w:t xml:space="preserve"> ;</w:t>
      </w:r>
    </w:p>
    <w:p w:rsidR="00B6726B" w:rsidRPr="006839EA" w:rsidRDefault="00F777DC" w:rsidP="006839EA">
      <w:pPr>
        <w:pStyle w:val="Paragraphedeliste"/>
        <w:spacing w:before="240"/>
        <w:jc w:val="lowKashida"/>
        <w:rPr>
          <w:rFonts w:ascii="Times New Roman" w:hAnsi="Times New Roman"/>
          <w:sz w:val="24"/>
          <w:szCs w:val="24"/>
        </w:rPr>
      </w:pPr>
      <w:r>
        <w:rPr>
          <w:rFonts w:ascii="Times New Roman" w:hAnsi="Times New Roman"/>
          <w:sz w:val="24"/>
          <w:szCs w:val="24"/>
        </w:rPr>
        <w:t xml:space="preserve">c </w:t>
      </w:r>
      <w:r w:rsidR="00E16E7D">
        <w:rPr>
          <w:rFonts w:ascii="Times New Roman" w:hAnsi="Times New Roman"/>
          <w:sz w:val="24"/>
          <w:szCs w:val="24"/>
        </w:rPr>
        <w:t>-</w:t>
      </w:r>
      <w:r w:rsidR="00FD67D1" w:rsidRPr="00454A54">
        <w:rPr>
          <w:rFonts w:ascii="Times New Roman" w:hAnsi="Times New Roman"/>
          <w:sz w:val="24"/>
          <w:szCs w:val="24"/>
        </w:rPr>
        <w:t xml:space="preserve">Une participation à des actions et/ou des formations similaires </w:t>
      </w:r>
      <w:r>
        <w:rPr>
          <w:rFonts w:ascii="Times New Roman" w:hAnsi="Times New Roman"/>
          <w:sz w:val="24"/>
          <w:szCs w:val="24"/>
        </w:rPr>
        <w:t>(justifié</w:t>
      </w:r>
      <w:r w:rsidR="00CB59AD">
        <w:rPr>
          <w:rFonts w:ascii="Times New Roman" w:hAnsi="Times New Roman"/>
          <w:sz w:val="24"/>
          <w:szCs w:val="24"/>
        </w:rPr>
        <w:t>e</w:t>
      </w:r>
      <w:r>
        <w:rPr>
          <w:rFonts w:ascii="Times New Roman" w:hAnsi="Times New Roman"/>
          <w:sz w:val="24"/>
          <w:szCs w:val="24"/>
        </w:rPr>
        <w:t>)</w:t>
      </w:r>
      <w:r w:rsidR="00FD67D1" w:rsidRPr="00454A54">
        <w:rPr>
          <w:rFonts w:ascii="Times New Roman" w:hAnsi="Times New Roman"/>
          <w:sz w:val="24"/>
          <w:szCs w:val="24"/>
        </w:rPr>
        <w:t>;</w:t>
      </w:r>
    </w:p>
    <w:p w:rsidR="000A7451" w:rsidRPr="004368B4" w:rsidRDefault="000A7451" w:rsidP="003666D0">
      <w:pPr>
        <w:spacing w:before="240" w:line="276" w:lineRule="auto"/>
        <w:jc w:val="lowKashida"/>
        <w:rPr>
          <w:lang w:val="fr-FR"/>
        </w:rPr>
      </w:pPr>
      <w:r w:rsidRPr="004368B4">
        <w:rPr>
          <w:b/>
          <w:bCs/>
          <w:sz w:val="26"/>
          <w:szCs w:val="26"/>
          <w:lang w:val="fr-FR"/>
        </w:rPr>
        <w:t xml:space="preserve">Art.7- Pièces constitutives du dossier de </w:t>
      </w:r>
      <w:r w:rsidR="00C07EB9" w:rsidRPr="004368B4">
        <w:rPr>
          <w:b/>
          <w:bCs/>
          <w:sz w:val="26"/>
          <w:szCs w:val="26"/>
          <w:lang w:val="fr-FR"/>
        </w:rPr>
        <w:t>candidature</w:t>
      </w:r>
      <w:r w:rsidR="00C07EB9" w:rsidRPr="004368B4">
        <w:rPr>
          <w:lang w:val="fr-FR"/>
        </w:rPr>
        <w:t>:</w:t>
      </w:r>
    </w:p>
    <w:p w:rsidR="00C07EB9" w:rsidRDefault="00C07EB9" w:rsidP="003666D0">
      <w:pPr>
        <w:pStyle w:val="Paragraphedeliste"/>
        <w:numPr>
          <w:ilvl w:val="0"/>
          <w:numId w:val="6"/>
        </w:numPr>
        <w:spacing w:before="240"/>
        <w:jc w:val="lowKashida"/>
        <w:rPr>
          <w:rFonts w:ascii="Times New Roman" w:hAnsi="Times New Roman"/>
          <w:sz w:val="24"/>
          <w:szCs w:val="24"/>
        </w:rPr>
      </w:pPr>
      <w:r w:rsidRPr="004368B4">
        <w:rPr>
          <w:rFonts w:ascii="Times New Roman" w:hAnsi="Times New Roman"/>
          <w:sz w:val="24"/>
          <w:szCs w:val="24"/>
        </w:rPr>
        <w:t>Demande dûment remplie et signée en fournissant les données et informations demandées.</w:t>
      </w:r>
    </w:p>
    <w:p w:rsidR="00372694" w:rsidRDefault="00372694" w:rsidP="006839EA">
      <w:pPr>
        <w:pStyle w:val="Paragraphedeliste"/>
        <w:numPr>
          <w:ilvl w:val="0"/>
          <w:numId w:val="6"/>
        </w:numPr>
        <w:spacing w:before="240"/>
        <w:jc w:val="lowKashida"/>
        <w:rPr>
          <w:rFonts w:ascii="Times New Roman" w:hAnsi="Times New Roman"/>
          <w:sz w:val="24"/>
          <w:szCs w:val="24"/>
        </w:rPr>
      </w:pPr>
      <w:r>
        <w:rPr>
          <w:rFonts w:ascii="Times New Roman" w:hAnsi="Times New Roman"/>
          <w:sz w:val="24"/>
          <w:szCs w:val="24"/>
        </w:rPr>
        <w:t>Liste des formateurs responsables de la mission avec les diplômes universitaires correspondants</w:t>
      </w:r>
      <w:r w:rsidR="006839EA">
        <w:rPr>
          <w:rFonts w:ascii="Times New Roman" w:hAnsi="Times New Roman"/>
          <w:sz w:val="24"/>
          <w:szCs w:val="24"/>
        </w:rPr>
        <w:t xml:space="preserve"> et le dossier justificatif de l’expérience</w:t>
      </w:r>
      <w:r>
        <w:rPr>
          <w:rFonts w:ascii="Times New Roman" w:hAnsi="Times New Roman"/>
          <w:sz w:val="24"/>
          <w:szCs w:val="24"/>
        </w:rPr>
        <w:t xml:space="preserve">.  </w:t>
      </w:r>
    </w:p>
    <w:p w:rsidR="0008178F" w:rsidRPr="00372694" w:rsidRDefault="0008178F" w:rsidP="00344468">
      <w:pPr>
        <w:pStyle w:val="Paragraphedeliste"/>
        <w:numPr>
          <w:ilvl w:val="0"/>
          <w:numId w:val="6"/>
        </w:numPr>
        <w:spacing w:before="240"/>
        <w:jc w:val="lowKashida"/>
        <w:rPr>
          <w:rFonts w:ascii="Times New Roman" w:hAnsi="Times New Roman"/>
          <w:sz w:val="24"/>
          <w:szCs w:val="24"/>
        </w:rPr>
      </w:pPr>
      <w:r>
        <w:rPr>
          <w:rFonts w:ascii="Times New Roman" w:hAnsi="Times New Roman"/>
          <w:sz w:val="24"/>
          <w:szCs w:val="24"/>
        </w:rPr>
        <w:t>La Patente du bureau</w:t>
      </w:r>
      <w:r w:rsidR="00CB59AD">
        <w:rPr>
          <w:rFonts w:ascii="Times New Roman" w:hAnsi="Times New Roman"/>
          <w:sz w:val="24"/>
          <w:szCs w:val="24"/>
        </w:rPr>
        <w:t xml:space="preserve"> de formation</w:t>
      </w:r>
      <w:r w:rsidR="00344468">
        <w:rPr>
          <w:rFonts w:ascii="Times New Roman" w:hAnsi="Times New Roman"/>
          <w:sz w:val="24"/>
          <w:szCs w:val="24"/>
        </w:rPr>
        <w:t>.</w:t>
      </w:r>
    </w:p>
    <w:p w:rsidR="00863E70" w:rsidRPr="004368B4" w:rsidRDefault="00C07EB9" w:rsidP="001F3558">
      <w:pPr>
        <w:pStyle w:val="Paragraphedeliste"/>
        <w:numPr>
          <w:ilvl w:val="0"/>
          <w:numId w:val="6"/>
        </w:numPr>
        <w:spacing w:before="240"/>
        <w:jc w:val="lowKashida"/>
        <w:rPr>
          <w:rFonts w:ascii="Times New Roman" w:hAnsi="Times New Roman"/>
          <w:sz w:val="24"/>
          <w:szCs w:val="24"/>
        </w:rPr>
      </w:pPr>
      <w:r w:rsidRPr="004368B4">
        <w:rPr>
          <w:rFonts w:ascii="Times New Roman" w:hAnsi="Times New Roman"/>
          <w:sz w:val="24"/>
          <w:szCs w:val="24"/>
        </w:rPr>
        <w:t xml:space="preserve">Toutes les pages de ces termes de références dûment signées et paraphées. </w:t>
      </w:r>
    </w:p>
    <w:p w:rsidR="00C07EB9" w:rsidRPr="004368B4" w:rsidRDefault="00C07EB9" w:rsidP="003666D0">
      <w:pPr>
        <w:pStyle w:val="Paragraphedeliste"/>
        <w:numPr>
          <w:ilvl w:val="0"/>
          <w:numId w:val="6"/>
        </w:numPr>
        <w:spacing w:before="240"/>
        <w:jc w:val="lowKashida"/>
        <w:rPr>
          <w:rFonts w:ascii="Times New Roman" w:hAnsi="Times New Roman"/>
          <w:sz w:val="24"/>
          <w:szCs w:val="24"/>
        </w:rPr>
      </w:pPr>
      <w:r w:rsidRPr="004368B4">
        <w:rPr>
          <w:rFonts w:ascii="Times New Roman" w:hAnsi="Times New Roman"/>
          <w:sz w:val="24"/>
          <w:szCs w:val="24"/>
        </w:rPr>
        <w:t>Acte de soumission (Annexe 1)</w:t>
      </w:r>
      <w:r w:rsidR="00863E70" w:rsidRPr="004368B4">
        <w:rPr>
          <w:rFonts w:ascii="Times New Roman" w:hAnsi="Times New Roman"/>
          <w:sz w:val="24"/>
          <w:szCs w:val="24"/>
        </w:rPr>
        <w:t>.</w:t>
      </w:r>
    </w:p>
    <w:p w:rsidR="000A7451" w:rsidRDefault="000A7451" w:rsidP="003666D0">
      <w:pPr>
        <w:pStyle w:val="Paragraphedeliste"/>
        <w:numPr>
          <w:ilvl w:val="0"/>
          <w:numId w:val="7"/>
        </w:numPr>
        <w:spacing w:before="240"/>
        <w:jc w:val="lowKashida"/>
        <w:rPr>
          <w:rFonts w:ascii="Times New Roman" w:hAnsi="Times New Roman"/>
          <w:sz w:val="24"/>
          <w:szCs w:val="24"/>
        </w:rPr>
      </w:pPr>
      <w:r w:rsidRPr="004368B4">
        <w:rPr>
          <w:rFonts w:ascii="Times New Roman" w:hAnsi="Times New Roman"/>
          <w:sz w:val="24"/>
          <w:szCs w:val="24"/>
        </w:rPr>
        <w:t>Une offre financière</w:t>
      </w:r>
      <w:r w:rsidR="00863E70" w:rsidRPr="004368B4">
        <w:rPr>
          <w:rFonts w:ascii="Times New Roman" w:hAnsi="Times New Roman"/>
          <w:sz w:val="24"/>
          <w:szCs w:val="24"/>
        </w:rPr>
        <w:t>.</w:t>
      </w:r>
    </w:p>
    <w:p w:rsidR="000A7451" w:rsidRPr="004368B4" w:rsidRDefault="00CB59AD" w:rsidP="003666D0">
      <w:pPr>
        <w:spacing w:line="276" w:lineRule="auto"/>
        <w:jc w:val="lowKashida"/>
        <w:rPr>
          <w:b/>
          <w:bCs/>
          <w:sz w:val="26"/>
          <w:szCs w:val="26"/>
          <w:lang w:val="fr-FR"/>
        </w:rPr>
      </w:pPr>
      <w:r>
        <w:rPr>
          <w:b/>
          <w:bCs/>
          <w:sz w:val="26"/>
          <w:szCs w:val="26"/>
          <w:lang w:val="fr-FR"/>
        </w:rPr>
        <w:t>Art.8</w:t>
      </w:r>
      <w:r w:rsidR="000A7451" w:rsidRPr="004368B4">
        <w:rPr>
          <w:b/>
          <w:bCs/>
          <w:sz w:val="26"/>
          <w:szCs w:val="26"/>
          <w:lang w:val="fr-FR"/>
        </w:rPr>
        <w:t xml:space="preserve"> Procédures et critères de sélection :</w:t>
      </w:r>
    </w:p>
    <w:p w:rsidR="00BE53F8" w:rsidRDefault="00BE53F8" w:rsidP="003666D0">
      <w:pPr>
        <w:spacing w:line="276" w:lineRule="auto"/>
        <w:jc w:val="lowKashida"/>
        <w:rPr>
          <w:lang w:val="fr-FR"/>
        </w:rPr>
      </w:pPr>
      <w:r w:rsidRPr="00BE53F8">
        <w:rPr>
          <w:lang w:val="fr-FR"/>
        </w:rPr>
        <w:t xml:space="preserve">Les offres seront évaluées sur la base de la méthode de notation pondérée. L’évaluation technique portera sur les CVs de formateurs désignés, la liste des références «Missions similaires» et la méthodologie proposée. L’évaluation des offres sera faite comme suit : </w:t>
      </w:r>
    </w:p>
    <w:p w:rsidR="00BE53F8" w:rsidRDefault="00BE53F8" w:rsidP="003666D0">
      <w:pPr>
        <w:spacing w:line="276" w:lineRule="auto"/>
        <w:jc w:val="lowKashida"/>
        <w:rPr>
          <w:lang w:val="fr-FR"/>
        </w:rPr>
      </w:pPr>
      <w:r w:rsidRPr="00BE53F8">
        <w:rPr>
          <w:lang w:val="fr-FR"/>
        </w:rPr>
        <w:t xml:space="preserve">a) Conformité aux critères et qualifications requises/acceptabilité </w:t>
      </w:r>
    </w:p>
    <w:p w:rsidR="00BE53F8" w:rsidRDefault="00BE53F8" w:rsidP="003666D0">
      <w:pPr>
        <w:spacing w:line="276" w:lineRule="auto"/>
        <w:jc w:val="lowKashida"/>
        <w:rPr>
          <w:lang w:val="fr-FR"/>
        </w:rPr>
      </w:pPr>
      <w:r w:rsidRPr="00BE53F8">
        <w:rPr>
          <w:lang w:val="fr-FR"/>
        </w:rPr>
        <w:t xml:space="preserve">b) Obtention du meilleur score sur un ensemble prédéterminé de pondération des critères techniques et financiers spécifiques. </w:t>
      </w:r>
    </w:p>
    <w:p w:rsidR="00BE53F8" w:rsidRDefault="00BE53F8" w:rsidP="003666D0">
      <w:pPr>
        <w:spacing w:line="276" w:lineRule="auto"/>
        <w:jc w:val="lowKashida"/>
        <w:rPr>
          <w:lang w:val="fr-FR"/>
        </w:rPr>
      </w:pPr>
      <w:r w:rsidRPr="00BE53F8">
        <w:rPr>
          <w:lang w:val="fr-FR"/>
        </w:rPr>
        <w:t xml:space="preserve">Poids des critères techniques : 70% </w:t>
      </w:r>
    </w:p>
    <w:p w:rsidR="00CB59AD" w:rsidRDefault="00BE53F8" w:rsidP="003666D0">
      <w:pPr>
        <w:spacing w:line="276" w:lineRule="auto"/>
        <w:jc w:val="lowKashida"/>
        <w:rPr>
          <w:lang w:val="fr-FR"/>
        </w:rPr>
      </w:pPr>
      <w:r w:rsidRPr="00BE53F8">
        <w:rPr>
          <w:lang w:val="fr-FR"/>
        </w:rPr>
        <w:t>Poids des critères financiers : 30%</w:t>
      </w:r>
    </w:p>
    <w:p w:rsidR="00F77672" w:rsidRDefault="00F77672" w:rsidP="003666D0">
      <w:pPr>
        <w:spacing w:line="276" w:lineRule="auto"/>
        <w:jc w:val="lowKashida"/>
        <w:rPr>
          <w:lang w:val="fr-FR"/>
        </w:rPr>
      </w:pPr>
    </w:p>
    <w:p w:rsidR="00F77672" w:rsidRDefault="00F77672" w:rsidP="003666D0">
      <w:pPr>
        <w:spacing w:line="276" w:lineRule="auto"/>
        <w:jc w:val="lowKashida"/>
        <w:rPr>
          <w:lang w:val="fr-FR"/>
        </w:rPr>
      </w:pPr>
    </w:p>
    <w:p w:rsidR="00F77672" w:rsidRDefault="00F77672" w:rsidP="003666D0">
      <w:pPr>
        <w:spacing w:line="276" w:lineRule="auto"/>
        <w:jc w:val="lowKashida"/>
        <w:rPr>
          <w:lang w:val="fr-FR"/>
        </w:rPr>
      </w:pPr>
    </w:p>
    <w:p w:rsidR="00F77672" w:rsidRDefault="00F77672" w:rsidP="003666D0">
      <w:pPr>
        <w:spacing w:line="276" w:lineRule="auto"/>
        <w:jc w:val="lowKashida"/>
        <w:rPr>
          <w:lang w:val="fr-FR"/>
        </w:rPr>
      </w:pPr>
    </w:p>
    <w:p w:rsidR="00F77672" w:rsidRDefault="00F77672" w:rsidP="003666D0">
      <w:pPr>
        <w:spacing w:line="276" w:lineRule="auto"/>
        <w:jc w:val="lowKashida"/>
        <w:rPr>
          <w:lang w:val="fr-FR"/>
        </w:rPr>
      </w:pPr>
    </w:p>
    <w:p w:rsidR="00F77672" w:rsidRDefault="00F77672" w:rsidP="003666D0">
      <w:pPr>
        <w:spacing w:line="276" w:lineRule="auto"/>
        <w:jc w:val="lowKashida"/>
        <w:rPr>
          <w:lang w:val="fr-FR"/>
        </w:rPr>
      </w:pPr>
    </w:p>
    <w:p w:rsidR="00F77672" w:rsidRDefault="00F77672" w:rsidP="003666D0">
      <w:pPr>
        <w:spacing w:line="276" w:lineRule="auto"/>
        <w:jc w:val="lowKashida"/>
        <w:rPr>
          <w:lang w:val="fr-FR"/>
        </w:rPr>
      </w:pPr>
    </w:p>
    <w:p w:rsidR="00F77672" w:rsidRDefault="00F77672" w:rsidP="003666D0">
      <w:pPr>
        <w:spacing w:line="276" w:lineRule="auto"/>
        <w:jc w:val="lowKashida"/>
        <w:rPr>
          <w:lang w:val="fr-FR"/>
        </w:rPr>
      </w:pPr>
    </w:p>
    <w:p w:rsidR="00F77672" w:rsidRDefault="00F77672" w:rsidP="003666D0">
      <w:pPr>
        <w:spacing w:line="276" w:lineRule="auto"/>
        <w:jc w:val="lowKashida"/>
        <w:rPr>
          <w:lang w:val="fr-FR"/>
        </w:rPr>
      </w:pPr>
    </w:p>
    <w:p w:rsidR="00F77672" w:rsidRDefault="00F77672" w:rsidP="003666D0">
      <w:pPr>
        <w:spacing w:line="276" w:lineRule="auto"/>
        <w:jc w:val="lowKashida"/>
        <w:rPr>
          <w:lang w:val="fr-FR"/>
        </w:rPr>
      </w:pPr>
    </w:p>
    <w:p w:rsidR="00F77672" w:rsidRDefault="00F77672" w:rsidP="003666D0">
      <w:pPr>
        <w:spacing w:line="276" w:lineRule="auto"/>
        <w:jc w:val="lowKashida"/>
        <w:rPr>
          <w:lang w:val="fr-FR"/>
        </w:rPr>
      </w:pPr>
    </w:p>
    <w:p w:rsidR="00F77672" w:rsidRDefault="00F77672" w:rsidP="003666D0">
      <w:pPr>
        <w:spacing w:line="276" w:lineRule="auto"/>
        <w:jc w:val="lowKashida"/>
        <w:rPr>
          <w:lang w:val="fr-FR"/>
        </w:rPr>
      </w:pPr>
    </w:p>
    <w:p w:rsidR="00F77672" w:rsidRDefault="00F77672" w:rsidP="003666D0">
      <w:pPr>
        <w:spacing w:line="276" w:lineRule="auto"/>
        <w:jc w:val="lowKashida"/>
        <w:rPr>
          <w:lang w:val="fr-FR"/>
        </w:rPr>
      </w:pPr>
    </w:p>
    <w:p w:rsidR="00F77672" w:rsidRPr="00BE53F8" w:rsidRDefault="00F77672" w:rsidP="003666D0">
      <w:pPr>
        <w:spacing w:line="276" w:lineRule="auto"/>
        <w:jc w:val="lowKashida"/>
        <w:rPr>
          <w:b/>
          <w:bCs/>
          <w:sz w:val="26"/>
          <w:szCs w:val="26"/>
          <w:lang w:val="fr-FR"/>
        </w:rPr>
      </w:pPr>
    </w:p>
    <w:tbl>
      <w:tblPr>
        <w:tblStyle w:val="Grilledutableau"/>
        <w:tblW w:w="0" w:type="auto"/>
        <w:tblLook w:val="04A0"/>
      </w:tblPr>
      <w:tblGrid>
        <w:gridCol w:w="3652"/>
        <w:gridCol w:w="5103"/>
        <w:gridCol w:w="1025"/>
      </w:tblGrid>
      <w:tr w:rsidR="008E09B0" w:rsidTr="005C2DD2">
        <w:tc>
          <w:tcPr>
            <w:tcW w:w="3652" w:type="dxa"/>
          </w:tcPr>
          <w:p w:rsidR="008E09B0" w:rsidRPr="005C2DD2" w:rsidRDefault="00F77672" w:rsidP="005C2DD2">
            <w:pPr>
              <w:jc w:val="center"/>
              <w:rPr>
                <w:b/>
                <w:bCs/>
                <w:sz w:val="26"/>
                <w:szCs w:val="26"/>
                <w:lang w:val="fr-FR"/>
              </w:rPr>
            </w:pPr>
            <w:r w:rsidRPr="005C2DD2">
              <w:rPr>
                <w:b/>
                <w:bCs/>
              </w:rPr>
              <w:t>Les critères d’évaluation</w:t>
            </w:r>
          </w:p>
        </w:tc>
        <w:tc>
          <w:tcPr>
            <w:tcW w:w="5103" w:type="dxa"/>
          </w:tcPr>
          <w:p w:rsidR="008E09B0" w:rsidRPr="005C2DD2" w:rsidRDefault="00F77672" w:rsidP="005C2DD2">
            <w:pPr>
              <w:jc w:val="center"/>
              <w:rPr>
                <w:b/>
                <w:bCs/>
                <w:sz w:val="26"/>
                <w:szCs w:val="26"/>
                <w:lang w:val="fr-FR"/>
              </w:rPr>
            </w:pPr>
            <w:r w:rsidRPr="005C2DD2">
              <w:rPr>
                <w:b/>
                <w:bCs/>
              </w:rPr>
              <w:t>Le barème d’évaluation</w:t>
            </w:r>
          </w:p>
        </w:tc>
        <w:tc>
          <w:tcPr>
            <w:tcW w:w="1025" w:type="dxa"/>
          </w:tcPr>
          <w:p w:rsidR="008E09B0" w:rsidRPr="005C2DD2" w:rsidRDefault="00F77672" w:rsidP="005C2DD2">
            <w:pPr>
              <w:jc w:val="center"/>
              <w:rPr>
                <w:b/>
                <w:bCs/>
                <w:sz w:val="26"/>
                <w:szCs w:val="26"/>
                <w:lang w:val="fr-FR"/>
              </w:rPr>
            </w:pPr>
            <w:r w:rsidRPr="005C2DD2">
              <w:rPr>
                <w:b/>
                <w:bCs/>
              </w:rPr>
              <w:t>Nbre de points</w:t>
            </w:r>
          </w:p>
        </w:tc>
      </w:tr>
      <w:tr w:rsidR="008E09B0" w:rsidRPr="003B4804" w:rsidTr="005C2950">
        <w:tc>
          <w:tcPr>
            <w:tcW w:w="9780" w:type="dxa"/>
            <w:gridSpan w:val="3"/>
            <w:shd w:val="clear" w:color="auto" w:fill="DBC105" w:themeFill="accent4" w:themeFillShade="BF"/>
          </w:tcPr>
          <w:p w:rsidR="008E09B0" w:rsidRPr="00A97D2F" w:rsidRDefault="00F77672" w:rsidP="003E5FFC">
            <w:pPr>
              <w:jc w:val="lowKashida"/>
              <w:rPr>
                <w:b/>
                <w:bCs/>
                <w:sz w:val="26"/>
                <w:szCs w:val="26"/>
                <w:lang w:val="fr-FR"/>
              </w:rPr>
            </w:pPr>
            <w:r w:rsidRPr="00A97D2F">
              <w:rPr>
                <w:b/>
                <w:bCs/>
                <w:lang w:val="fr-FR"/>
              </w:rPr>
              <w:t>Technique (70%) : Formateurs proposés pour la mission</w:t>
            </w:r>
          </w:p>
        </w:tc>
      </w:tr>
      <w:tr w:rsidR="008E09B0" w:rsidRPr="003B4804" w:rsidTr="005C2950">
        <w:tc>
          <w:tcPr>
            <w:tcW w:w="9780" w:type="dxa"/>
            <w:gridSpan w:val="3"/>
          </w:tcPr>
          <w:p w:rsidR="008E09B0" w:rsidRPr="008C5273" w:rsidRDefault="00F77672" w:rsidP="003E5FFC">
            <w:pPr>
              <w:jc w:val="center"/>
              <w:rPr>
                <w:b/>
                <w:bCs/>
                <w:sz w:val="26"/>
                <w:szCs w:val="26"/>
                <w:lang w:val="fr-FR"/>
              </w:rPr>
            </w:pPr>
            <w:r w:rsidRPr="008C5273">
              <w:rPr>
                <w:b/>
                <w:bCs/>
                <w:lang w:val="fr-FR"/>
              </w:rPr>
              <w:t>1-Formation en Droit de l’environnement</w:t>
            </w:r>
          </w:p>
        </w:tc>
      </w:tr>
      <w:tr w:rsidR="008E09B0" w:rsidTr="005C2DD2">
        <w:tc>
          <w:tcPr>
            <w:tcW w:w="3652" w:type="dxa"/>
          </w:tcPr>
          <w:p w:rsidR="008E09B0" w:rsidRPr="00F77672" w:rsidRDefault="005C2DD2" w:rsidP="003E5FFC">
            <w:pPr>
              <w:jc w:val="lowKashida"/>
              <w:rPr>
                <w:b/>
                <w:bCs/>
                <w:sz w:val="26"/>
                <w:szCs w:val="26"/>
                <w:lang w:val="fr-FR"/>
              </w:rPr>
            </w:pPr>
            <w:r>
              <w:rPr>
                <w:u w:val="single"/>
                <w:lang w:val="fr-FR"/>
              </w:rPr>
              <w:t xml:space="preserve">Critère </w:t>
            </w:r>
            <w:r w:rsidR="00F77672" w:rsidRPr="008C5273">
              <w:rPr>
                <w:u w:val="single"/>
                <w:lang w:val="fr-FR"/>
              </w:rPr>
              <w:t>1.1:</w:t>
            </w:r>
            <w:r w:rsidR="00F77672" w:rsidRPr="00F77672">
              <w:rPr>
                <w:lang w:val="fr-FR"/>
              </w:rPr>
              <w:t xml:space="preserve"> Diplôme universitaire dans le domaine pertinent au présent TDR</w:t>
            </w:r>
            <w:r w:rsidR="00A97D2F">
              <w:rPr>
                <w:lang w:val="fr-FR"/>
              </w:rPr>
              <w:t>s</w:t>
            </w:r>
          </w:p>
        </w:tc>
        <w:tc>
          <w:tcPr>
            <w:tcW w:w="5103" w:type="dxa"/>
          </w:tcPr>
          <w:p w:rsidR="00F77672" w:rsidRDefault="00F77672" w:rsidP="005C2DD2">
            <w:pPr>
              <w:jc w:val="lowKashida"/>
              <w:rPr>
                <w:lang w:val="fr-FR"/>
              </w:rPr>
            </w:pPr>
            <w:r>
              <w:sym w:font="Symbol" w:char="F0B7"/>
            </w:r>
            <w:r w:rsidRPr="00F77672">
              <w:rPr>
                <w:lang w:val="fr-FR"/>
              </w:rPr>
              <w:t xml:space="preserve">Bac+4 en sciences </w:t>
            </w:r>
            <w:r w:rsidR="005C2DD2">
              <w:rPr>
                <w:lang w:val="fr-FR"/>
              </w:rPr>
              <w:t>de l’environnement ou traitement et valorisation de déchets,</w:t>
            </w:r>
            <w:r w:rsidRPr="00F77672">
              <w:rPr>
                <w:lang w:val="fr-FR"/>
              </w:rPr>
              <w:t xml:space="preserve"> </w:t>
            </w:r>
            <w:r w:rsidR="005C2DD2">
              <w:rPr>
                <w:lang w:val="fr-FR"/>
              </w:rPr>
              <w:t>gestion de ressources naturelles, ou en droit de l’environnement : 10 points</w:t>
            </w:r>
          </w:p>
          <w:p w:rsidR="008E09B0" w:rsidRDefault="00F77672" w:rsidP="005C2DD2">
            <w:pPr>
              <w:jc w:val="lowKashida"/>
              <w:rPr>
                <w:b/>
                <w:bCs/>
                <w:sz w:val="26"/>
                <w:szCs w:val="26"/>
                <w:lang w:val="fr-FR"/>
              </w:rPr>
            </w:pPr>
            <w:r>
              <w:sym w:font="Symbol" w:char="F0B7"/>
            </w:r>
            <w:r w:rsidRPr="00F77672">
              <w:rPr>
                <w:lang w:val="fr-FR"/>
              </w:rPr>
              <w:t xml:space="preserve"> Bac+4 en autre domaine: 5 points</w:t>
            </w:r>
          </w:p>
        </w:tc>
        <w:tc>
          <w:tcPr>
            <w:tcW w:w="1025" w:type="dxa"/>
          </w:tcPr>
          <w:p w:rsidR="005C2DD2" w:rsidRDefault="005C2DD2" w:rsidP="00A97D2F">
            <w:pPr>
              <w:jc w:val="center"/>
              <w:rPr>
                <w:b/>
                <w:bCs/>
                <w:sz w:val="26"/>
                <w:szCs w:val="26"/>
                <w:lang w:val="fr-FR"/>
              </w:rPr>
            </w:pPr>
          </w:p>
          <w:p w:rsidR="008E09B0" w:rsidRDefault="00F77672" w:rsidP="00A97D2F">
            <w:pPr>
              <w:jc w:val="center"/>
              <w:rPr>
                <w:b/>
                <w:bCs/>
                <w:sz w:val="26"/>
                <w:szCs w:val="26"/>
                <w:lang w:val="fr-FR"/>
              </w:rPr>
            </w:pPr>
            <w:r>
              <w:rPr>
                <w:b/>
                <w:bCs/>
                <w:sz w:val="26"/>
                <w:szCs w:val="26"/>
                <w:lang w:val="fr-FR"/>
              </w:rPr>
              <w:t>10</w:t>
            </w:r>
          </w:p>
        </w:tc>
      </w:tr>
      <w:tr w:rsidR="008E09B0" w:rsidTr="005C2DD2">
        <w:tc>
          <w:tcPr>
            <w:tcW w:w="3652" w:type="dxa"/>
          </w:tcPr>
          <w:p w:rsidR="008E09B0" w:rsidRPr="00F77672" w:rsidRDefault="00F77672" w:rsidP="003E5FFC">
            <w:pPr>
              <w:jc w:val="lowKashida"/>
              <w:rPr>
                <w:b/>
                <w:bCs/>
                <w:sz w:val="26"/>
                <w:szCs w:val="26"/>
                <w:lang w:val="fr-FR"/>
              </w:rPr>
            </w:pPr>
            <w:r w:rsidRPr="008C5273">
              <w:rPr>
                <w:u w:val="single"/>
                <w:lang w:val="fr-FR"/>
              </w:rPr>
              <w:t>Critère 1.2 :</w:t>
            </w:r>
            <w:r w:rsidRPr="00F77672">
              <w:rPr>
                <w:lang w:val="fr-FR"/>
              </w:rPr>
              <w:t xml:space="preserve"> Formateur en « </w:t>
            </w:r>
            <w:r>
              <w:rPr>
                <w:lang w:val="fr-FR"/>
              </w:rPr>
              <w:t>Droit de l’environnement</w:t>
            </w:r>
            <w:r w:rsidRPr="00F77672">
              <w:rPr>
                <w:lang w:val="fr-FR"/>
              </w:rPr>
              <w:t>» Avoir une expérience spécifique dans le domaine de formation et d'animation d'ateliers sur ces thématiques</w:t>
            </w:r>
          </w:p>
        </w:tc>
        <w:tc>
          <w:tcPr>
            <w:tcW w:w="5103" w:type="dxa"/>
          </w:tcPr>
          <w:p w:rsidR="00F77672" w:rsidRDefault="00F77672" w:rsidP="003E5FFC">
            <w:pPr>
              <w:jc w:val="lowKashida"/>
              <w:rPr>
                <w:lang w:val="fr-FR"/>
              </w:rPr>
            </w:pPr>
            <w:r>
              <w:sym w:font="Symbol" w:char="F0B7"/>
            </w:r>
            <w:r w:rsidRPr="00F77672">
              <w:rPr>
                <w:lang w:val="fr-FR"/>
              </w:rPr>
              <w:t>Moins de 03</w:t>
            </w:r>
            <w:r>
              <w:rPr>
                <w:lang w:val="fr-FR"/>
              </w:rPr>
              <w:t xml:space="preserve"> </w:t>
            </w:r>
            <w:r w:rsidRPr="00F77672">
              <w:rPr>
                <w:lang w:val="fr-FR"/>
              </w:rPr>
              <w:t>sessions de formation : 15 points</w:t>
            </w:r>
          </w:p>
          <w:p w:rsidR="00F77672" w:rsidRDefault="00F77672" w:rsidP="003E5FFC">
            <w:pPr>
              <w:jc w:val="lowKashida"/>
              <w:rPr>
                <w:lang w:val="fr-FR"/>
              </w:rPr>
            </w:pPr>
            <w:r>
              <w:sym w:font="Symbol" w:char="F0B7"/>
            </w:r>
            <w:r w:rsidRPr="00F77672">
              <w:rPr>
                <w:lang w:val="fr-FR"/>
              </w:rPr>
              <w:t xml:space="preserve">  Entre 03 et 05 sessions de formation : 25 points</w:t>
            </w:r>
          </w:p>
          <w:p w:rsidR="008E09B0" w:rsidRDefault="00F77672" w:rsidP="00A97D2F">
            <w:pPr>
              <w:jc w:val="lowKashida"/>
              <w:rPr>
                <w:b/>
                <w:bCs/>
                <w:sz w:val="26"/>
                <w:szCs w:val="26"/>
                <w:lang w:val="fr-FR"/>
              </w:rPr>
            </w:pPr>
            <w:r>
              <w:sym w:font="Symbol" w:char="F0B7"/>
            </w:r>
            <w:r w:rsidRPr="00F77672">
              <w:rPr>
                <w:lang w:val="fr-FR"/>
              </w:rPr>
              <w:t xml:space="preserve">  Au-delà de06 sessions de formation : </w:t>
            </w:r>
            <w:r w:rsidR="00A97D2F">
              <w:rPr>
                <w:lang w:val="fr-FR"/>
              </w:rPr>
              <w:t xml:space="preserve">30 </w:t>
            </w:r>
            <w:r w:rsidRPr="00F77672">
              <w:rPr>
                <w:lang w:val="fr-FR"/>
              </w:rPr>
              <w:t>points</w:t>
            </w:r>
          </w:p>
        </w:tc>
        <w:tc>
          <w:tcPr>
            <w:tcW w:w="1025" w:type="dxa"/>
          </w:tcPr>
          <w:p w:rsidR="005C2DD2" w:rsidRDefault="005C2DD2" w:rsidP="00A97D2F">
            <w:pPr>
              <w:jc w:val="center"/>
              <w:rPr>
                <w:b/>
                <w:bCs/>
                <w:sz w:val="26"/>
                <w:szCs w:val="26"/>
                <w:lang w:val="fr-FR"/>
              </w:rPr>
            </w:pPr>
          </w:p>
          <w:p w:rsidR="008E09B0" w:rsidRDefault="00F77672" w:rsidP="00A97D2F">
            <w:pPr>
              <w:jc w:val="center"/>
              <w:rPr>
                <w:b/>
                <w:bCs/>
                <w:sz w:val="26"/>
                <w:szCs w:val="26"/>
                <w:lang w:val="fr-FR"/>
              </w:rPr>
            </w:pPr>
            <w:r>
              <w:rPr>
                <w:b/>
                <w:bCs/>
                <w:sz w:val="26"/>
                <w:szCs w:val="26"/>
                <w:lang w:val="fr-FR"/>
              </w:rPr>
              <w:t>30</w:t>
            </w:r>
          </w:p>
        </w:tc>
      </w:tr>
      <w:tr w:rsidR="008E09B0" w:rsidTr="005C2DD2">
        <w:tc>
          <w:tcPr>
            <w:tcW w:w="3652" w:type="dxa"/>
          </w:tcPr>
          <w:p w:rsidR="008E09B0" w:rsidRPr="00F77672" w:rsidRDefault="00F77672" w:rsidP="003E5FFC">
            <w:pPr>
              <w:jc w:val="lowKashida"/>
              <w:rPr>
                <w:b/>
                <w:bCs/>
                <w:sz w:val="26"/>
                <w:szCs w:val="26"/>
                <w:lang w:val="fr-FR"/>
              </w:rPr>
            </w:pPr>
            <w:r w:rsidRPr="008C5273">
              <w:rPr>
                <w:u w:val="single"/>
                <w:lang w:val="fr-FR"/>
              </w:rPr>
              <w:t>Critère 1.3 :</w:t>
            </w:r>
            <w:r w:rsidRPr="00F77672">
              <w:rPr>
                <w:lang w:val="fr-FR"/>
              </w:rPr>
              <w:t xml:space="preserve"> Une méthodologie claire, réalisable</w:t>
            </w:r>
            <w:r w:rsidR="00A97D2F">
              <w:rPr>
                <w:lang w:val="fr-FR"/>
              </w:rPr>
              <w:t>.</w:t>
            </w:r>
          </w:p>
        </w:tc>
        <w:tc>
          <w:tcPr>
            <w:tcW w:w="5103" w:type="dxa"/>
          </w:tcPr>
          <w:p w:rsidR="005C2DD2" w:rsidRDefault="005C2DD2" w:rsidP="005C2DD2">
            <w:pPr>
              <w:jc w:val="lowKashida"/>
              <w:rPr>
                <w:lang w:val="fr-FR"/>
              </w:rPr>
            </w:pPr>
            <w:r>
              <w:sym w:font="Symbol" w:char="F0B7"/>
            </w:r>
            <w:r w:rsidRPr="00F77672">
              <w:rPr>
                <w:lang w:val="fr-FR"/>
              </w:rPr>
              <w:t xml:space="preserve">  </w:t>
            </w:r>
            <w:r>
              <w:rPr>
                <w:lang w:val="fr-FR"/>
              </w:rPr>
              <w:t>Excellente</w:t>
            </w:r>
            <w:r w:rsidRPr="00F77672">
              <w:rPr>
                <w:lang w:val="fr-FR"/>
              </w:rPr>
              <w:t xml:space="preserve"> : </w:t>
            </w:r>
            <w:r>
              <w:rPr>
                <w:lang w:val="fr-FR"/>
              </w:rPr>
              <w:t>10</w:t>
            </w:r>
            <w:r w:rsidRPr="00F77672">
              <w:rPr>
                <w:lang w:val="fr-FR"/>
              </w:rPr>
              <w:t xml:space="preserve"> points</w:t>
            </w:r>
          </w:p>
          <w:p w:rsidR="008E09B0" w:rsidRDefault="005C2DD2" w:rsidP="005C2DD2">
            <w:pPr>
              <w:jc w:val="lowKashida"/>
              <w:rPr>
                <w:b/>
                <w:bCs/>
                <w:sz w:val="26"/>
                <w:szCs w:val="26"/>
                <w:lang w:val="fr-FR"/>
              </w:rPr>
            </w:pPr>
            <w:r>
              <w:sym w:font="Symbol" w:char="F0B7"/>
            </w:r>
            <w:r w:rsidRPr="00F77672">
              <w:rPr>
                <w:lang w:val="fr-FR"/>
              </w:rPr>
              <w:t xml:space="preserve">  </w:t>
            </w:r>
            <w:r>
              <w:rPr>
                <w:lang w:val="fr-FR"/>
              </w:rPr>
              <w:t>Passable</w:t>
            </w:r>
            <w:r w:rsidRPr="00F77672">
              <w:rPr>
                <w:lang w:val="fr-FR"/>
              </w:rPr>
              <w:t xml:space="preserve"> : </w:t>
            </w:r>
            <w:r>
              <w:rPr>
                <w:lang w:val="fr-FR"/>
              </w:rPr>
              <w:t xml:space="preserve">5 </w:t>
            </w:r>
            <w:r w:rsidRPr="00F77672">
              <w:rPr>
                <w:lang w:val="fr-FR"/>
              </w:rPr>
              <w:t>points</w:t>
            </w:r>
          </w:p>
        </w:tc>
        <w:tc>
          <w:tcPr>
            <w:tcW w:w="1025" w:type="dxa"/>
          </w:tcPr>
          <w:p w:rsidR="008E09B0" w:rsidRDefault="00F77672" w:rsidP="00A97D2F">
            <w:pPr>
              <w:jc w:val="center"/>
              <w:rPr>
                <w:b/>
                <w:bCs/>
                <w:sz w:val="26"/>
                <w:szCs w:val="26"/>
                <w:lang w:val="fr-FR"/>
              </w:rPr>
            </w:pPr>
            <w:r>
              <w:rPr>
                <w:b/>
                <w:bCs/>
                <w:sz w:val="26"/>
                <w:szCs w:val="26"/>
                <w:lang w:val="fr-FR"/>
              </w:rPr>
              <w:t>10</w:t>
            </w:r>
          </w:p>
        </w:tc>
      </w:tr>
      <w:tr w:rsidR="008E09B0" w:rsidTr="005C2950">
        <w:tc>
          <w:tcPr>
            <w:tcW w:w="9780" w:type="dxa"/>
            <w:gridSpan w:val="3"/>
          </w:tcPr>
          <w:p w:rsidR="008E09B0" w:rsidRPr="008C5273" w:rsidRDefault="00F77672" w:rsidP="00A97D2F">
            <w:pPr>
              <w:jc w:val="center"/>
              <w:rPr>
                <w:b/>
                <w:bCs/>
                <w:sz w:val="26"/>
                <w:szCs w:val="26"/>
                <w:lang w:val="fr-FR"/>
              </w:rPr>
            </w:pPr>
            <w:r w:rsidRPr="008C5273">
              <w:rPr>
                <w:b/>
                <w:bCs/>
                <w:lang w:val="fr-FR"/>
              </w:rPr>
              <w:t>2-Formation en entreprenariat</w:t>
            </w:r>
          </w:p>
        </w:tc>
      </w:tr>
      <w:tr w:rsidR="008E09B0" w:rsidTr="005C2DD2">
        <w:tc>
          <w:tcPr>
            <w:tcW w:w="3652" w:type="dxa"/>
          </w:tcPr>
          <w:p w:rsidR="008E09B0" w:rsidRPr="008C5273" w:rsidRDefault="008C5273" w:rsidP="00A97D2F">
            <w:pPr>
              <w:jc w:val="lowKashida"/>
              <w:rPr>
                <w:b/>
                <w:bCs/>
                <w:sz w:val="26"/>
                <w:szCs w:val="26"/>
                <w:lang w:val="fr-FR"/>
              </w:rPr>
            </w:pPr>
            <w:r w:rsidRPr="008C5273">
              <w:rPr>
                <w:u w:val="single"/>
                <w:lang w:val="fr-FR"/>
              </w:rPr>
              <w:t>Critère 2.1:</w:t>
            </w:r>
            <w:r w:rsidRPr="008C5273">
              <w:rPr>
                <w:lang w:val="fr-FR"/>
              </w:rPr>
              <w:t xml:space="preserve"> Diplôme universitaire dans le domaine pertinent au présent </w:t>
            </w:r>
            <w:r w:rsidR="00A97D2F">
              <w:rPr>
                <w:lang w:val="fr-FR"/>
              </w:rPr>
              <w:t>TDRs</w:t>
            </w:r>
          </w:p>
        </w:tc>
        <w:tc>
          <w:tcPr>
            <w:tcW w:w="5103" w:type="dxa"/>
          </w:tcPr>
          <w:p w:rsidR="008C5273" w:rsidRDefault="008C5273" w:rsidP="00A97D2F">
            <w:pPr>
              <w:jc w:val="lowKashida"/>
              <w:rPr>
                <w:lang w:val="fr-FR"/>
              </w:rPr>
            </w:pPr>
            <w:r>
              <w:sym w:font="Symbol" w:char="F0B7"/>
            </w:r>
            <w:r w:rsidRPr="008C5273">
              <w:rPr>
                <w:lang w:val="fr-FR"/>
              </w:rPr>
              <w:t>Bac+4 en sciences</w:t>
            </w:r>
            <w:r w:rsidR="00A97D2F">
              <w:rPr>
                <w:lang w:val="fr-FR"/>
              </w:rPr>
              <w:t xml:space="preserve"> économiques, développement et management des projets </w:t>
            </w:r>
            <w:r w:rsidRPr="008C5273">
              <w:rPr>
                <w:lang w:val="fr-FR"/>
              </w:rPr>
              <w:t xml:space="preserve">: 10 points  </w:t>
            </w:r>
          </w:p>
          <w:p w:rsidR="008E09B0" w:rsidRDefault="008C5273" w:rsidP="003E5FFC">
            <w:pPr>
              <w:jc w:val="lowKashida"/>
              <w:rPr>
                <w:b/>
                <w:bCs/>
                <w:sz w:val="26"/>
                <w:szCs w:val="26"/>
                <w:lang w:val="fr-FR"/>
              </w:rPr>
            </w:pPr>
            <w:r>
              <w:sym w:font="Symbol" w:char="F0B7"/>
            </w:r>
            <w:r w:rsidRPr="008C5273">
              <w:rPr>
                <w:lang w:val="fr-FR"/>
              </w:rPr>
              <w:t>Bac+4 en autre domaine: 5 points</w:t>
            </w:r>
          </w:p>
        </w:tc>
        <w:tc>
          <w:tcPr>
            <w:tcW w:w="1025" w:type="dxa"/>
          </w:tcPr>
          <w:p w:rsidR="008E09B0" w:rsidRDefault="00F77672" w:rsidP="00A97D2F">
            <w:pPr>
              <w:jc w:val="center"/>
              <w:rPr>
                <w:b/>
                <w:bCs/>
                <w:sz w:val="26"/>
                <w:szCs w:val="26"/>
                <w:lang w:val="fr-FR"/>
              </w:rPr>
            </w:pPr>
            <w:r>
              <w:rPr>
                <w:b/>
                <w:bCs/>
                <w:sz w:val="26"/>
                <w:szCs w:val="26"/>
                <w:lang w:val="fr-FR"/>
              </w:rPr>
              <w:t>10</w:t>
            </w:r>
          </w:p>
        </w:tc>
      </w:tr>
      <w:tr w:rsidR="008E09B0" w:rsidTr="005C2DD2">
        <w:tc>
          <w:tcPr>
            <w:tcW w:w="3652" w:type="dxa"/>
          </w:tcPr>
          <w:p w:rsidR="008E09B0" w:rsidRPr="008C5273" w:rsidRDefault="008C5273" w:rsidP="00A97D2F">
            <w:pPr>
              <w:jc w:val="lowKashida"/>
              <w:rPr>
                <w:b/>
                <w:bCs/>
                <w:sz w:val="26"/>
                <w:szCs w:val="26"/>
                <w:lang w:val="fr-FR"/>
              </w:rPr>
            </w:pPr>
            <w:r w:rsidRPr="008C5273">
              <w:rPr>
                <w:u w:val="single"/>
                <w:lang w:val="fr-FR"/>
              </w:rPr>
              <w:t>Critère 2.2</w:t>
            </w:r>
            <w:r w:rsidRPr="008C5273">
              <w:rPr>
                <w:lang w:val="fr-FR"/>
              </w:rPr>
              <w:t xml:space="preserve"> : Formateur en</w:t>
            </w:r>
            <w:r w:rsidR="00A97D2F">
              <w:rPr>
                <w:lang w:val="fr-FR"/>
              </w:rPr>
              <w:t xml:space="preserve">              </w:t>
            </w:r>
            <w:r w:rsidRPr="008C5273">
              <w:rPr>
                <w:lang w:val="fr-FR"/>
              </w:rPr>
              <w:t xml:space="preserve"> « </w:t>
            </w:r>
            <w:r w:rsidR="00A97D2F">
              <w:rPr>
                <w:lang w:val="fr-FR"/>
              </w:rPr>
              <w:t xml:space="preserve">Entrepreneuriat </w:t>
            </w:r>
            <w:r w:rsidRPr="008C5273">
              <w:rPr>
                <w:lang w:val="fr-FR"/>
              </w:rPr>
              <w:t>» Avoir une expérience spécifique dans le domaine de formation et d'animation d'ateliers dans cette thématique</w:t>
            </w:r>
          </w:p>
        </w:tc>
        <w:tc>
          <w:tcPr>
            <w:tcW w:w="5103" w:type="dxa"/>
          </w:tcPr>
          <w:p w:rsidR="008C5273" w:rsidRDefault="008C5273" w:rsidP="003E5FFC">
            <w:pPr>
              <w:jc w:val="lowKashida"/>
              <w:rPr>
                <w:lang w:val="fr-FR"/>
              </w:rPr>
            </w:pPr>
            <w:r>
              <w:sym w:font="Symbol" w:char="F0B7"/>
            </w:r>
            <w:r w:rsidRPr="008C5273">
              <w:rPr>
                <w:lang w:val="fr-FR"/>
              </w:rPr>
              <w:t>Moins de 03sessions de formation : 15 points</w:t>
            </w:r>
          </w:p>
          <w:p w:rsidR="008C5273" w:rsidRDefault="008C5273" w:rsidP="003E5FFC">
            <w:pPr>
              <w:jc w:val="lowKashida"/>
              <w:rPr>
                <w:lang w:val="fr-FR"/>
              </w:rPr>
            </w:pPr>
            <w:r>
              <w:sym w:font="Symbol" w:char="F0B7"/>
            </w:r>
            <w:r w:rsidRPr="008C5273">
              <w:rPr>
                <w:lang w:val="fr-FR"/>
              </w:rPr>
              <w:t xml:space="preserve">  Entre 03 et 05 sessions de formation : 25 points</w:t>
            </w:r>
          </w:p>
          <w:p w:rsidR="008E09B0" w:rsidRDefault="008C5273" w:rsidP="00A97D2F">
            <w:pPr>
              <w:jc w:val="lowKashida"/>
              <w:rPr>
                <w:b/>
                <w:bCs/>
                <w:sz w:val="26"/>
                <w:szCs w:val="26"/>
                <w:lang w:val="fr-FR"/>
              </w:rPr>
            </w:pPr>
            <w:r>
              <w:sym w:font="Symbol" w:char="F0B7"/>
            </w:r>
            <w:r w:rsidRPr="008C5273">
              <w:rPr>
                <w:lang w:val="fr-FR"/>
              </w:rPr>
              <w:t xml:space="preserve">  Au-delà de06 sessions de formation : </w:t>
            </w:r>
            <w:r w:rsidR="00A97D2F">
              <w:rPr>
                <w:lang w:val="fr-FR"/>
              </w:rPr>
              <w:t>30</w:t>
            </w:r>
            <w:r w:rsidRPr="008C5273">
              <w:rPr>
                <w:lang w:val="fr-FR"/>
              </w:rPr>
              <w:t xml:space="preserve"> points</w:t>
            </w:r>
          </w:p>
        </w:tc>
        <w:tc>
          <w:tcPr>
            <w:tcW w:w="1025" w:type="dxa"/>
          </w:tcPr>
          <w:p w:rsidR="00A97D2F" w:rsidRDefault="00A97D2F" w:rsidP="00A97D2F">
            <w:pPr>
              <w:jc w:val="center"/>
              <w:rPr>
                <w:b/>
                <w:bCs/>
                <w:sz w:val="26"/>
                <w:szCs w:val="26"/>
                <w:lang w:val="fr-FR"/>
              </w:rPr>
            </w:pPr>
          </w:p>
          <w:p w:rsidR="00A97D2F" w:rsidRDefault="00A97D2F" w:rsidP="00A97D2F">
            <w:pPr>
              <w:jc w:val="center"/>
              <w:rPr>
                <w:b/>
                <w:bCs/>
                <w:sz w:val="26"/>
                <w:szCs w:val="26"/>
                <w:lang w:val="fr-FR"/>
              </w:rPr>
            </w:pPr>
          </w:p>
          <w:p w:rsidR="008E09B0" w:rsidRDefault="008C5273" w:rsidP="00A97D2F">
            <w:pPr>
              <w:jc w:val="center"/>
              <w:rPr>
                <w:b/>
                <w:bCs/>
                <w:sz w:val="26"/>
                <w:szCs w:val="26"/>
                <w:lang w:val="fr-FR"/>
              </w:rPr>
            </w:pPr>
            <w:r>
              <w:rPr>
                <w:b/>
                <w:bCs/>
                <w:sz w:val="26"/>
                <w:szCs w:val="26"/>
                <w:lang w:val="fr-FR"/>
              </w:rPr>
              <w:t>30</w:t>
            </w:r>
          </w:p>
        </w:tc>
      </w:tr>
      <w:tr w:rsidR="008E09B0" w:rsidTr="005C2DD2">
        <w:tc>
          <w:tcPr>
            <w:tcW w:w="3652" w:type="dxa"/>
          </w:tcPr>
          <w:p w:rsidR="008E09B0" w:rsidRPr="008C5273" w:rsidRDefault="008C5273" w:rsidP="00A97D2F">
            <w:pPr>
              <w:jc w:val="lowKashida"/>
              <w:rPr>
                <w:b/>
                <w:bCs/>
                <w:sz w:val="26"/>
                <w:szCs w:val="26"/>
                <w:lang w:val="fr-FR"/>
              </w:rPr>
            </w:pPr>
            <w:r w:rsidRPr="008C5273">
              <w:rPr>
                <w:u w:val="single"/>
                <w:lang w:val="fr-FR"/>
              </w:rPr>
              <w:t>Critère 2.3 :</w:t>
            </w:r>
            <w:r w:rsidRPr="008C5273">
              <w:rPr>
                <w:lang w:val="fr-FR"/>
              </w:rPr>
              <w:t xml:space="preserve"> Une méthodologie claire, réalisable </w:t>
            </w:r>
          </w:p>
        </w:tc>
        <w:tc>
          <w:tcPr>
            <w:tcW w:w="5103" w:type="dxa"/>
          </w:tcPr>
          <w:p w:rsidR="00A97D2F" w:rsidRDefault="00A97D2F" w:rsidP="00A97D2F">
            <w:pPr>
              <w:jc w:val="lowKashida"/>
              <w:rPr>
                <w:lang w:val="fr-FR"/>
              </w:rPr>
            </w:pPr>
            <w:r>
              <w:sym w:font="Symbol" w:char="F0B7"/>
            </w:r>
            <w:r>
              <w:rPr>
                <w:lang w:val="fr-FR"/>
              </w:rPr>
              <w:t>Excellente</w:t>
            </w:r>
            <w:r w:rsidRPr="00F77672">
              <w:rPr>
                <w:lang w:val="fr-FR"/>
              </w:rPr>
              <w:t xml:space="preserve"> : </w:t>
            </w:r>
            <w:r>
              <w:rPr>
                <w:lang w:val="fr-FR"/>
              </w:rPr>
              <w:t>10</w:t>
            </w:r>
            <w:r w:rsidRPr="00F77672">
              <w:rPr>
                <w:lang w:val="fr-FR"/>
              </w:rPr>
              <w:t xml:space="preserve"> points</w:t>
            </w:r>
          </w:p>
          <w:p w:rsidR="008E09B0" w:rsidRDefault="00A97D2F" w:rsidP="00A97D2F">
            <w:pPr>
              <w:jc w:val="lowKashida"/>
              <w:rPr>
                <w:b/>
                <w:bCs/>
                <w:sz w:val="26"/>
                <w:szCs w:val="26"/>
                <w:lang w:val="fr-FR"/>
              </w:rPr>
            </w:pPr>
            <w:r>
              <w:sym w:font="Symbol" w:char="F0B7"/>
            </w:r>
            <w:r w:rsidRPr="00F77672">
              <w:rPr>
                <w:lang w:val="fr-FR"/>
              </w:rPr>
              <w:t xml:space="preserve">  </w:t>
            </w:r>
            <w:r>
              <w:rPr>
                <w:lang w:val="fr-FR"/>
              </w:rPr>
              <w:t>Passable</w:t>
            </w:r>
            <w:r w:rsidRPr="00F77672">
              <w:rPr>
                <w:lang w:val="fr-FR"/>
              </w:rPr>
              <w:t xml:space="preserve"> : </w:t>
            </w:r>
            <w:r>
              <w:rPr>
                <w:lang w:val="fr-FR"/>
              </w:rPr>
              <w:t xml:space="preserve">5 </w:t>
            </w:r>
            <w:r w:rsidRPr="00F77672">
              <w:rPr>
                <w:lang w:val="fr-FR"/>
              </w:rPr>
              <w:t>points</w:t>
            </w:r>
          </w:p>
        </w:tc>
        <w:tc>
          <w:tcPr>
            <w:tcW w:w="1025" w:type="dxa"/>
          </w:tcPr>
          <w:p w:rsidR="008E09B0" w:rsidRDefault="008C5273" w:rsidP="00A97D2F">
            <w:pPr>
              <w:jc w:val="center"/>
              <w:rPr>
                <w:b/>
                <w:bCs/>
                <w:sz w:val="26"/>
                <w:szCs w:val="26"/>
                <w:lang w:val="fr-FR"/>
              </w:rPr>
            </w:pPr>
            <w:r>
              <w:rPr>
                <w:b/>
                <w:bCs/>
                <w:sz w:val="26"/>
                <w:szCs w:val="26"/>
                <w:lang w:val="fr-FR"/>
              </w:rPr>
              <w:t>10</w:t>
            </w:r>
          </w:p>
        </w:tc>
      </w:tr>
      <w:tr w:rsidR="008C5273" w:rsidTr="003E5FFC">
        <w:tc>
          <w:tcPr>
            <w:tcW w:w="8755" w:type="dxa"/>
            <w:gridSpan w:val="2"/>
          </w:tcPr>
          <w:p w:rsidR="008C5273" w:rsidRPr="008C5273" w:rsidRDefault="008C5273" w:rsidP="003E5FFC">
            <w:pPr>
              <w:jc w:val="lowKashida"/>
              <w:rPr>
                <w:b/>
                <w:bCs/>
                <w:sz w:val="26"/>
                <w:szCs w:val="26"/>
                <w:lang w:val="fr-FR"/>
              </w:rPr>
            </w:pPr>
            <w:r w:rsidRPr="008C5273">
              <w:rPr>
                <w:b/>
                <w:bCs/>
              </w:rPr>
              <w:t>Score «Technique»</w:t>
            </w:r>
          </w:p>
        </w:tc>
        <w:tc>
          <w:tcPr>
            <w:tcW w:w="1025" w:type="dxa"/>
          </w:tcPr>
          <w:p w:rsidR="008C5273" w:rsidRDefault="008C5273" w:rsidP="00A97D2F">
            <w:pPr>
              <w:jc w:val="center"/>
              <w:rPr>
                <w:b/>
                <w:bCs/>
                <w:sz w:val="26"/>
                <w:szCs w:val="26"/>
                <w:lang w:val="fr-FR"/>
              </w:rPr>
            </w:pPr>
            <w:r>
              <w:rPr>
                <w:b/>
                <w:bCs/>
                <w:sz w:val="26"/>
                <w:szCs w:val="26"/>
                <w:lang w:val="fr-FR"/>
              </w:rPr>
              <w:t>100</w:t>
            </w:r>
          </w:p>
        </w:tc>
      </w:tr>
      <w:tr w:rsidR="00F77672" w:rsidTr="00A97D2F">
        <w:tc>
          <w:tcPr>
            <w:tcW w:w="9780" w:type="dxa"/>
            <w:gridSpan w:val="3"/>
            <w:shd w:val="clear" w:color="auto" w:fill="DBC105" w:themeFill="accent4" w:themeFillShade="BF"/>
          </w:tcPr>
          <w:p w:rsidR="00F77672" w:rsidRDefault="005C2950" w:rsidP="003E5FFC">
            <w:pPr>
              <w:jc w:val="lowKashida"/>
              <w:rPr>
                <w:b/>
                <w:bCs/>
                <w:sz w:val="26"/>
                <w:szCs w:val="26"/>
                <w:lang w:val="fr-FR"/>
              </w:rPr>
            </w:pPr>
            <w:r w:rsidRPr="00A97D2F">
              <w:rPr>
                <w:b/>
                <w:bCs/>
                <w:sz w:val="26"/>
                <w:szCs w:val="26"/>
                <w:lang w:val="fr-FR"/>
              </w:rPr>
              <w:t>Financier (30%)</w:t>
            </w:r>
            <w:r w:rsidR="00A97D2F" w:rsidRPr="00A97D2F">
              <w:rPr>
                <w:b/>
                <w:bCs/>
                <w:sz w:val="26"/>
                <w:szCs w:val="26"/>
                <w:lang w:val="fr-FR"/>
              </w:rPr>
              <w:t xml:space="preserve"> </w:t>
            </w:r>
          </w:p>
        </w:tc>
      </w:tr>
      <w:tr w:rsidR="008E09B0" w:rsidTr="005C2DD2">
        <w:tc>
          <w:tcPr>
            <w:tcW w:w="3652" w:type="dxa"/>
          </w:tcPr>
          <w:p w:rsidR="008E09B0" w:rsidRPr="005C2950" w:rsidRDefault="005C2950" w:rsidP="003E5FFC">
            <w:pPr>
              <w:jc w:val="lowKashida"/>
              <w:rPr>
                <w:b/>
                <w:bCs/>
                <w:sz w:val="26"/>
                <w:szCs w:val="26"/>
                <w:lang w:val="fr-FR"/>
              </w:rPr>
            </w:pPr>
            <w:r w:rsidRPr="005C2950">
              <w:rPr>
                <w:lang w:val="fr-FR"/>
              </w:rPr>
              <w:t>L'offre la moins disante (avec un ordre décroissant de 10 points pour le suivant et ainsi de suite)</w:t>
            </w:r>
          </w:p>
        </w:tc>
        <w:tc>
          <w:tcPr>
            <w:tcW w:w="5103" w:type="dxa"/>
          </w:tcPr>
          <w:p w:rsidR="008E09B0" w:rsidRDefault="008E09B0" w:rsidP="003E5FFC">
            <w:pPr>
              <w:jc w:val="lowKashida"/>
              <w:rPr>
                <w:b/>
                <w:bCs/>
                <w:sz w:val="26"/>
                <w:szCs w:val="26"/>
                <w:lang w:val="fr-FR"/>
              </w:rPr>
            </w:pPr>
          </w:p>
        </w:tc>
        <w:tc>
          <w:tcPr>
            <w:tcW w:w="1025" w:type="dxa"/>
          </w:tcPr>
          <w:p w:rsidR="008E09B0" w:rsidRDefault="005C2950" w:rsidP="00A97D2F">
            <w:pPr>
              <w:jc w:val="center"/>
              <w:rPr>
                <w:b/>
                <w:bCs/>
                <w:sz w:val="26"/>
                <w:szCs w:val="26"/>
                <w:lang w:val="fr-FR"/>
              </w:rPr>
            </w:pPr>
            <w:r>
              <w:rPr>
                <w:b/>
                <w:bCs/>
                <w:sz w:val="26"/>
                <w:szCs w:val="26"/>
                <w:lang w:val="fr-FR"/>
              </w:rPr>
              <w:t>100</w:t>
            </w:r>
          </w:p>
        </w:tc>
      </w:tr>
      <w:tr w:rsidR="005C2950" w:rsidTr="003E5FFC">
        <w:tc>
          <w:tcPr>
            <w:tcW w:w="8755" w:type="dxa"/>
            <w:gridSpan w:val="2"/>
          </w:tcPr>
          <w:p w:rsidR="005C2950" w:rsidRPr="005C2950" w:rsidRDefault="005C2950" w:rsidP="003E5FFC">
            <w:pPr>
              <w:jc w:val="lowKashida"/>
              <w:rPr>
                <w:b/>
                <w:bCs/>
                <w:sz w:val="26"/>
                <w:szCs w:val="26"/>
                <w:lang w:val="fr-FR"/>
              </w:rPr>
            </w:pPr>
            <w:r w:rsidRPr="005C2950">
              <w:rPr>
                <w:b/>
                <w:bCs/>
              </w:rPr>
              <w:t>Score financier</w:t>
            </w:r>
          </w:p>
        </w:tc>
        <w:tc>
          <w:tcPr>
            <w:tcW w:w="1025" w:type="dxa"/>
          </w:tcPr>
          <w:p w:rsidR="005C2950" w:rsidRPr="005C2950" w:rsidRDefault="005C2950" w:rsidP="00A97D2F">
            <w:pPr>
              <w:jc w:val="center"/>
              <w:rPr>
                <w:b/>
                <w:bCs/>
                <w:sz w:val="26"/>
                <w:szCs w:val="26"/>
                <w:lang w:val="fr-FR"/>
              </w:rPr>
            </w:pPr>
            <w:r>
              <w:rPr>
                <w:b/>
                <w:bCs/>
                <w:sz w:val="26"/>
                <w:szCs w:val="26"/>
                <w:lang w:val="fr-FR"/>
              </w:rPr>
              <w:t>100</w:t>
            </w:r>
          </w:p>
        </w:tc>
      </w:tr>
      <w:tr w:rsidR="00DF2E36" w:rsidRPr="003B4804" w:rsidTr="00E979B2">
        <w:tc>
          <w:tcPr>
            <w:tcW w:w="9780" w:type="dxa"/>
            <w:gridSpan w:val="3"/>
          </w:tcPr>
          <w:p w:rsidR="00DF2E36" w:rsidRDefault="00DF2E36" w:rsidP="001332ED">
            <w:pPr>
              <w:jc w:val="lowKashida"/>
              <w:rPr>
                <w:b/>
                <w:bCs/>
                <w:sz w:val="26"/>
                <w:szCs w:val="26"/>
                <w:lang w:val="fr-FR"/>
              </w:rPr>
            </w:pPr>
            <w:r w:rsidRPr="005C2950">
              <w:rPr>
                <w:lang w:val="fr-FR"/>
              </w:rPr>
              <w:t>Score Total (Score Technique +0.7+ Score Financier 0</w:t>
            </w:r>
            <w:r w:rsidR="001332ED">
              <w:rPr>
                <w:lang w:val="fr-FR"/>
              </w:rPr>
              <w:t>,</w:t>
            </w:r>
            <w:r w:rsidRPr="005C2950">
              <w:rPr>
                <w:lang w:val="fr-FR"/>
              </w:rPr>
              <w:t>3</w:t>
            </w:r>
            <w:r w:rsidR="001332ED">
              <w:rPr>
                <w:lang w:val="fr-FR"/>
              </w:rPr>
              <w:t xml:space="preserve"> </w:t>
            </w:r>
            <w:r w:rsidRPr="005C2950">
              <w:rPr>
                <w:lang w:val="fr-FR"/>
              </w:rPr>
              <w:t xml:space="preserve"> soit 70 points pour le score technique et 30 points pour le score financier)</w:t>
            </w:r>
          </w:p>
        </w:tc>
      </w:tr>
    </w:tbl>
    <w:p w:rsidR="00CB59AD" w:rsidRPr="00BE53F8" w:rsidRDefault="00CB59AD" w:rsidP="003666D0">
      <w:pPr>
        <w:spacing w:line="276" w:lineRule="auto"/>
        <w:jc w:val="lowKashida"/>
        <w:rPr>
          <w:b/>
          <w:bCs/>
          <w:sz w:val="26"/>
          <w:szCs w:val="26"/>
          <w:lang w:val="fr-FR"/>
        </w:rPr>
      </w:pPr>
    </w:p>
    <w:p w:rsidR="00CB59AD" w:rsidRDefault="00CB59AD" w:rsidP="00CB59AD">
      <w:pPr>
        <w:spacing w:before="240" w:line="276" w:lineRule="auto"/>
        <w:jc w:val="lowKashida"/>
        <w:rPr>
          <w:b/>
          <w:bCs/>
          <w:sz w:val="26"/>
          <w:szCs w:val="26"/>
          <w:lang w:val="fr-FR"/>
        </w:rPr>
      </w:pPr>
    </w:p>
    <w:p w:rsidR="003E5FFC" w:rsidRDefault="003E5FFC" w:rsidP="00CB59AD">
      <w:pPr>
        <w:spacing w:before="240" w:line="276" w:lineRule="auto"/>
        <w:jc w:val="lowKashida"/>
        <w:rPr>
          <w:b/>
          <w:bCs/>
          <w:sz w:val="26"/>
          <w:szCs w:val="26"/>
          <w:lang w:val="fr-FR"/>
        </w:rPr>
      </w:pPr>
    </w:p>
    <w:p w:rsidR="003E5FFC" w:rsidRDefault="003E5FFC" w:rsidP="00CB59AD">
      <w:pPr>
        <w:spacing w:before="240" w:line="276" w:lineRule="auto"/>
        <w:jc w:val="lowKashida"/>
        <w:rPr>
          <w:b/>
          <w:bCs/>
          <w:sz w:val="26"/>
          <w:szCs w:val="26"/>
          <w:lang w:val="fr-FR"/>
        </w:rPr>
      </w:pPr>
    </w:p>
    <w:p w:rsidR="00CB59AD" w:rsidRPr="00CB59AD" w:rsidRDefault="00CB59AD" w:rsidP="00CB59AD">
      <w:pPr>
        <w:spacing w:before="240" w:line="276" w:lineRule="auto"/>
        <w:jc w:val="lowKashida"/>
        <w:rPr>
          <w:b/>
          <w:bCs/>
          <w:sz w:val="26"/>
          <w:szCs w:val="26"/>
          <w:lang w:val="fr-FR"/>
        </w:rPr>
      </w:pPr>
      <w:r>
        <w:rPr>
          <w:b/>
          <w:bCs/>
          <w:sz w:val="26"/>
          <w:szCs w:val="26"/>
          <w:lang w:val="fr-FR"/>
        </w:rPr>
        <w:t xml:space="preserve">Art.9 </w:t>
      </w:r>
      <w:r w:rsidRPr="00CB59AD">
        <w:rPr>
          <w:b/>
          <w:bCs/>
          <w:sz w:val="26"/>
          <w:szCs w:val="26"/>
          <w:lang w:val="fr-FR"/>
        </w:rPr>
        <w:t xml:space="preserve">Modalités de soumission: </w:t>
      </w:r>
    </w:p>
    <w:p w:rsidR="00CB59AD" w:rsidRPr="004368B4" w:rsidRDefault="00CB59AD" w:rsidP="00CB59AD">
      <w:pPr>
        <w:spacing w:before="240" w:line="276" w:lineRule="auto"/>
        <w:jc w:val="both"/>
        <w:rPr>
          <w:lang w:val="fr-FR"/>
        </w:rPr>
      </w:pPr>
      <w:r w:rsidRPr="004368B4">
        <w:rPr>
          <w:lang w:val="fr-FR"/>
        </w:rPr>
        <w:t xml:space="preserve">Les dossiers de candidatures doivent être envoyés par voie postale ou remis directement au bureau d’ordre du </w:t>
      </w:r>
      <w:r>
        <w:rPr>
          <w:lang w:val="fr-FR"/>
        </w:rPr>
        <w:t>l’Union Tunisienne de Solidarité Sociale.</w:t>
      </w:r>
    </w:p>
    <w:p w:rsidR="00CB59AD" w:rsidRPr="004368B4" w:rsidRDefault="00CB59AD" w:rsidP="00CB59AD">
      <w:pPr>
        <w:spacing w:line="276" w:lineRule="auto"/>
        <w:jc w:val="both"/>
        <w:rPr>
          <w:lang w:val="fr-FR"/>
        </w:rPr>
      </w:pPr>
      <w:r w:rsidRPr="004368B4">
        <w:rPr>
          <w:lang w:val="fr-FR"/>
        </w:rPr>
        <w:t>La date et l’heure limites de la réception des  dossiers de candidatures est fixée dans le texte de la consultation, le cachet du bureau d’ordre faisant foi.</w:t>
      </w:r>
    </w:p>
    <w:p w:rsidR="00CB59AD" w:rsidRPr="004368B4" w:rsidRDefault="00CB59AD" w:rsidP="00CB59AD">
      <w:pPr>
        <w:spacing w:line="276" w:lineRule="auto"/>
        <w:jc w:val="both"/>
        <w:rPr>
          <w:lang w:val="fr-FR"/>
        </w:rPr>
      </w:pPr>
      <w:r w:rsidRPr="004368B4">
        <w:rPr>
          <w:lang w:val="fr-FR"/>
        </w:rPr>
        <w:t xml:space="preserve">Les dossiers de candidatures parvenus après la date et l’heure mentionnées ne seront pas pris en considération. </w:t>
      </w:r>
    </w:p>
    <w:p w:rsidR="00CB59AD" w:rsidRDefault="00CB59AD" w:rsidP="00C93834">
      <w:pPr>
        <w:spacing w:before="120" w:after="120" w:line="276" w:lineRule="auto"/>
        <w:jc w:val="both"/>
        <w:rPr>
          <w:lang w:val="fr-FR"/>
        </w:rPr>
      </w:pPr>
      <w:r w:rsidRPr="004368B4">
        <w:rPr>
          <w:lang w:val="fr-FR"/>
        </w:rPr>
        <w:t xml:space="preserve">L’enveloppe doit </w:t>
      </w:r>
      <w:r w:rsidR="00C93834">
        <w:rPr>
          <w:lang w:val="fr-FR"/>
        </w:rPr>
        <w:t xml:space="preserve"> </w:t>
      </w:r>
      <w:r w:rsidR="004B4AD1">
        <w:rPr>
          <w:lang w:val="fr-FR"/>
        </w:rPr>
        <w:t>être</w:t>
      </w:r>
      <w:r w:rsidR="00C93834">
        <w:rPr>
          <w:lang w:val="fr-FR"/>
        </w:rPr>
        <w:t xml:space="preserve"> fermée et portant la mention</w:t>
      </w:r>
      <w:r w:rsidRPr="004368B4">
        <w:rPr>
          <w:lang w:val="fr-FR"/>
        </w:rPr>
        <w:t xml:space="preserve"> : </w:t>
      </w:r>
    </w:p>
    <w:p w:rsidR="00344468" w:rsidRDefault="00344468" w:rsidP="00CB59AD">
      <w:pPr>
        <w:spacing w:before="120" w:after="120" w:line="276" w:lineRule="auto"/>
        <w:jc w:val="center"/>
        <w:rPr>
          <w:b/>
          <w:bCs/>
          <w:lang w:val="fr-FR"/>
        </w:rPr>
      </w:pPr>
      <w:r>
        <w:rPr>
          <w:b/>
          <w:bCs/>
          <w:lang w:val="fr-FR"/>
        </w:rPr>
        <w:t xml:space="preserve"> « A ne pas ouvrir »</w:t>
      </w:r>
    </w:p>
    <w:p w:rsidR="00CB59AD" w:rsidRPr="004368B4" w:rsidRDefault="00C93834" w:rsidP="003B4804">
      <w:pPr>
        <w:spacing w:before="120" w:after="120" w:line="276" w:lineRule="auto"/>
        <w:jc w:val="center"/>
        <w:rPr>
          <w:b/>
          <w:lang w:val="fr-FR"/>
        </w:rPr>
      </w:pPr>
      <w:r>
        <w:rPr>
          <w:b/>
          <w:bCs/>
          <w:lang w:val="fr-FR"/>
        </w:rPr>
        <w:t>Consultation n°</w:t>
      </w:r>
      <w:r w:rsidR="003B4804">
        <w:rPr>
          <w:b/>
          <w:bCs/>
          <w:lang w:val="fr-FR"/>
        </w:rPr>
        <w:t>23</w:t>
      </w:r>
      <w:r w:rsidR="001332ED">
        <w:rPr>
          <w:b/>
          <w:bCs/>
          <w:lang w:val="fr-FR"/>
        </w:rPr>
        <w:t>/2023</w:t>
      </w:r>
      <w:r>
        <w:rPr>
          <w:b/>
          <w:bCs/>
          <w:lang w:val="fr-FR"/>
        </w:rPr>
        <w:t xml:space="preserve"> : </w:t>
      </w:r>
      <w:r w:rsidR="00CB59AD" w:rsidRPr="00DA0766">
        <w:rPr>
          <w:b/>
          <w:bCs/>
          <w:lang w:val="fr-FR"/>
        </w:rPr>
        <w:t xml:space="preserve">Sélection </w:t>
      </w:r>
      <w:r w:rsidR="00344468">
        <w:rPr>
          <w:b/>
          <w:lang w:val="fr-FR"/>
        </w:rPr>
        <w:t xml:space="preserve">d’un </w:t>
      </w:r>
      <w:r w:rsidR="00CB59AD">
        <w:rPr>
          <w:b/>
          <w:lang w:val="fr-FR"/>
        </w:rPr>
        <w:t>bureau de formation</w:t>
      </w:r>
      <w:r w:rsidR="00CB59AD" w:rsidRPr="00DA0766">
        <w:rPr>
          <w:b/>
          <w:lang w:val="fr-FR"/>
        </w:rPr>
        <w:t xml:space="preserve"> pour la réalisation  d’un programme d’appui aux jeunes entrepreneurs dans le domaine de l’entreprenariat et de droit de l’environnement dans les deux gouvernorats de Gabès et Nabeul</w:t>
      </w:r>
      <w:r w:rsidR="00CB59AD">
        <w:rPr>
          <w:b/>
          <w:lang w:val="fr-FR"/>
        </w:rPr>
        <w:t xml:space="preserve">, </w:t>
      </w:r>
      <w:r w:rsidR="00CB59AD" w:rsidRPr="004368B4">
        <w:rPr>
          <w:b/>
          <w:lang w:val="fr-FR"/>
        </w:rPr>
        <w:t>dans le cadre du projet : Re-lancer une nouvelle économie « Re-Né » Ref.C-5-3.1-39  Programme IEV de Coopération Transfrontalière - Italie-Tunisie 2014-2020,</w:t>
      </w:r>
    </w:p>
    <w:p w:rsidR="00CB59AD" w:rsidRDefault="00CB59AD" w:rsidP="00CB59AD">
      <w:pPr>
        <w:spacing w:before="120" w:after="120" w:line="276" w:lineRule="auto"/>
        <w:jc w:val="center"/>
        <w:rPr>
          <w:b/>
          <w:bCs/>
          <w:color w:val="010101"/>
          <w:bdr w:val="none" w:sz="0" w:space="0" w:color="auto" w:frame="1"/>
          <w:lang w:val="fr-FR"/>
        </w:rPr>
      </w:pPr>
      <w:r w:rsidRPr="004368B4">
        <w:rPr>
          <w:lang w:val="fr-FR"/>
        </w:rPr>
        <w:t>et envoyée à l’adresse suivante </w:t>
      </w:r>
      <w:r w:rsidRPr="0037678F">
        <w:rPr>
          <w:lang w:val="fr-FR"/>
        </w:rPr>
        <w:t xml:space="preserve">: </w:t>
      </w:r>
      <w:r w:rsidRPr="008A3AE1">
        <w:rPr>
          <w:b/>
          <w:bCs/>
          <w:lang w:val="fr-FR"/>
        </w:rPr>
        <w:t>Union</w:t>
      </w:r>
      <w:r w:rsidRPr="0037678F">
        <w:rPr>
          <w:b/>
          <w:bCs/>
          <w:color w:val="010101"/>
          <w:bdr w:val="none" w:sz="0" w:space="0" w:color="auto" w:frame="1"/>
          <w:lang w:val="fr-FR"/>
        </w:rPr>
        <w:t xml:space="preserve"> Tunisienne de Solidarité Sociale</w:t>
      </w:r>
      <w:r>
        <w:rPr>
          <w:b/>
          <w:lang w:val="fr-FR"/>
        </w:rPr>
        <w:t xml:space="preserve"> </w:t>
      </w:r>
      <w:r w:rsidRPr="0037678F">
        <w:rPr>
          <w:b/>
          <w:bCs/>
          <w:color w:val="010101"/>
          <w:bdr w:val="none" w:sz="0" w:space="0" w:color="auto" w:frame="1"/>
          <w:lang w:val="fr-FR"/>
        </w:rPr>
        <w:t>:</w:t>
      </w:r>
    </w:p>
    <w:p w:rsidR="00CB59AD" w:rsidRDefault="00CB59AD" w:rsidP="00CB59AD">
      <w:pPr>
        <w:spacing w:before="120" w:after="120" w:line="276" w:lineRule="auto"/>
        <w:jc w:val="center"/>
        <w:rPr>
          <w:b/>
          <w:bCs/>
          <w:color w:val="010101"/>
          <w:bdr w:val="none" w:sz="0" w:space="0" w:color="auto" w:frame="1"/>
          <w:lang w:val="fr-FR"/>
        </w:rPr>
      </w:pPr>
      <w:r>
        <w:rPr>
          <w:b/>
          <w:bCs/>
          <w:color w:val="010101"/>
          <w:bdr w:val="none" w:sz="0" w:space="0" w:color="auto" w:frame="1"/>
          <w:lang w:val="fr-FR"/>
        </w:rPr>
        <w:t>01 Rue de l’assistance Cité El Khadhra Tunis, 1003</w:t>
      </w:r>
    </w:p>
    <w:p w:rsidR="00C93834" w:rsidRDefault="00C93834" w:rsidP="00CB59AD">
      <w:pPr>
        <w:spacing w:line="276" w:lineRule="auto"/>
        <w:jc w:val="lowKashida"/>
        <w:rPr>
          <w:b/>
          <w:bCs/>
          <w:color w:val="010101"/>
          <w:bdr w:val="none" w:sz="0" w:space="0" w:color="auto" w:frame="1"/>
          <w:lang w:val="fr-FR"/>
        </w:rPr>
      </w:pPr>
    </w:p>
    <w:p w:rsidR="00CB59AD" w:rsidRPr="004368B4" w:rsidRDefault="00CB59AD" w:rsidP="00CB59AD">
      <w:pPr>
        <w:spacing w:line="276" w:lineRule="auto"/>
        <w:jc w:val="lowKashida"/>
        <w:rPr>
          <w:b/>
          <w:bCs/>
          <w:sz w:val="26"/>
          <w:szCs w:val="26"/>
          <w:lang w:val="fr-FR"/>
        </w:rPr>
      </w:pPr>
      <w:r>
        <w:rPr>
          <w:b/>
          <w:bCs/>
          <w:sz w:val="26"/>
          <w:szCs w:val="26"/>
          <w:lang w:val="fr-FR"/>
        </w:rPr>
        <w:t>Art.10</w:t>
      </w:r>
      <w:r w:rsidRPr="004368B4">
        <w:rPr>
          <w:b/>
          <w:bCs/>
          <w:sz w:val="26"/>
          <w:szCs w:val="26"/>
          <w:lang w:val="fr-FR"/>
        </w:rPr>
        <w:t xml:space="preserve"> Confidentialité </w:t>
      </w:r>
    </w:p>
    <w:p w:rsidR="00344468" w:rsidRDefault="00CB59AD" w:rsidP="00344468">
      <w:pPr>
        <w:spacing w:line="276" w:lineRule="auto"/>
        <w:jc w:val="lowKashida"/>
        <w:rPr>
          <w:lang w:val="fr-FR"/>
        </w:rPr>
      </w:pPr>
      <w:r w:rsidRPr="004368B4">
        <w:rPr>
          <w:lang w:val="fr-FR"/>
        </w:rPr>
        <w:t xml:space="preserve">Le prestataire est tenu de respecter une stricte confidentialité vis-à-vis des tiers, pour toute information relative à la mission ou collectée à son occasion (aucune reproduction/ diffusion de tous ou parties des rapports de mission n’est admise sans autorisation </w:t>
      </w:r>
      <w:r w:rsidRPr="00D77D19">
        <w:rPr>
          <w:lang w:val="fr-FR"/>
        </w:rPr>
        <w:t>écrite préalable</w:t>
      </w:r>
      <w:r>
        <w:rPr>
          <w:lang w:val="fr-FR"/>
        </w:rPr>
        <w:t xml:space="preserve"> de l’UTSS</w:t>
      </w:r>
      <w:r w:rsidRPr="004368B4">
        <w:rPr>
          <w:lang w:val="fr-FR"/>
        </w:rPr>
        <w:t>. Tout manquement au respect de cette clause entraînera une interruption immédiate de la mission. Cette stricte confidentialité reste de règle, sans limitation, après la fin de mission.</w:t>
      </w:r>
    </w:p>
    <w:p w:rsidR="00344468" w:rsidRPr="0028602F" w:rsidRDefault="00344468" w:rsidP="00344468">
      <w:pPr>
        <w:spacing w:line="276" w:lineRule="auto"/>
        <w:jc w:val="lowKashida"/>
        <w:rPr>
          <w:lang w:val="fr-FR"/>
        </w:rPr>
      </w:pPr>
    </w:p>
    <w:p w:rsidR="00C125D2" w:rsidRDefault="000A7451" w:rsidP="00C93834">
      <w:pPr>
        <w:spacing w:line="276" w:lineRule="auto"/>
        <w:jc w:val="lowKashida"/>
        <w:rPr>
          <w:b/>
          <w:bCs/>
          <w:sz w:val="26"/>
          <w:szCs w:val="26"/>
          <w:lang w:val="fr-FR"/>
        </w:rPr>
      </w:pPr>
      <w:r w:rsidRPr="0028602F">
        <w:rPr>
          <w:b/>
          <w:bCs/>
          <w:sz w:val="26"/>
          <w:szCs w:val="26"/>
          <w:lang w:val="fr-FR"/>
        </w:rPr>
        <w:t>Art.</w:t>
      </w:r>
      <w:r w:rsidR="00C93834">
        <w:rPr>
          <w:b/>
          <w:bCs/>
          <w:sz w:val="26"/>
          <w:szCs w:val="26"/>
          <w:lang w:val="fr-FR"/>
        </w:rPr>
        <w:t>11</w:t>
      </w:r>
      <w:r w:rsidRPr="0028602F">
        <w:rPr>
          <w:b/>
          <w:bCs/>
          <w:sz w:val="26"/>
          <w:szCs w:val="26"/>
          <w:lang w:val="fr-FR"/>
        </w:rPr>
        <w:t xml:space="preserve"> Droit d’enregistrement</w:t>
      </w:r>
      <w:r w:rsidRPr="004368B4">
        <w:rPr>
          <w:b/>
          <w:bCs/>
          <w:sz w:val="26"/>
          <w:szCs w:val="26"/>
          <w:lang w:val="fr-FR"/>
        </w:rPr>
        <w:t xml:space="preserve"> : </w:t>
      </w:r>
    </w:p>
    <w:p w:rsidR="00C254F6" w:rsidRDefault="000A7451" w:rsidP="00344468">
      <w:pPr>
        <w:spacing w:line="276" w:lineRule="auto"/>
        <w:jc w:val="lowKashida"/>
        <w:rPr>
          <w:b/>
          <w:bCs/>
          <w:sz w:val="26"/>
          <w:szCs w:val="26"/>
          <w:lang w:val="fr-FR"/>
        </w:rPr>
      </w:pPr>
      <w:r w:rsidRPr="00C125D2">
        <w:rPr>
          <w:bCs/>
          <w:lang w:val="fr-FR"/>
        </w:rPr>
        <w:t xml:space="preserve">Le droit d’enregistrement du contrat de prestation de services est à la </w:t>
      </w:r>
      <w:r w:rsidRPr="00C125D2">
        <w:rPr>
          <w:bCs/>
          <w:color w:val="000000" w:themeColor="text1"/>
          <w:lang w:val="fr-FR"/>
        </w:rPr>
        <w:t>charge du candidat.</w:t>
      </w:r>
    </w:p>
    <w:p w:rsidR="00344468" w:rsidRDefault="00344468" w:rsidP="00344468">
      <w:pPr>
        <w:spacing w:line="276" w:lineRule="auto"/>
        <w:jc w:val="lowKashida"/>
        <w:rPr>
          <w:b/>
          <w:bCs/>
          <w:sz w:val="26"/>
          <w:szCs w:val="26"/>
          <w:lang w:val="fr-FR"/>
        </w:rPr>
      </w:pPr>
    </w:p>
    <w:p w:rsidR="000A7451" w:rsidRPr="004368B4" w:rsidRDefault="00CB59AD" w:rsidP="00C93834">
      <w:pPr>
        <w:spacing w:after="240" w:line="276" w:lineRule="auto"/>
        <w:jc w:val="lowKashida"/>
        <w:rPr>
          <w:b/>
          <w:bCs/>
          <w:sz w:val="26"/>
          <w:szCs w:val="26"/>
          <w:lang w:val="fr-FR"/>
        </w:rPr>
      </w:pPr>
      <w:r>
        <w:rPr>
          <w:b/>
          <w:bCs/>
          <w:sz w:val="26"/>
          <w:szCs w:val="26"/>
          <w:lang w:val="fr-FR"/>
        </w:rPr>
        <w:t xml:space="preserve">Art. </w:t>
      </w:r>
      <w:r w:rsidR="00C93834">
        <w:rPr>
          <w:b/>
          <w:bCs/>
          <w:sz w:val="26"/>
          <w:szCs w:val="26"/>
          <w:lang w:val="fr-FR"/>
        </w:rPr>
        <w:t>12</w:t>
      </w:r>
      <w:r w:rsidR="000A7451" w:rsidRPr="004368B4">
        <w:rPr>
          <w:b/>
          <w:bCs/>
          <w:sz w:val="26"/>
          <w:szCs w:val="26"/>
          <w:lang w:val="fr-FR"/>
        </w:rPr>
        <w:t xml:space="preserve"> – Publicité :</w:t>
      </w:r>
    </w:p>
    <w:p w:rsidR="000A7451" w:rsidRPr="004368B4" w:rsidRDefault="000A7451" w:rsidP="003666D0">
      <w:pPr>
        <w:pStyle w:val="Corpsdetexte2"/>
        <w:tabs>
          <w:tab w:val="left" w:pos="993"/>
        </w:tabs>
        <w:spacing w:line="276" w:lineRule="auto"/>
        <w:jc w:val="lowKashida"/>
        <w:rPr>
          <w:color w:val="005180" w:themeColor="accent1" w:themeShade="80"/>
          <w:sz w:val="24"/>
          <w:szCs w:val="24"/>
        </w:rPr>
      </w:pPr>
      <w:r w:rsidRPr="004368B4">
        <w:rPr>
          <w:sz w:val="24"/>
          <w:szCs w:val="24"/>
        </w:rPr>
        <w:t xml:space="preserve">Cette consultation sera publiée sur le site de l’UTSS: </w:t>
      </w:r>
      <w:hyperlink r:id="rId7" w:history="1">
        <w:r w:rsidRPr="004368B4">
          <w:rPr>
            <w:rStyle w:val="Lienhypertexte"/>
            <w:color w:val="005180" w:themeColor="accent1" w:themeShade="80"/>
            <w:sz w:val="24"/>
            <w:szCs w:val="24"/>
          </w:rPr>
          <w:t>www.utss.org.tn</w:t>
        </w:r>
      </w:hyperlink>
      <w:r w:rsidRPr="004368B4">
        <w:t xml:space="preserve">, </w:t>
      </w:r>
      <w:r w:rsidRPr="004368B4">
        <w:rPr>
          <w:sz w:val="24"/>
          <w:szCs w:val="24"/>
        </w:rPr>
        <w:t xml:space="preserve">sur la plateforme </w:t>
      </w:r>
      <w:hyperlink r:id="rId8" w:history="1">
        <w:r w:rsidRPr="004368B4">
          <w:rPr>
            <w:rStyle w:val="Lienhypertexte"/>
            <w:color w:val="005180" w:themeColor="accent1" w:themeShade="80"/>
            <w:sz w:val="24"/>
            <w:szCs w:val="24"/>
          </w:rPr>
          <w:t>www.jamaity.org</w:t>
        </w:r>
      </w:hyperlink>
      <w:r w:rsidRPr="004368B4">
        <w:rPr>
          <w:color w:val="005180" w:themeColor="accent1" w:themeShade="80"/>
          <w:sz w:val="24"/>
          <w:szCs w:val="24"/>
        </w:rPr>
        <w:t xml:space="preserve"> </w:t>
      </w:r>
      <w:r w:rsidRPr="004368B4">
        <w:rPr>
          <w:sz w:val="24"/>
          <w:szCs w:val="24"/>
        </w:rPr>
        <w:t xml:space="preserve"> elle sera également diffusée sur le site du</w:t>
      </w:r>
      <w:r w:rsidRPr="004368B4">
        <w:rPr>
          <w:color w:val="0000FF"/>
          <w:sz w:val="23"/>
          <w:szCs w:val="23"/>
          <w:shd w:val="clear" w:color="auto" w:fill="FFFFFF"/>
        </w:rPr>
        <w:t> </w:t>
      </w:r>
      <w:r w:rsidRPr="004368B4">
        <w:rPr>
          <w:sz w:val="24"/>
          <w:szCs w:val="24"/>
        </w:rPr>
        <w:t xml:space="preserve">programme IEV de coopération transfrontalière Italie Tunisie 2014-2020, </w:t>
      </w:r>
      <w:hyperlink r:id="rId9" w:history="1">
        <w:r w:rsidRPr="004368B4">
          <w:rPr>
            <w:rStyle w:val="Lienhypertexte"/>
            <w:color w:val="005180" w:themeColor="accent1" w:themeShade="80"/>
            <w:sz w:val="24"/>
            <w:szCs w:val="24"/>
          </w:rPr>
          <w:t>https://www.italietunisie.eu</w:t>
        </w:r>
      </w:hyperlink>
      <w:r w:rsidRPr="004368B4">
        <w:rPr>
          <w:color w:val="005180" w:themeColor="accent1" w:themeShade="80"/>
          <w:sz w:val="24"/>
          <w:szCs w:val="24"/>
        </w:rPr>
        <w:t>.</w:t>
      </w:r>
    </w:p>
    <w:p w:rsidR="00344468" w:rsidRDefault="00344468" w:rsidP="001F3558">
      <w:pPr>
        <w:pStyle w:val="Corpsdetexte2"/>
        <w:tabs>
          <w:tab w:val="left" w:pos="993"/>
        </w:tabs>
        <w:spacing w:line="240" w:lineRule="auto"/>
        <w:jc w:val="center"/>
        <w:rPr>
          <w:b/>
          <w:bCs/>
          <w:sz w:val="26"/>
          <w:szCs w:val="26"/>
        </w:rPr>
      </w:pPr>
    </w:p>
    <w:p w:rsidR="00344468" w:rsidRDefault="00344468" w:rsidP="001F3558">
      <w:pPr>
        <w:pStyle w:val="Corpsdetexte2"/>
        <w:tabs>
          <w:tab w:val="left" w:pos="993"/>
        </w:tabs>
        <w:spacing w:line="240" w:lineRule="auto"/>
        <w:jc w:val="center"/>
        <w:rPr>
          <w:b/>
          <w:bCs/>
          <w:sz w:val="26"/>
          <w:szCs w:val="26"/>
        </w:rPr>
      </w:pPr>
    </w:p>
    <w:p w:rsidR="00344468" w:rsidRDefault="00344468" w:rsidP="001F3558">
      <w:pPr>
        <w:pStyle w:val="Corpsdetexte2"/>
        <w:tabs>
          <w:tab w:val="left" w:pos="993"/>
        </w:tabs>
        <w:spacing w:line="240" w:lineRule="auto"/>
        <w:jc w:val="center"/>
        <w:rPr>
          <w:b/>
          <w:bCs/>
          <w:sz w:val="26"/>
          <w:szCs w:val="26"/>
        </w:rPr>
      </w:pPr>
    </w:p>
    <w:p w:rsidR="00344468" w:rsidRDefault="00344468" w:rsidP="001F3558">
      <w:pPr>
        <w:pStyle w:val="Corpsdetexte2"/>
        <w:tabs>
          <w:tab w:val="left" w:pos="993"/>
        </w:tabs>
        <w:spacing w:line="240" w:lineRule="auto"/>
        <w:jc w:val="center"/>
        <w:rPr>
          <w:b/>
          <w:bCs/>
          <w:sz w:val="26"/>
          <w:szCs w:val="26"/>
        </w:rPr>
      </w:pPr>
    </w:p>
    <w:p w:rsidR="001F3558" w:rsidRPr="004368B4" w:rsidRDefault="001F3558" w:rsidP="001F3558">
      <w:pPr>
        <w:pStyle w:val="Corpsdetexte2"/>
        <w:tabs>
          <w:tab w:val="left" w:pos="993"/>
        </w:tabs>
        <w:spacing w:line="240" w:lineRule="auto"/>
        <w:jc w:val="center"/>
        <w:rPr>
          <w:b/>
          <w:bCs/>
          <w:sz w:val="26"/>
          <w:szCs w:val="26"/>
        </w:rPr>
      </w:pPr>
      <w:r w:rsidRPr="004368B4">
        <w:rPr>
          <w:b/>
          <w:bCs/>
          <w:sz w:val="26"/>
          <w:szCs w:val="26"/>
        </w:rPr>
        <w:t>Annexe 1</w:t>
      </w:r>
    </w:p>
    <w:p w:rsidR="001F3558" w:rsidRPr="004368B4" w:rsidRDefault="001F3558" w:rsidP="001F3558">
      <w:pPr>
        <w:pStyle w:val="Corpsdetexte2"/>
        <w:tabs>
          <w:tab w:val="left" w:pos="993"/>
        </w:tabs>
        <w:spacing w:line="240" w:lineRule="auto"/>
        <w:jc w:val="center"/>
        <w:rPr>
          <w:b/>
          <w:bCs/>
          <w:sz w:val="26"/>
          <w:szCs w:val="26"/>
        </w:rPr>
      </w:pPr>
      <w:r w:rsidRPr="004368B4">
        <w:rPr>
          <w:b/>
          <w:bCs/>
          <w:sz w:val="26"/>
          <w:szCs w:val="26"/>
        </w:rPr>
        <w:t xml:space="preserve">Acte de soumission </w:t>
      </w:r>
    </w:p>
    <w:p w:rsidR="001F3558" w:rsidRPr="004368B4" w:rsidRDefault="001F3558" w:rsidP="001F3558">
      <w:pPr>
        <w:pStyle w:val="Corpsdetexte2"/>
        <w:tabs>
          <w:tab w:val="left" w:pos="993"/>
        </w:tabs>
        <w:spacing w:line="240" w:lineRule="auto"/>
        <w:rPr>
          <w:b/>
          <w:bCs/>
          <w:sz w:val="26"/>
          <w:szCs w:val="26"/>
        </w:rPr>
      </w:pPr>
    </w:p>
    <w:p w:rsidR="001F3558" w:rsidRPr="004368B4" w:rsidRDefault="00DA0766" w:rsidP="00BE5517">
      <w:pPr>
        <w:spacing w:line="360" w:lineRule="auto"/>
        <w:jc w:val="lowKashida"/>
        <w:rPr>
          <w:lang w:val="fr-FR"/>
        </w:rPr>
      </w:pPr>
      <w:r>
        <w:rPr>
          <w:lang w:val="fr-FR"/>
        </w:rPr>
        <w:t xml:space="preserve">Je soussigné </w:t>
      </w:r>
      <w:r w:rsidR="001F3558" w:rsidRPr="004368B4">
        <w:rPr>
          <w:lang w:val="fr-FR"/>
        </w:rPr>
        <w:t xml:space="preserve">………......................................... </w:t>
      </w:r>
      <w:r>
        <w:rPr>
          <w:lang w:val="fr-FR"/>
        </w:rPr>
        <w:t xml:space="preserve">représentant </w:t>
      </w:r>
      <w:r w:rsidR="00C93834">
        <w:rPr>
          <w:lang w:val="fr-FR"/>
        </w:rPr>
        <w:t xml:space="preserve">de </w:t>
      </w:r>
      <w:r>
        <w:rPr>
          <w:lang w:val="fr-FR"/>
        </w:rPr>
        <w:t>/bureau</w:t>
      </w:r>
      <w:r w:rsidR="001F3558" w:rsidRPr="004368B4">
        <w:rPr>
          <w:lang w:val="fr-FR"/>
        </w:rPr>
        <w:t xml:space="preserve"> .................................................................................................................</w:t>
      </w:r>
      <w:r w:rsidR="00CD56A2">
        <w:rPr>
          <w:lang w:val="fr-FR"/>
        </w:rPr>
        <w:t>, Adresse ……………………………..,</w:t>
      </w:r>
      <w:r w:rsidR="001F3558" w:rsidRPr="004368B4">
        <w:rPr>
          <w:lang w:val="fr-FR"/>
        </w:rPr>
        <w:t xml:space="preserve"> Titulaire de la Carte d'Identité</w:t>
      </w:r>
      <w:r w:rsidR="00C93834">
        <w:rPr>
          <w:lang w:val="fr-FR"/>
        </w:rPr>
        <w:t xml:space="preserve"> d’identité </w:t>
      </w:r>
      <w:r w:rsidR="001F3558" w:rsidRPr="004368B4">
        <w:rPr>
          <w:lang w:val="fr-FR"/>
        </w:rPr>
        <w:t xml:space="preserve"> Nationale N° ..............................délivrée le ......................... après avoir pris connaissance des termes de au «</w:t>
      </w:r>
      <w:r w:rsidRPr="00DA0766">
        <w:rPr>
          <w:b/>
          <w:lang w:val="fr-FR"/>
        </w:rPr>
        <w:t xml:space="preserve">Sélection d’un  bureau de </w:t>
      </w:r>
      <w:r w:rsidR="00C93834">
        <w:rPr>
          <w:b/>
          <w:lang w:val="fr-FR"/>
        </w:rPr>
        <w:t xml:space="preserve">formation </w:t>
      </w:r>
      <w:r w:rsidRPr="00DA0766">
        <w:rPr>
          <w:b/>
          <w:lang w:val="fr-FR"/>
        </w:rPr>
        <w:t>pour la réalisation  d’un programme d’appui aux jeunes entrepreneurs dans le domaine de l’entreprenariat et de droit de l’environnement dans les deux g</w:t>
      </w:r>
      <w:r w:rsidR="00902FD9">
        <w:rPr>
          <w:b/>
          <w:lang w:val="fr-FR"/>
        </w:rPr>
        <w:t>ouvernorats de Gabès et Nabeul,</w:t>
      </w:r>
      <w:r w:rsidR="00FB7061" w:rsidRPr="004368B4">
        <w:rPr>
          <w:b/>
          <w:lang w:val="fr-FR"/>
        </w:rPr>
        <w:t xml:space="preserve"> </w:t>
      </w:r>
      <w:r w:rsidR="001F3558" w:rsidRPr="004368B4">
        <w:rPr>
          <w:b/>
          <w:lang w:val="fr-FR"/>
        </w:rPr>
        <w:t>dans le cadre du projet : Re-lancer une nouvelle économie,</w:t>
      </w:r>
      <w:r w:rsidR="001F3558" w:rsidRPr="004368B4">
        <w:rPr>
          <w:b/>
          <w:bCs/>
          <w:lang w:val="fr-FR"/>
        </w:rPr>
        <w:t xml:space="preserve"> Re-Né ,Ref .C-5-3.1-39 »,</w:t>
      </w:r>
      <w:r w:rsidR="001F3558" w:rsidRPr="004368B4">
        <w:rPr>
          <w:lang w:val="fr-FR"/>
        </w:rPr>
        <w:t xml:space="preserve"> Je m'engage à exécuter les prestations conformément aux caractéristiques exigées dans les termes de référence et moyennant les prix établis dans mon offre. </w:t>
      </w:r>
    </w:p>
    <w:p w:rsidR="001F3558" w:rsidRPr="004368B4" w:rsidRDefault="001F3558" w:rsidP="00BE5517">
      <w:pPr>
        <w:spacing w:line="360" w:lineRule="auto"/>
        <w:jc w:val="lowKashida"/>
        <w:rPr>
          <w:lang w:val="fr-FR"/>
        </w:rPr>
      </w:pPr>
      <w:r w:rsidRPr="004368B4">
        <w:rPr>
          <w:lang w:val="fr-FR"/>
        </w:rPr>
        <w:t>Les prix que j'offre sont fermes et non révisables. Le montant total de cette soumission s'élève à la somme de :</w:t>
      </w:r>
    </w:p>
    <w:p w:rsidR="001F3558" w:rsidRPr="004368B4" w:rsidRDefault="001F3558" w:rsidP="00BE5517">
      <w:pPr>
        <w:pStyle w:val="Paragraphedeliste"/>
        <w:widowControl/>
        <w:numPr>
          <w:ilvl w:val="0"/>
          <w:numId w:val="10"/>
        </w:numPr>
        <w:autoSpaceDE/>
        <w:autoSpaceDN/>
        <w:spacing w:after="120" w:line="360" w:lineRule="auto"/>
        <w:jc w:val="lowKashida"/>
        <w:rPr>
          <w:rFonts w:ascii="Times New Roman" w:hAnsi="Times New Roman"/>
          <w:sz w:val="24"/>
          <w:szCs w:val="24"/>
        </w:rPr>
      </w:pPr>
      <w:r w:rsidRPr="004368B4">
        <w:rPr>
          <w:rFonts w:ascii="Times New Roman" w:hAnsi="Times New Roman"/>
          <w:sz w:val="24"/>
          <w:szCs w:val="24"/>
        </w:rPr>
        <w:t>........................................................................... (Montant en lettres et en chiffres HTVA)</w:t>
      </w:r>
    </w:p>
    <w:p w:rsidR="001F3558" w:rsidRPr="004368B4" w:rsidRDefault="001F3558" w:rsidP="00BE5517">
      <w:pPr>
        <w:spacing w:line="360" w:lineRule="auto"/>
        <w:jc w:val="lowKashida"/>
        <w:rPr>
          <w:lang w:val="fr-FR"/>
        </w:rPr>
      </w:pPr>
      <w:r w:rsidRPr="004368B4">
        <w:rPr>
          <w:lang w:val="fr-FR"/>
        </w:rPr>
        <w:t xml:space="preserve">Je m'engage à maintenir valables les conditions de la présente </w:t>
      </w:r>
      <w:r w:rsidRPr="00324626">
        <w:rPr>
          <w:lang w:val="fr-FR"/>
        </w:rPr>
        <w:t xml:space="preserve">soumission pendant </w:t>
      </w:r>
      <w:r w:rsidR="00324626" w:rsidRPr="00324626">
        <w:rPr>
          <w:lang w:val="fr-FR"/>
        </w:rPr>
        <w:t>7</w:t>
      </w:r>
      <w:r w:rsidRPr="00324626">
        <w:rPr>
          <w:lang w:val="fr-FR"/>
        </w:rPr>
        <w:t xml:space="preserve"> jours fermes à compter du jour suivant la date limite de réception des offres</w:t>
      </w:r>
      <w:r w:rsidRPr="004368B4">
        <w:rPr>
          <w:lang w:val="fr-FR"/>
        </w:rPr>
        <w:t>. Je joins à la présente soumission toutes les pièces qu'il m'est demandé de fournir. Je m'engage, si mon offre est acceptée, à exécuter l'ensemble des prestations conformément aux termes et des articles des conditions de participation.</w:t>
      </w:r>
    </w:p>
    <w:p w:rsidR="001F3558" w:rsidRPr="004368B4" w:rsidRDefault="001F3558" w:rsidP="00BE5517">
      <w:pPr>
        <w:spacing w:line="360" w:lineRule="auto"/>
        <w:jc w:val="lowKashida"/>
        <w:rPr>
          <w:lang w:val="fr-FR"/>
        </w:rPr>
      </w:pPr>
    </w:p>
    <w:p w:rsidR="001F3558" w:rsidRPr="004368B4" w:rsidRDefault="001F3558" w:rsidP="001F3558">
      <w:pPr>
        <w:spacing w:line="276" w:lineRule="auto"/>
        <w:jc w:val="lowKashida"/>
        <w:rPr>
          <w:lang w:val="fr-FR"/>
        </w:rPr>
      </w:pPr>
      <w:r w:rsidRPr="004368B4">
        <w:rPr>
          <w:lang w:val="fr-FR"/>
        </w:rPr>
        <w:t>………….Le : …………………………..</w:t>
      </w:r>
    </w:p>
    <w:p w:rsidR="001F3558" w:rsidRPr="004368B4" w:rsidRDefault="001F3558" w:rsidP="001F3558">
      <w:pPr>
        <w:spacing w:line="276" w:lineRule="auto"/>
        <w:jc w:val="lowKashida"/>
        <w:rPr>
          <w:b/>
          <w:bCs/>
          <w:lang w:val="fr-FR"/>
        </w:rPr>
      </w:pPr>
      <w:r w:rsidRPr="004368B4">
        <w:rPr>
          <w:lang w:val="fr-FR"/>
        </w:rPr>
        <w:tab/>
      </w:r>
      <w:r w:rsidRPr="004368B4">
        <w:rPr>
          <w:lang w:val="fr-FR"/>
        </w:rPr>
        <w:tab/>
      </w:r>
      <w:r w:rsidRPr="004368B4">
        <w:rPr>
          <w:lang w:val="fr-FR"/>
        </w:rPr>
        <w:tab/>
      </w:r>
      <w:r w:rsidRPr="004368B4">
        <w:rPr>
          <w:lang w:val="fr-FR"/>
        </w:rPr>
        <w:tab/>
      </w:r>
      <w:r w:rsidRPr="004368B4">
        <w:rPr>
          <w:lang w:val="fr-FR"/>
        </w:rPr>
        <w:tab/>
      </w:r>
      <w:r w:rsidRPr="004368B4">
        <w:rPr>
          <w:lang w:val="fr-FR"/>
        </w:rPr>
        <w:tab/>
      </w:r>
      <w:r w:rsidRPr="004368B4">
        <w:rPr>
          <w:lang w:val="fr-FR"/>
        </w:rPr>
        <w:tab/>
      </w:r>
      <w:r w:rsidRPr="004368B4">
        <w:rPr>
          <w:lang w:val="fr-FR"/>
        </w:rPr>
        <w:tab/>
      </w:r>
      <w:r w:rsidRPr="004368B4">
        <w:rPr>
          <w:b/>
          <w:bCs/>
          <w:lang w:val="fr-FR"/>
        </w:rPr>
        <w:t xml:space="preserve">         Signature et cachet</w:t>
      </w:r>
    </w:p>
    <w:p w:rsidR="001F3558" w:rsidRPr="004368B4" w:rsidRDefault="001F3558" w:rsidP="001F3558">
      <w:pPr>
        <w:pStyle w:val="Corpsdetexte2"/>
        <w:tabs>
          <w:tab w:val="left" w:pos="993"/>
        </w:tabs>
        <w:spacing w:line="276" w:lineRule="auto"/>
        <w:jc w:val="lowKashida"/>
        <w:rPr>
          <w:b/>
          <w:bCs/>
          <w:sz w:val="26"/>
          <w:szCs w:val="26"/>
        </w:rPr>
      </w:pPr>
    </w:p>
    <w:p w:rsidR="000A7451" w:rsidRPr="004368B4" w:rsidRDefault="000A7451" w:rsidP="003666D0">
      <w:pPr>
        <w:spacing w:line="276" w:lineRule="auto"/>
        <w:jc w:val="lowKashida"/>
        <w:rPr>
          <w:lang w:val="fr-FR"/>
        </w:rPr>
      </w:pPr>
    </w:p>
    <w:sectPr w:rsidR="000A7451" w:rsidRPr="004368B4" w:rsidSect="00570747">
      <w:headerReference w:type="default" r:id="rId10"/>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A24" w:rsidRDefault="00A41A24">
      <w:r>
        <w:separator/>
      </w:r>
    </w:p>
  </w:endnote>
  <w:endnote w:type="continuationSeparator" w:id="1">
    <w:p w:rsidR="00A41A24" w:rsidRDefault="00A41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A24" w:rsidRDefault="00A41A24">
      <w:r>
        <w:separator/>
      </w:r>
    </w:p>
  </w:footnote>
  <w:footnote w:type="continuationSeparator" w:id="1">
    <w:p w:rsidR="00A41A24" w:rsidRDefault="00A41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E0A" w:rsidRDefault="000C1E0A"/>
  <w:p w:rsidR="000C1E0A" w:rsidRDefault="000C1E0A"/>
  <w:p w:rsidR="000C1E0A" w:rsidRDefault="000C1E0A"/>
  <w:p w:rsidR="000C1E0A" w:rsidRDefault="000C1E0A"/>
  <w:p w:rsidR="000C1E0A" w:rsidRDefault="000C1E0A"/>
  <w:p w:rsidR="000C1E0A" w:rsidRDefault="000C1E0A"/>
  <w:p w:rsidR="008F5A8B" w:rsidRDefault="000C1E0A">
    <w:r>
      <w:rPr>
        <w:noProof/>
        <w:lang w:val="fr-FR" w:eastAsia="fr-FR"/>
      </w:rPr>
      <w:drawing>
        <wp:anchor distT="152400" distB="152400" distL="152400" distR="152400" simplePos="0" relativeHeight="251659264" behindDoc="0" locked="0" layoutInCell="1" allowOverlap="1">
          <wp:simplePos x="0" y="0"/>
          <wp:positionH relativeFrom="page">
            <wp:align>left</wp:align>
          </wp:positionH>
          <wp:positionV relativeFrom="page">
            <wp:align>top</wp:align>
          </wp:positionV>
          <wp:extent cx="7560057" cy="10617884"/>
          <wp:effectExtent l="0" t="0" r="3175"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hermata 2023-01-05 alle 11.07.47.png"/>
                  <pic:cNvPicPr>
                    <a:picLocks noChangeAspect="1"/>
                  </pic:cNvPicPr>
                </pic:nvPicPr>
                <pic:blipFill>
                  <a:blip r:embed="rId1"/>
                  <a:stretch>
                    <a:fillRect/>
                  </a:stretch>
                </pic:blipFill>
                <pic:spPr>
                  <a:xfrm>
                    <a:off x="0" y="0"/>
                    <a:ext cx="7560057" cy="10617884"/>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hybridMultilevel"/>
    <w:tmpl w:val="4CB8C3E2"/>
    <w:lvl w:ilvl="0" w:tplc="549E904E">
      <w:start w:val="1"/>
      <w:numFmt w:val="decimal"/>
      <w:pStyle w:val="Styleart"/>
      <w:lvlText w:val="Art. %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00001B"/>
    <w:multiLevelType w:val="hybridMultilevel"/>
    <w:tmpl w:val="86C81254"/>
    <w:lvl w:ilvl="0" w:tplc="41584A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A5C45"/>
    <w:multiLevelType w:val="hybridMultilevel"/>
    <w:tmpl w:val="7D546D82"/>
    <w:lvl w:ilvl="0" w:tplc="779ABF70">
      <w:start w:val="1"/>
      <w:numFmt w:val="decimal"/>
      <w:lvlText w:val="%1-"/>
      <w:lvlJc w:val="left"/>
      <w:pPr>
        <w:ind w:left="720" w:hanging="360"/>
      </w:pPr>
      <w:rPr>
        <w:rFonts w:ascii="Times New Roman" w:eastAsia="Calibri"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642820"/>
    <w:multiLevelType w:val="hybridMultilevel"/>
    <w:tmpl w:val="4BEC05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4D022B"/>
    <w:multiLevelType w:val="hybridMultilevel"/>
    <w:tmpl w:val="4CE67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5B516C"/>
    <w:multiLevelType w:val="hybridMultilevel"/>
    <w:tmpl w:val="24761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E56ED4"/>
    <w:multiLevelType w:val="hybridMultilevel"/>
    <w:tmpl w:val="D8F6D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456A14"/>
    <w:multiLevelType w:val="hybridMultilevel"/>
    <w:tmpl w:val="A0486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6E29A1"/>
    <w:multiLevelType w:val="hybridMultilevel"/>
    <w:tmpl w:val="30A2FD26"/>
    <w:lvl w:ilvl="0" w:tplc="1E388D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E27F3C"/>
    <w:multiLevelType w:val="hybridMultilevel"/>
    <w:tmpl w:val="2B9080B6"/>
    <w:lvl w:ilvl="0" w:tplc="C762746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1536B04"/>
    <w:multiLevelType w:val="hybridMultilevel"/>
    <w:tmpl w:val="6BD07A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6576861"/>
    <w:multiLevelType w:val="hybridMultilevel"/>
    <w:tmpl w:val="596882EC"/>
    <w:lvl w:ilvl="0" w:tplc="ABB4A13E">
      <w:numFmt w:val="bullet"/>
      <w:lvlText w:val="-"/>
      <w:lvlJc w:val="left"/>
      <w:pPr>
        <w:ind w:left="720" w:hanging="360"/>
      </w:pPr>
      <w:rPr>
        <w:rFonts w:ascii="Helvetica-Bold" w:eastAsia="MS Mincho" w:hAnsi="Helvetic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F10E18"/>
    <w:multiLevelType w:val="hybridMultilevel"/>
    <w:tmpl w:val="B76E9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661C58"/>
    <w:multiLevelType w:val="hybridMultilevel"/>
    <w:tmpl w:val="37FAFD0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644" w:hanging="360"/>
      </w:pPr>
      <w:rPr>
        <w:rFonts w:ascii="Symbol" w:hAnsi="Symbol"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B57978"/>
    <w:multiLevelType w:val="hybridMultilevel"/>
    <w:tmpl w:val="77A6BAF2"/>
    <w:lvl w:ilvl="0" w:tplc="ABB4A13E">
      <w:numFmt w:val="bullet"/>
      <w:lvlText w:val="-"/>
      <w:lvlJc w:val="left"/>
      <w:pPr>
        <w:ind w:left="720" w:hanging="360"/>
      </w:pPr>
      <w:rPr>
        <w:rFonts w:ascii="Helvetica-Bold" w:eastAsia="MS Mincho" w:hAnsi="Helvetic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B3B5626"/>
    <w:multiLevelType w:val="hybridMultilevel"/>
    <w:tmpl w:val="CFE66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0"/>
  </w:num>
  <w:num w:numId="6">
    <w:abstractNumId w:val="13"/>
  </w:num>
  <w:num w:numId="7">
    <w:abstractNumId w:val="3"/>
  </w:num>
  <w:num w:numId="8">
    <w:abstractNumId w:val="11"/>
  </w:num>
  <w:num w:numId="9">
    <w:abstractNumId w:val="14"/>
  </w:num>
  <w:num w:numId="10">
    <w:abstractNumId w:val="1"/>
  </w:num>
  <w:num w:numId="11">
    <w:abstractNumId w:val="6"/>
  </w:num>
  <w:num w:numId="12">
    <w:abstractNumId w:val="7"/>
  </w:num>
  <w:num w:numId="13">
    <w:abstractNumId w:val="8"/>
  </w:num>
  <w:num w:numId="14">
    <w:abstractNumId w:val="15"/>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savePreviewPicture/>
  <w:footnotePr>
    <w:footnote w:id="0"/>
    <w:footnote w:id="1"/>
  </w:footnotePr>
  <w:endnotePr>
    <w:endnote w:id="0"/>
    <w:endnote w:id="1"/>
  </w:endnotePr>
  <w:compat>
    <w:useFELayout/>
  </w:compat>
  <w:rsids>
    <w:rsidRoot w:val="008F5A8B"/>
    <w:rsid w:val="0001236F"/>
    <w:rsid w:val="000146E9"/>
    <w:rsid w:val="00044486"/>
    <w:rsid w:val="0006310A"/>
    <w:rsid w:val="000678B2"/>
    <w:rsid w:val="00070F7F"/>
    <w:rsid w:val="00077321"/>
    <w:rsid w:val="0008178F"/>
    <w:rsid w:val="00084C42"/>
    <w:rsid w:val="00085185"/>
    <w:rsid w:val="000853FA"/>
    <w:rsid w:val="00085407"/>
    <w:rsid w:val="000A326F"/>
    <w:rsid w:val="000A7451"/>
    <w:rsid w:val="000C1E0A"/>
    <w:rsid w:val="000E4347"/>
    <w:rsid w:val="000F0E8A"/>
    <w:rsid w:val="000F29F9"/>
    <w:rsid w:val="0013274D"/>
    <w:rsid w:val="001332ED"/>
    <w:rsid w:val="00172E01"/>
    <w:rsid w:val="00176EEB"/>
    <w:rsid w:val="00177961"/>
    <w:rsid w:val="00190861"/>
    <w:rsid w:val="0019770D"/>
    <w:rsid w:val="001C0458"/>
    <w:rsid w:val="001D73A3"/>
    <w:rsid w:val="001D76D9"/>
    <w:rsid w:val="001E293A"/>
    <w:rsid w:val="001F3016"/>
    <w:rsid w:val="001F3558"/>
    <w:rsid w:val="0022495D"/>
    <w:rsid w:val="002417C6"/>
    <w:rsid w:val="0028602F"/>
    <w:rsid w:val="002B085F"/>
    <w:rsid w:val="002C3BA3"/>
    <w:rsid w:val="002C645D"/>
    <w:rsid w:val="003047D6"/>
    <w:rsid w:val="003179CA"/>
    <w:rsid w:val="00324626"/>
    <w:rsid w:val="00334DF4"/>
    <w:rsid w:val="003356CD"/>
    <w:rsid w:val="00344468"/>
    <w:rsid w:val="003454CE"/>
    <w:rsid w:val="00350A28"/>
    <w:rsid w:val="0035198E"/>
    <w:rsid w:val="003666D0"/>
    <w:rsid w:val="00372694"/>
    <w:rsid w:val="0037678F"/>
    <w:rsid w:val="0037709A"/>
    <w:rsid w:val="003A0E7B"/>
    <w:rsid w:val="003B1383"/>
    <w:rsid w:val="003B4804"/>
    <w:rsid w:val="003E4CCA"/>
    <w:rsid w:val="003E5FFC"/>
    <w:rsid w:val="003F619F"/>
    <w:rsid w:val="0041755E"/>
    <w:rsid w:val="004368B4"/>
    <w:rsid w:val="004464BD"/>
    <w:rsid w:val="004660D1"/>
    <w:rsid w:val="004A11FC"/>
    <w:rsid w:val="004B4AD1"/>
    <w:rsid w:val="004C19E8"/>
    <w:rsid w:val="004C1B70"/>
    <w:rsid w:val="004C1C1B"/>
    <w:rsid w:val="00503612"/>
    <w:rsid w:val="00513709"/>
    <w:rsid w:val="005409D5"/>
    <w:rsid w:val="0055311F"/>
    <w:rsid w:val="00564E11"/>
    <w:rsid w:val="00570747"/>
    <w:rsid w:val="005A21A8"/>
    <w:rsid w:val="005C1AF3"/>
    <w:rsid w:val="005C1E65"/>
    <w:rsid w:val="005C2950"/>
    <w:rsid w:val="005C2DD2"/>
    <w:rsid w:val="005E4F54"/>
    <w:rsid w:val="006043AB"/>
    <w:rsid w:val="00607E4A"/>
    <w:rsid w:val="0063072F"/>
    <w:rsid w:val="006839EA"/>
    <w:rsid w:val="006C5E43"/>
    <w:rsid w:val="006C6F2F"/>
    <w:rsid w:val="006D29A1"/>
    <w:rsid w:val="006F1856"/>
    <w:rsid w:val="00700C59"/>
    <w:rsid w:val="00730269"/>
    <w:rsid w:val="00756E32"/>
    <w:rsid w:val="007D2663"/>
    <w:rsid w:val="007D2AAA"/>
    <w:rsid w:val="00821BCE"/>
    <w:rsid w:val="00826C56"/>
    <w:rsid w:val="008321B4"/>
    <w:rsid w:val="00850CB2"/>
    <w:rsid w:val="00855199"/>
    <w:rsid w:val="00863E70"/>
    <w:rsid w:val="008A3AE1"/>
    <w:rsid w:val="008A4715"/>
    <w:rsid w:val="008B19F3"/>
    <w:rsid w:val="008C5273"/>
    <w:rsid w:val="008D10ED"/>
    <w:rsid w:val="008E09B0"/>
    <w:rsid w:val="008E7C8F"/>
    <w:rsid w:val="008F5A8B"/>
    <w:rsid w:val="00901743"/>
    <w:rsid w:val="00902FD9"/>
    <w:rsid w:val="00905A0B"/>
    <w:rsid w:val="00905D25"/>
    <w:rsid w:val="00960357"/>
    <w:rsid w:val="0096090E"/>
    <w:rsid w:val="009859F9"/>
    <w:rsid w:val="00993FBA"/>
    <w:rsid w:val="009B532D"/>
    <w:rsid w:val="009D25F4"/>
    <w:rsid w:val="009D40B3"/>
    <w:rsid w:val="009D4DB8"/>
    <w:rsid w:val="009E359B"/>
    <w:rsid w:val="00A20036"/>
    <w:rsid w:val="00A41A24"/>
    <w:rsid w:val="00A43640"/>
    <w:rsid w:val="00A553C7"/>
    <w:rsid w:val="00A60A09"/>
    <w:rsid w:val="00A65E10"/>
    <w:rsid w:val="00A72A5C"/>
    <w:rsid w:val="00A95C13"/>
    <w:rsid w:val="00A97D2F"/>
    <w:rsid w:val="00AB00D9"/>
    <w:rsid w:val="00AD52E5"/>
    <w:rsid w:val="00B0588F"/>
    <w:rsid w:val="00B1440A"/>
    <w:rsid w:val="00B607D1"/>
    <w:rsid w:val="00B63204"/>
    <w:rsid w:val="00B6726B"/>
    <w:rsid w:val="00BB09E1"/>
    <w:rsid w:val="00BB3D8B"/>
    <w:rsid w:val="00BB6641"/>
    <w:rsid w:val="00BE53F8"/>
    <w:rsid w:val="00BE5517"/>
    <w:rsid w:val="00BF1548"/>
    <w:rsid w:val="00C07EB9"/>
    <w:rsid w:val="00C125D2"/>
    <w:rsid w:val="00C254F6"/>
    <w:rsid w:val="00C52C82"/>
    <w:rsid w:val="00C5350B"/>
    <w:rsid w:val="00C67FEC"/>
    <w:rsid w:val="00C8494E"/>
    <w:rsid w:val="00C91A5C"/>
    <w:rsid w:val="00C925F3"/>
    <w:rsid w:val="00C93834"/>
    <w:rsid w:val="00CB59AD"/>
    <w:rsid w:val="00CB6717"/>
    <w:rsid w:val="00CC114B"/>
    <w:rsid w:val="00CD56A2"/>
    <w:rsid w:val="00CE5E2F"/>
    <w:rsid w:val="00CF366B"/>
    <w:rsid w:val="00D12529"/>
    <w:rsid w:val="00D56FD1"/>
    <w:rsid w:val="00D77D19"/>
    <w:rsid w:val="00D87071"/>
    <w:rsid w:val="00D91EC9"/>
    <w:rsid w:val="00D922F3"/>
    <w:rsid w:val="00DA0766"/>
    <w:rsid w:val="00DB3EF3"/>
    <w:rsid w:val="00DF2E36"/>
    <w:rsid w:val="00E16E7D"/>
    <w:rsid w:val="00E27C1D"/>
    <w:rsid w:val="00E37B17"/>
    <w:rsid w:val="00E54391"/>
    <w:rsid w:val="00E55074"/>
    <w:rsid w:val="00E66342"/>
    <w:rsid w:val="00E82B62"/>
    <w:rsid w:val="00E9483D"/>
    <w:rsid w:val="00EB5951"/>
    <w:rsid w:val="00EC1B46"/>
    <w:rsid w:val="00EC3E0F"/>
    <w:rsid w:val="00ED71BA"/>
    <w:rsid w:val="00EF1FD2"/>
    <w:rsid w:val="00F118B8"/>
    <w:rsid w:val="00F147DC"/>
    <w:rsid w:val="00F22E3E"/>
    <w:rsid w:val="00F37886"/>
    <w:rsid w:val="00F526B4"/>
    <w:rsid w:val="00F541D1"/>
    <w:rsid w:val="00F672BC"/>
    <w:rsid w:val="00F74D3F"/>
    <w:rsid w:val="00F77672"/>
    <w:rsid w:val="00F777DC"/>
    <w:rsid w:val="00FA094B"/>
    <w:rsid w:val="00FB7061"/>
    <w:rsid w:val="00FD67D1"/>
    <w:rsid w:val="00FD6D29"/>
    <w:rsid w:val="00FE277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47"/>
    <w:rPr>
      <w:sz w:val="24"/>
      <w:szCs w:val="24"/>
      <w:lang w:val="en-US" w:eastAsia="en-US"/>
    </w:rPr>
  </w:style>
  <w:style w:type="paragraph" w:styleId="Titre1">
    <w:name w:val="heading 1"/>
    <w:basedOn w:val="Normal"/>
    <w:next w:val="Normal"/>
    <w:link w:val="Titre1Car"/>
    <w:uiPriority w:val="9"/>
    <w:qFormat/>
    <w:rsid w:val="000A7451"/>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Titre2">
    <w:name w:val="heading 2"/>
    <w:basedOn w:val="Normal"/>
    <w:next w:val="Normal"/>
    <w:link w:val="Titre2Car"/>
    <w:uiPriority w:val="9"/>
    <w:unhideWhenUsed/>
    <w:qFormat/>
    <w:rsid w:val="000A745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outlineLvl w:val="1"/>
    </w:pPr>
    <w:rPr>
      <w:rFonts w:asciiTheme="majorHAnsi" w:eastAsiaTheme="majorEastAsia" w:hAnsiTheme="majorHAnsi" w:cstheme="majorBidi"/>
      <w:b/>
      <w:bCs/>
      <w:color w:val="00A2FF" w:themeColor="accent1"/>
      <w:sz w:val="26"/>
      <w:szCs w:val="26"/>
      <w:bdr w:val="none" w:sz="0" w:space="0" w:color="auto"/>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70747"/>
    <w:rPr>
      <w:u w:val="single"/>
    </w:rPr>
  </w:style>
  <w:style w:type="table" w:customStyle="1" w:styleId="TableNormal">
    <w:name w:val="Table Normal"/>
    <w:rsid w:val="00570747"/>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0C1E0A"/>
    <w:pPr>
      <w:tabs>
        <w:tab w:val="center" w:pos="4819"/>
        <w:tab w:val="right" w:pos="9638"/>
      </w:tabs>
    </w:pPr>
  </w:style>
  <w:style w:type="character" w:customStyle="1" w:styleId="En-tteCar">
    <w:name w:val="En-tête Car"/>
    <w:basedOn w:val="Policepardfaut"/>
    <w:link w:val="En-tte"/>
    <w:uiPriority w:val="99"/>
    <w:rsid w:val="000C1E0A"/>
    <w:rPr>
      <w:sz w:val="24"/>
      <w:szCs w:val="24"/>
      <w:lang w:val="en-US" w:eastAsia="en-US"/>
    </w:rPr>
  </w:style>
  <w:style w:type="paragraph" w:styleId="Pieddepage">
    <w:name w:val="footer"/>
    <w:basedOn w:val="Normal"/>
    <w:link w:val="PieddepageCar"/>
    <w:uiPriority w:val="99"/>
    <w:unhideWhenUsed/>
    <w:rsid w:val="000C1E0A"/>
    <w:pPr>
      <w:tabs>
        <w:tab w:val="center" w:pos="4819"/>
        <w:tab w:val="right" w:pos="9638"/>
      </w:tabs>
    </w:pPr>
  </w:style>
  <w:style w:type="character" w:customStyle="1" w:styleId="PieddepageCar">
    <w:name w:val="Pied de page Car"/>
    <w:basedOn w:val="Policepardfaut"/>
    <w:link w:val="Pieddepage"/>
    <w:uiPriority w:val="99"/>
    <w:rsid w:val="000C1E0A"/>
    <w:rPr>
      <w:sz w:val="24"/>
      <w:szCs w:val="24"/>
      <w:lang w:val="en-US" w:eastAsia="en-US"/>
    </w:rPr>
  </w:style>
  <w:style w:type="paragraph" w:styleId="NormalWeb">
    <w:name w:val="Normal (Web)"/>
    <w:basedOn w:val="Normal"/>
    <w:uiPriority w:val="99"/>
    <w:unhideWhenUsed/>
    <w:rsid w:val="000A74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0" w:beforeAutospacing="1" w:after="100" w:afterAutospacing="1"/>
    </w:pPr>
    <w:rPr>
      <w:rFonts w:eastAsia="Times New Roman"/>
      <w:bdr w:val="none" w:sz="0" w:space="0" w:color="auto"/>
      <w:lang w:val="fr-FR" w:eastAsia="it-IT" w:bidi="fr-FR"/>
    </w:rPr>
  </w:style>
  <w:style w:type="paragraph" w:styleId="Sansinterligne">
    <w:name w:val="No Spacing"/>
    <w:uiPriority w:val="1"/>
    <w:qFormat/>
    <w:rsid w:val="000A7451"/>
    <w:pPr>
      <w:pBdr>
        <w:top w:val="none" w:sz="0" w:space="0" w:color="auto"/>
        <w:left w:val="none" w:sz="0" w:space="0" w:color="auto"/>
        <w:bottom w:val="none" w:sz="0" w:space="0" w:color="auto"/>
        <w:right w:val="none" w:sz="0" w:space="0" w:color="auto"/>
        <w:between w:val="none" w:sz="0" w:space="0" w:color="auto"/>
        <w:bar w:val="none" w:sz="0" w:color="auto"/>
      </w:pBdr>
      <w:ind w:firstLine="1440"/>
      <w:outlineLvl w:val="0"/>
    </w:pPr>
    <w:rPr>
      <w:rFonts w:ascii="Calibri" w:eastAsia="Calibri" w:hAnsi="Calibri" w:cs="Arial"/>
      <w:sz w:val="22"/>
      <w:szCs w:val="22"/>
      <w:bdr w:val="none" w:sz="0" w:space="0" w:color="auto"/>
      <w:lang w:val="fr-FR" w:eastAsia="en-US"/>
    </w:rPr>
  </w:style>
  <w:style w:type="character" w:customStyle="1" w:styleId="Titre2Car">
    <w:name w:val="Titre 2 Car"/>
    <w:basedOn w:val="Policepardfaut"/>
    <w:link w:val="Titre2"/>
    <w:uiPriority w:val="9"/>
    <w:rsid w:val="000A7451"/>
    <w:rPr>
      <w:rFonts w:asciiTheme="majorHAnsi" w:eastAsiaTheme="majorEastAsia" w:hAnsiTheme="majorHAnsi" w:cstheme="majorBidi"/>
      <w:b/>
      <w:bCs/>
      <w:color w:val="00A2FF" w:themeColor="accent1"/>
      <w:sz w:val="26"/>
      <w:szCs w:val="26"/>
      <w:bdr w:val="none" w:sz="0" w:space="0" w:color="auto"/>
      <w:lang w:val="fr-FR" w:eastAsia="fr-FR" w:bidi="fr-FR"/>
    </w:rPr>
  </w:style>
  <w:style w:type="paragraph" w:styleId="Paragraphedeliste">
    <w:name w:val="List Paragraph"/>
    <w:basedOn w:val="Normal"/>
    <w:link w:val="ParagraphedelisteCar"/>
    <w:uiPriority w:val="34"/>
    <w:qFormat/>
    <w:rsid w:val="000A74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00" w:line="276" w:lineRule="auto"/>
      <w:ind w:left="720"/>
      <w:contextualSpacing/>
    </w:pPr>
    <w:rPr>
      <w:rFonts w:ascii="Calibri" w:eastAsia="Calibri" w:hAnsi="Calibri"/>
      <w:sz w:val="22"/>
      <w:szCs w:val="22"/>
      <w:bdr w:val="none" w:sz="0" w:space="0" w:color="auto"/>
      <w:lang w:val="fr-FR" w:eastAsia="fr-FR" w:bidi="fr-FR"/>
    </w:rPr>
  </w:style>
  <w:style w:type="table" w:styleId="Grilledutableau">
    <w:name w:val="Table Grid"/>
    <w:basedOn w:val="TableauNormal"/>
    <w:uiPriority w:val="39"/>
    <w:rsid w:val="000A74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uiPriority w:val="99"/>
    <w:unhideWhenUsed/>
    <w:rsid w:val="000A74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480" w:lineRule="auto"/>
    </w:pPr>
    <w:rPr>
      <w:rFonts w:eastAsia="Times New Roman"/>
      <w:sz w:val="22"/>
      <w:szCs w:val="22"/>
      <w:bdr w:val="none" w:sz="0" w:space="0" w:color="auto"/>
      <w:lang w:val="fr-FR" w:eastAsia="fr-FR" w:bidi="fr-FR"/>
    </w:rPr>
  </w:style>
  <w:style w:type="character" w:customStyle="1" w:styleId="Corpsdetexte2Car">
    <w:name w:val="Corps de texte 2 Car"/>
    <w:basedOn w:val="Policepardfaut"/>
    <w:link w:val="Corpsdetexte2"/>
    <w:uiPriority w:val="99"/>
    <w:rsid w:val="000A7451"/>
    <w:rPr>
      <w:rFonts w:eastAsia="Times New Roman"/>
      <w:sz w:val="22"/>
      <w:szCs w:val="22"/>
      <w:bdr w:val="none" w:sz="0" w:space="0" w:color="auto"/>
      <w:lang w:val="fr-FR" w:eastAsia="fr-FR" w:bidi="fr-FR"/>
    </w:rPr>
  </w:style>
  <w:style w:type="paragraph" w:customStyle="1" w:styleId="Styleart">
    <w:name w:val="Styleart"/>
    <w:basedOn w:val="Titre1"/>
    <w:link w:val="StyleartCar"/>
    <w:qFormat/>
    <w:rsid w:val="000A7451"/>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left="714" w:hanging="357"/>
      <w:jc w:val="both"/>
    </w:pPr>
    <w:rPr>
      <w:rFonts w:ascii="Century Schoolbook" w:eastAsia="SimSun" w:hAnsi="Century Schoolbook" w:cs="Times New Roman"/>
      <w:bCs w:val="0"/>
      <w:color w:val="4472C4"/>
      <w:sz w:val="24"/>
      <w:szCs w:val="40"/>
      <w:bdr w:val="none" w:sz="0" w:space="0" w:color="auto"/>
      <w:lang w:val="fr-FR"/>
    </w:rPr>
  </w:style>
  <w:style w:type="character" w:customStyle="1" w:styleId="StyleartCar">
    <w:name w:val="Styleart Car"/>
    <w:basedOn w:val="Titre1Car"/>
    <w:link w:val="Styleart"/>
    <w:rsid w:val="000A7451"/>
    <w:rPr>
      <w:rFonts w:ascii="Century Schoolbook" w:eastAsia="SimSun" w:hAnsi="Century Schoolbook"/>
      <w:color w:val="4472C4"/>
      <w:sz w:val="24"/>
      <w:szCs w:val="40"/>
      <w:bdr w:val="none" w:sz="0" w:space="0" w:color="auto"/>
      <w:lang w:val="fr-FR"/>
    </w:rPr>
  </w:style>
  <w:style w:type="character" w:customStyle="1" w:styleId="ParagraphedelisteCar">
    <w:name w:val="Paragraphe de liste Car"/>
    <w:link w:val="Paragraphedeliste"/>
    <w:uiPriority w:val="34"/>
    <w:rsid w:val="000A7451"/>
    <w:rPr>
      <w:rFonts w:ascii="Calibri" w:eastAsia="Calibri" w:hAnsi="Calibri"/>
      <w:sz w:val="22"/>
      <w:szCs w:val="22"/>
      <w:bdr w:val="none" w:sz="0" w:space="0" w:color="auto"/>
      <w:lang w:val="fr-FR" w:eastAsia="fr-FR" w:bidi="fr-FR"/>
    </w:rPr>
  </w:style>
  <w:style w:type="table" w:styleId="Grilleclaire-Accent5">
    <w:name w:val="Light Grid Accent 5"/>
    <w:basedOn w:val="TableauNormal"/>
    <w:uiPriority w:val="62"/>
    <w:rsid w:val="000A74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2"/>
      <w:szCs w:val="22"/>
      <w:bdr w:val="none" w:sz="0" w:space="0" w:color="auto"/>
      <w:lang w:val="fr-FR" w:eastAsia="fr-FR"/>
    </w:rPr>
    <w:tblPr>
      <w:tblStyleRowBandSize w:val="1"/>
      <w:tblStyleColBandSize w:val="1"/>
      <w:tblInd w:w="0" w:type="dxa"/>
      <w:tblBorders>
        <w:top w:val="single" w:sz="8" w:space="0" w:color="FF644E" w:themeColor="accent5"/>
        <w:left w:val="single" w:sz="8" w:space="0" w:color="FF644E" w:themeColor="accent5"/>
        <w:bottom w:val="single" w:sz="8" w:space="0" w:color="FF644E" w:themeColor="accent5"/>
        <w:right w:val="single" w:sz="8" w:space="0" w:color="FF644E" w:themeColor="accent5"/>
        <w:insideH w:val="single" w:sz="8" w:space="0" w:color="FF644E" w:themeColor="accent5"/>
        <w:insideV w:val="single" w:sz="8" w:space="0" w:color="FF644E"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44E" w:themeColor="accent5"/>
          <w:left w:val="single" w:sz="8" w:space="0" w:color="FF644E" w:themeColor="accent5"/>
          <w:bottom w:val="single" w:sz="18" w:space="0" w:color="FF644E" w:themeColor="accent5"/>
          <w:right w:val="single" w:sz="8" w:space="0" w:color="FF644E" w:themeColor="accent5"/>
          <w:insideH w:val="nil"/>
          <w:insideV w:val="single" w:sz="8" w:space="0" w:color="FF64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44E" w:themeColor="accent5"/>
          <w:left w:val="single" w:sz="8" w:space="0" w:color="FF644E" w:themeColor="accent5"/>
          <w:bottom w:val="single" w:sz="8" w:space="0" w:color="FF644E" w:themeColor="accent5"/>
          <w:right w:val="single" w:sz="8" w:space="0" w:color="FF644E" w:themeColor="accent5"/>
          <w:insideH w:val="nil"/>
          <w:insideV w:val="single" w:sz="8" w:space="0" w:color="FF64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44E" w:themeColor="accent5"/>
          <w:left w:val="single" w:sz="8" w:space="0" w:color="FF644E" w:themeColor="accent5"/>
          <w:bottom w:val="single" w:sz="8" w:space="0" w:color="FF644E" w:themeColor="accent5"/>
          <w:right w:val="single" w:sz="8" w:space="0" w:color="FF644E" w:themeColor="accent5"/>
        </w:tcBorders>
      </w:tcPr>
    </w:tblStylePr>
    <w:tblStylePr w:type="band1Vert">
      <w:tblPr/>
      <w:tcPr>
        <w:tcBorders>
          <w:top w:val="single" w:sz="8" w:space="0" w:color="FF644E" w:themeColor="accent5"/>
          <w:left w:val="single" w:sz="8" w:space="0" w:color="FF644E" w:themeColor="accent5"/>
          <w:bottom w:val="single" w:sz="8" w:space="0" w:color="FF644E" w:themeColor="accent5"/>
          <w:right w:val="single" w:sz="8" w:space="0" w:color="FF644E" w:themeColor="accent5"/>
        </w:tcBorders>
        <w:shd w:val="clear" w:color="auto" w:fill="FFD8D3" w:themeFill="accent5" w:themeFillTint="3F"/>
      </w:tcPr>
    </w:tblStylePr>
    <w:tblStylePr w:type="band1Horz">
      <w:tblPr/>
      <w:tcPr>
        <w:tcBorders>
          <w:top w:val="single" w:sz="8" w:space="0" w:color="FF644E" w:themeColor="accent5"/>
          <w:left w:val="single" w:sz="8" w:space="0" w:color="FF644E" w:themeColor="accent5"/>
          <w:bottom w:val="single" w:sz="8" w:space="0" w:color="FF644E" w:themeColor="accent5"/>
          <w:right w:val="single" w:sz="8" w:space="0" w:color="FF644E" w:themeColor="accent5"/>
          <w:insideV w:val="single" w:sz="8" w:space="0" w:color="FF644E" w:themeColor="accent5"/>
        </w:tcBorders>
        <w:shd w:val="clear" w:color="auto" w:fill="FFD8D3" w:themeFill="accent5" w:themeFillTint="3F"/>
      </w:tcPr>
    </w:tblStylePr>
    <w:tblStylePr w:type="band2Horz">
      <w:tblPr/>
      <w:tcPr>
        <w:tcBorders>
          <w:top w:val="single" w:sz="8" w:space="0" w:color="FF644E" w:themeColor="accent5"/>
          <w:left w:val="single" w:sz="8" w:space="0" w:color="FF644E" w:themeColor="accent5"/>
          <w:bottom w:val="single" w:sz="8" w:space="0" w:color="FF644E" w:themeColor="accent5"/>
          <w:right w:val="single" w:sz="8" w:space="0" w:color="FF644E" w:themeColor="accent5"/>
          <w:insideV w:val="single" w:sz="8" w:space="0" w:color="FF644E" w:themeColor="accent5"/>
        </w:tcBorders>
      </w:tcPr>
    </w:tblStylePr>
  </w:style>
  <w:style w:type="character" w:customStyle="1" w:styleId="Titre1Car">
    <w:name w:val="Titre 1 Car"/>
    <w:basedOn w:val="Policepardfaut"/>
    <w:link w:val="Titre1"/>
    <w:uiPriority w:val="9"/>
    <w:rsid w:val="000A7451"/>
    <w:rPr>
      <w:rFonts w:asciiTheme="majorHAnsi" w:eastAsiaTheme="majorEastAsia" w:hAnsiTheme="majorHAnsi" w:cstheme="majorBidi"/>
      <w:b/>
      <w:bCs/>
      <w:color w:val="0079BF" w:themeColor="accent1" w:themeShade="BF"/>
      <w:sz w:val="28"/>
      <w:szCs w:val="28"/>
      <w:lang w:val="en-US" w:eastAsia="en-US"/>
    </w:rPr>
  </w:style>
  <w:style w:type="paragraph" w:customStyle="1" w:styleId="Default">
    <w:name w:val="Default"/>
    <w:rsid w:val="005036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fr-FR"/>
    </w:rPr>
  </w:style>
  <w:style w:type="table" w:customStyle="1" w:styleId="Ombrageclair1">
    <w:name w:val="Ombrage clair1"/>
    <w:basedOn w:val="TableauNormal"/>
    <w:uiPriority w:val="60"/>
    <w:rsid w:val="00B6320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jamaity.org" TargetMode="External"/><Relationship Id="rId3" Type="http://schemas.openxmlformats.org/officeDocument/2006/relationships/settings" Target="settings.xml"/><Relationship Id="rId7" Type="http://schemas.openxmlformats.org/officeDocument/2006/relationships/hyperlink" Target="http://www.utss.org.t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alietunisi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2071</Words>
  <Characters>11393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TISSAOUI</dc:creator>
  <cp:lastModifiedBy>tissoui</cp:lastModifiedBy>
  <cp:revision>4</cp:revision>
  <dcterms:created xsi:type="dcterms:W3CDTF">2023-10-18T13:05:00Z</dcterms:created>
  <dcterms:modified xsi:type="dcterms:W3CDTF">2023-10-19T10:30:00Z</dcterms:modified>
</cp:coreProperties>
</file>