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5103" w14:textId="73C92D38" w:rsidR="008149FB" w:rsidRDefault="008149FB" w:rsidP="008149FB">
      <w:pPr>
        <w:pStyle w:val="Heading1"/>
        <w:spacing w:before="100"/>
        <w:ind w:left="697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14E674" wp14:editId="07D8BC5A">
                <wp:simplePos x="0" y="0"/>
                <wp:positionH relativeFrom="page">
                  <wp:posOffset>445773</wp:posOffset>
                </wp:positionH>
                <wp:positionV relativeFrom="paragraph">
                  <wp:posOffset>283145</wp:posOffset>
                </wp:positionV>
                <wp:extent cx="395668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6685">
                              <a:moveTo>
                                <a:pt x="39561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6510">
                          <a:solidFill>
                            <a:srgbClr val="C01F3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C006" id="Graphic 12" o:spid="_x0000_s1026" style="position:absolute;margin-left:35.1pt;margin-top:22.3pt;width:311.5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" path="m3956189,l,e" filled="f" strokecolor="#c01f3c" strokeweight="1.3pt">
                <v:path arrowok="t"/>
                <w10:wrap type="topAndBottom" anchorx="page"/>
              </v:shape>
            </w:pict>
          </mc:Fallback>
        </mc:AlternateContent>
      </w:r>
      <w:r>
        <w:rPr>
          <w:color w:val="1E3B6B"/>
        </w:rPr>
        <w:t>CONTEXTE</w:t>
      </w:r>
      <w:r>
        <w:rPr>
          <w:color w:val="1E3B6B"/>
          <w:spacing w:val="-4"/>
        </w:rPr>
        <w:t xml:space="preserve"> </w:t>
      </w:r>
      <w:r>
        <w:rPr>
          <w:color w:val="1E3B6B"/>
        </w:rPr>
        <w:t>ET</w:t>
      </w:r>
      <w:r>
        <w:rPr>
          <w:color w:val="1E3B6B"/>
          <w:spacing w:val="-4"/>
        </w:rPr>
        <w:t xml:space="preserve"> </w:t>
      </w:r>
      <w:r>
        <w:rPr>
          <w:color w:val="1E3B6B"/>
        </w:rPr>
        <w:t>DESCRIPTION</w:t>
      </w:r>
      <w:r>
        <w:rPr>
          <w:color w:val="1E3B6B"/>
          <w:spacing w:val="-4"/>
        </w:rPr>
        <w:t xml:space="preserve"> </w:t>
      </w:r>
      <w:r>
        <w:rPr>
          <w:color w:val="1E3B6B"/>
        </w:rPr>
        <w:t>DU</w:t>
      </w:r>
      <w:r>
        <w:rPr>
          <w:color w:val="1E3B6B"/>
          <w:spacing w:val="-3"/>
        </w:rPr>
        <w:t xml:space="preserve"> </w:t>
      </w:r>
      <w:r>
        <w:rPr>
          <w:color w:val="1E3B6B"/>
          <w:spacing w:val="-2"/>
        </w:rPr>
        <w:t>PROGRAMME</w:t>
      </w:r>
    </w:p>
    <w:p w14:paraId="74CEBA3A" w14:textId="77777777" w:rsidR="008149FB" w:rsidRDefault="008149FB" w:rsidP="008149FB">
      <w:pPr>
        <w:pStyle w:val="BodyText"/>
        <w:spacing w:before="165" w:line="264" w:lineRule="auto"/>
        <w:ind w:left="668" w:right="592"/>
        <w:jc w:val="both"/>
      </w:pP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98,1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l'électricité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Tunisie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provenait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naturel,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étaient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importés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d'Algérie,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rendant ainsi la Tunisie particulièrement dépendante de la volatilité des prix internationaux du pétrole et du gaz. Avec une croissance annuelle de la consommation d'électricité de 4 % à 5 %, la hausse des prix du gaz naturel d’une part et la dépréciation du Dinar Tunisien d’autre part, la subvention énergétique est devenue de plus en plus coûteuse et par conséquent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difficile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maintenir,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créant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défis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budgétaires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entravant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énergie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Tunisie.</w:t>
      </w:r>
    </w:p>
    <w:p w14:paraId="39CB309E" w14:textId="77777777" w:rsidR="008149FB" w:rsidRDefault="008149FB" w:rsidP="008149FB">
      <w:pPr>
        <w:pStyle w:val="BodyText"/>
        <w:spacing w:before="115" w:line="261" w:lineRule="auto"/>
        <w:ind w:left="668" w:right="591"/>
        <w:jc w:val="both"/>
      </w:pPr>
      <w:r>
        <w:rPr>
          <w:color w:val="231F20"/>
        </w:rPr>
        <w:t>Par ailleurs, le Mécanisme d'Ajustement Carbone aux Frontières (MACF) de l’Europe entrera en vigueur dès 2026. Cependant,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</w:t>
      </w:r>
      <w:r>
        <w:rPr>
          <w:color w:val="231F20"/>
          <w:position w:val="6"/>
          <w:sz w:val="18"/>
        </w:rPr>
        <w:t>er</w:t>
      </w:r>
      <w:r>
        <w:rPr>
          <w:color w:val="231F20"/>
          <w:spacing w:val="-12"/>
          <w:position w:val="6"/>
          <w:sz w:val="18"/>
        </w:rPr>
        <w:t xml:space="preserve"> </w:t>
      </w:r>
      <w:r>
        <w:rPr>
          <w:color w:val="231F20"/>
        </w:rPr>
        <w:t>octobre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2023,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entreprises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tunisiennes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opérant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secteurs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sidérurgie,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ciment, 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engrais,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l'aluminium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d'électricité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l'Europe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devront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déclarer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émissions carbones, sans les payer. A partir de 2026, elles devront obtenir des certificats carbones ou payer des ajustements financiers. Par la suite, l’Europe a pour objectif d’étendre ce mécanisme à d’autres biens, et éventuellement couvrir l'ensemble des importations européennes. Il est donc primordial que le secteur privé investisse pleinement dans les solutions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d’efficacité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énergétique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énergies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renouvelables.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anticipant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l’adoption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mesures,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entreprises tunisiennes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pourront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seulement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réduire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factures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énergétiques,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renforcer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compétitivité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leur rentabilité,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tout en se conformant aux futures réglementations internationales en matière d'environnement.</w:t>
      </w:r>
    </w:p>
    <w:p w14:paraId="781FDC79" w14:textId="77777777" w:rsidR="009E5C39" w:rsidRDefault="009E5C39"/>
    <w:sectPr w:rsidR="009E5C39" w:rsidSect="00A3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FB"/>
    <w:rsid w:val="00262EAE"/>
    <w:rsid w:val="008149FB"/>
    <w:rsid w:val="009E5C39"/>
    <w:rsid w:val="00A33258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064E"/>
  <w15:chartTrackingRefBased/>
  <w15:docId w15:val="{FCA8F6C6-4679-4DE7-AEA1-26106A56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fr-FR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149FB"/>
    <w:pPr>
      <w:ind w:left="722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9FB"/>
    <w:rPr>
      <w:rFonts w:ascii="Gill Sans MT" w:eastAsia="Gill Sans MT" w:hAnsi="Gill Sans MT" w:cs="Gill Sans MT"/>
      <w:b/>
      <w:bCs/>
      <w:sz w:val="26"/>
      <w:szCs w:val="26"/>
      <w:lang w:val="fr-F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149FB"/>
  </w:style>
  <w:style w:type="character" w:customStyle="1" w:styleId="BodyTextChar">
    <w:name w:val="Body Text Char"/>
    <w:basedOn w:val="DefaultParagraphFont"/>
    <w:link w:val="BodyText"/>
    <w:uiPriority w:val="1"/>
    <w:rsid w:val="008149FB"/>
    <w:rPr>
      <w:rFonts w:ascii="Gill Sans MT" w:eastAsia="Gill Sans MT" w:hAnsi="Gill Sans MT" w:cs="Gill Sans MT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Bouzidi</dc:creator>
  <cp:keywords/>
  <dc:description/>
  <cp:lastModifiedBy>Hamdi Bouzidi</cp:lastModifiedBy>
  <cp:revision>1</cp:revision>
  <dcterms:created xsi:type="dcterms:W3CDTF">2023-08-09T12:40:00Z</dcterms:created>
  <dcterms:modified xsi:type="dcterms:W3CDTF">2023-08-09T12:41:00Z</dcterms:modified>
</cp:coreProperties>
</file>