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C3A4" w14:textId="77777777" w:rsidR="0035741D" w:rsidRDefault="0035741D">
      <w:pPr>
        <w:spacing w:line="276" w:lineRule="auto"/>
        <w:jc w:val="center"/>
        <w:rPr>
          <w:rFonts w:ascii="Arial" w:eastAsia="Times New Roman" w:hAnsi="Arial"/>
          <w:b/>
          <w:bCs/>
          <w:color w:val="000000"/>
          <w:sz w:val="20"/>
          <w:szCs w:val="20"/>
          <w:lang w:val="fr-FR"/>
        </w:rPr>
      </w:pPr>
    </w:p>
    <w:p w14:paraId="64BF3078" w14:textId="5658183D" w:rsidR="004F7858" w:rsidRDefault="001F1F6D">
      <w:pPr>
        <w:spacing w:line="276" w:lineRule="auto"/>
        <w:jc w:val="center"/>
        <w:rPr>
          <w:rFonts w:ascii="Arial" w:eastAsia="Times New Roman" w:hAnsi="Arial"/>
          <w:b/>
          <w:bCs/>
          <w:color w:val="000000"/>
          <w:sz w:val="20"/>
          <w:szCs w:val="20"/>
          <w:lang w:val="fr-FR"/>
        </w:rPr>
      </w:pPr>
      <w:r>
        <w:rPr>
          <w:rFonts w:ascii="Arial" w:eastAsia="Times New Roman" w:hAnsi="Arial"/>
          <w:b/>
          <w:bCs/>
          <w:color w:val="000000"/>
          <w:sz w:val="20"/>
          <w:szCs w:val="20"/>
          <w:lang w:val="fr-FR"/>
        </w:rPr>
        <w:t>TERMES DE RÉFÉRENCE POUR L’ENGAGEMENT D’UN CABINET DE FORMATION OU D’UN.E FORMATEUR.ICE EN TECHNIQUES DE COMMERCIALISATION</w:t>
      </w:r>
    </w:p>
    <w:p w14:paraId="15B3546C" w14:textId="77777777" w:rsidR="004F7858" w:rsidRDefault="001F1F6D">
      <w:pPr>
        <w:spacing w:line="276" w:lineRule="auto"/>
        <w:jc w:val="center"/>
        <w:rPr>
          <w:rFonts w:ascii="Arial" w:eastAsia="Times New Roman" w:hAnsi="Arial"/>
          <w:color w:val="000000"/>
          <w:sz w:val="20"/>
          <w:szCs w:val="20"/>
          <w:lang w:val="fr-FR"/>
        </w:rPr>
      </w:pPr>
      <w:r>
        <w:rPr>
          <w:rFonts w:ascii="Arial" w:eastAsia="Times New Roman" w:hAnsi="Arial"/>
          <w:color w:val="000000"/>
          <w:sz w:val="20"/>
          <w:szCs w:val="20"/>
          <w:lang w:val="fr-FR"/>
        </w:rPr>
        <w:t xml:space="preserve"> </w:t>
      </w:r>
    </w:p>
    <w:tbl>
      <w:tblPr>
        <w:tblW w:w="9000" w:type="dxa"/>
        <w:tblLayout w:type="fixed"/>
        <w:tblCellMar>
          <w:left w:w="10" w:type="dxa"/>
          <w:right w:w="10" w:type="dxa"/>
        </w:tblCellMar>
        <w:tblLook w:val="0000" w:firstRow="0" w:lastRow="0" w:firstColumn="0" w:lastColumn="0" w:noHBand="0" w:noVBand="0"/>
      </w:tblPr>
      <w:tblGrid>
        <w:gridCol w:w="1935"/>
        <w:gridCol w:w="7065"/>
      </w:tblGrid>
      <w:tr w:rsidR="004F7858" w14:paraId="5307F752" w14:textId="77777777">
        <w:tblPrEx>
          <w:tblCellMar>
            <w:top w:w="0" w:type="dxa"/>
            <w:bottom w:w="0" w:type="dxa"/>
          </w:tblCellMar>
        </w:tblPrEx>
        <w:trPr>
          <w:trHeight w:val="450"/>
        </w:trPr>
        <w:tc>
          <w:tcPr>
            <w:tcW w:w="1935"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1BBA6B22" w14:textId="77777777" w:rsidR="004F7858" w:rsidRDefault="001F1F6D">
            <w:pPr>
              <w:spacing w:after="0" w:line="276" w:lineRule="auto"/>
              <w:jc w:val="both"/>
            </w:pPr>
            <w:r>
              <w:rPr>
                <w:rFonts w:ascii="Arial" w:eastAsia="Times New Roman" w:hAnsi="Arial"/>
                <w:b/>
                <w:bCs/>
                <w:sz w:val="20"/>
                <w:szCs w:val="20"/>
                <w:lang w:val="de-CH"/>
              </w:rPr>
              <w:t xml:space="preserve">Project </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ACBE28" w14:textId="77777777" w:rsidR="004F7858" w:rsidRDefault="001F1F6D">
            <w:pPr>
              <w:spacing w:after="0" w:line="276" w:lineRule="auto"/>
              <w:jc w:val="both"/>
              <w:rPr>
                <w:rFonts w:ascii="Arial" w:eastAsia="Times New Roman" w:hAnsi="Arial"/>
                <w:sz w:val="20"/>
                <w:szCs w:val="20"/>
              </w:rPr>
            </w:pPr>
            <w:r>
              <w:rPr>
                <w:rFonts w:ascii="Arial" w:eastAsia="Times New Roman" w:hAnsi="Arial"/>
                <w:sz w:val="20"/>
                <w:szCs w:val="20"/>
              </w:rPr>
              <w:t>TUN/20/01/CAN (108014)</w:t>
            </w:r>
          </w:p>
        </w:tc>
      </w:tr>
      <w:tr w:rsidR="004F7858" w:rsidRPr="0035741D" w14:paraId="21A01F21" w14:textId="77777777">
        <w:tblPrEx>
          <w:tblCellMar>
            <w:top w:w="0" w:type="dxa"/>
            <w:bottom w:w="0" w:type="dxa"/>
          </w:tblCellMar>
        </w:tblPrEx>
        <w:trPr>
          <w:trHeight w:val="165"/>
        </w:trPr>
        <w:tc>
          <w:tcPr>
            <w:tcW w:w="1935"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vAlign w:val="center"/>
          </w:tcPr>
          <w:p w14:paraId="73A7E91D" w14:textId="77777777" w:rsidR="004F7858" w:rsidRDefault="004F7858">
            <w:pPr>
              <w:spacing w:after="0" w:line="240" w:lineRule="auto"/>
              <w:rPr>
                <w:rFonts w:ascii="Arial" w:hAnsi="Arial"/>
                <w:sz w:val="20"/>
                <w:szCs w:val="20"/>
              </w:rPr>
            </w:pPr>
          </w:p>
        </w:tc>
        <w:tc>
          <w:tcPr>
            <w:tcW w:w="7065" w:type="dxa"/>
            <w:tcBorders>
              <w:top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A7060F" w14:textId="77777777" w:rsidR="004F7858" w:rsidRPr="0035741D" w:rsidRDefault="001F1F6D">
            <w:pPr>
              <w:spacing w:after="0" w:line="276" w:lineRule="auto"/>
              <w:jc w:val="both"/>
              <w:rPr>
                <w:lang w:val="fr-FR"/>
              </w:rPr>
            </w:pPr>
            <w:r>
              <w:rPr>
                <w:rFonts w:ascii="Arial" w:eastAsia="Times New Roman" w:hAnsi="Arial"/>
                <w:b/>
                <w:bCs/>
                <w:sz w:val="20"/>
                <w:szCs w:val="20"/>
                <w:lang w:val="de-CH"/>
              </w:rPr>
              <w:t xml:space="preserve">FORTERESS ; Renforcement de la résilience et de la promotion du travail </w:t>
            </w:r>
            <w:r>
              <w:rPr>
                <w:rFonts w:ascii="Arial" w:eastAsia="Times New Roman" w:hAnsi="Arial"/>
                <w:b/>
                <w:bCs/>
                <w:sz w:val="20"/>
                <w:szCs w:val="20"/>
                <w:lang w:val="de-CH"/>
              </w:rPr>
              <w:t>décent des organisations féminines de l’économie sociale post COVID-19 en Tunisie</w:t>
            </w:r>
          </w:p>
        </w:tc>
      </w:tr>
      <w:tr w:rsidR="004F7858" w:rsidRPr="0035741D" w14:paraId="0836835E" w14:textId="77777777">
        <w:tblPrEx>
          <w:tblCellMar>
            <w:top w:w="0" w:type="dxa"/>
            <w:bottom w:w="0" w:type="dxa"/>
          </w:tblCellMar>
        </w:tblPrEx>
        <w:trPr>
          <w:trHeight w:val="165"/>
        </w:trPr>
        <w:tc>
          <w:tcPr>
            <w:tcW w:w="1935"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D6F8E0" w14:textId="77777777" w:rsidR="004F7858" w:rsidRDefault="001F1F6D">
            <w:pPr>
              <w:spacing w:after="0" w:line="276" w:lineRule="auto"/>
              <w:jc w:val="both"/>
            </w:pPr>
            <w:r>
              <w:rPr>
                <w:rFonts w:ascii="Arial" w:eastAsia="Times New Roman" w:hAnsi="Arial"/>
                <w:b/>
                <w:bCs/>
                <w:sz w:val="20"/>
                <w:szCs w:val="20"/>
                <w:lang w:val="de-CH"/>
              </w:rPr>
              <w:t xml:space="preserve">Output </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167294" w14:textId="77777777" w:rsidR="004F7858" w:rsidRDefault="001F1F6D">
            <w:pPr>
              <w:spacing w:after="0" w:line="276" w:lineRule="auto"/>
              <w:jc w:val="both"/>
              <w:rPr>
                <w:rFonts w:ascii="Arial" w:eastAsia="Times New Roman" w:hAnsi="Arial"/>
                <w:i/>
                <w:iCs/>
                <w:sz w:val="20"/>
                <w:szCs w:val="20"/>
                <w:lang w:val="de-CH"/>
              </w:rPr>
            </w:pPr>
            <w:r>
              <w:rPr>
                <w:rFonts w:ascii="Arial" w:eastAsia="Times New Roman" w:hAnsi="Arial"/>
                <w:i/>
                <w:iCs/>
                <w:sz w:val="20"/>
                <w:szCs w:val="20"/>
                <w:lang w:val="de-CH"/>
              </w:rPr>
              <w:t>01.03 Amélioration de l’accès des organisations féminines de l’ESS aux marchés locaux et à l’exportation, et augmentation des ventes et des revenus</w:t>
            </w:r>
          </w:p>
        </w:tc>
      </w:tr>
      <w:tr w:rsidR="004F7858" w:rsidRPr="0035741D" w14:paraId="7C65CBAE" w14:textId="77777777">
        <w:tblPrEx>
          <w:tblCellMar>
            <w:top w:w="0" w:type="dxa"/>
            <w:bottom w:w="0" w:type="dxa"/>
          </w:tblCellMar>
        </w:tblPrEx>
        <w:trPr>
          <w:trHeight w:val="165"/>
        </w:trPr>
        <w:tc>
          <w:tcPr>
            <w:tcW w:w="19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E5A5A55" w14:textId="77777777" w:rsidR="004F7858" w:rsidRDefault="001F1F6D">
            <w:pPr>
              <w:spacing w:after="0" w:line="276" w:lineRule="auto"/>
              <w:jc w:val="both"/>
            </w:pPr>
            <w:r>
              <w:rPr>
                <w:rFonts w:ascii="Arial" w:eastAsia="Times New Roman" w:hAnsi="Arial"/>
                <w:b/>
                <w:bCs/>
                <w:sz w:val="20"/>
                <w:szCs w:val="20"/>
                <w:lang w:val="de-CH"/>
              </w:rPr>
              <w:t>Activity</w:t>
            </w:r>
          </w:p>
        </w:tc>
        <w:tc>
          <w:tcPr>
            <w:tcW w:w="70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B4836A9" w14:textId="77777777" w:rsidR="004F7858" w:rsidRDefault="001F1F6D">
            <w:pPr>
              <w:spacing w:after="0" w:line="276" w:lineRule="auto"/>
              <w:jc w:val="both"/>
              <w:rPr>
                <w:rFonts w:ascii="Arial" w:eastAsia="Times New Roman" w:hAnsi="Arial"/>
                <w:i/>
                <w:iCs/>
                <w:sz w:val="20"/>
                <w:szCs w:val="20"/>
                <w:lang w:val="de-CH"/>
              </w:rPr>
            </w:pPr>
            <w:r>
              <w:rPr>
                <w:rFonts w:ascii="Arial" w:eastAsia="Times New Roman" w:hAnsi="Arial"/>
                <w:i/>
                <w:iCs/>
                <w:sz w:val="20"/>
                <w:szCs w:val="20"/>
                <w:lang w:val="de-CH"/>
              </w:rPr>
              <w:t>01.03.01  Les connaissances et les outils d’accès aux marchés locaux et à l’exportation développés</w:t>
            </w:r>
          </w:p>
        </w:tc>
      </w:tr>
    </w:tbl>
    <w:p w14:paraId="6843CDB1" w14:textId="77777777" w:rsidR="004F7858" w:rsidRDefault="001F1F6D">
      <w:pPr>
        <w:spacing w:line="276" w:lineRule="auto"/>
        <w:jc w:val="both"/>
        <w:rPr>
          <w:rFonts w:ascii="Arial" w:eastAsia="Times New Roman" w:hAnsi="Arial"/>
          <w:color w:val="FFFFFF"/>
          <w:sz w:val="20"/>
          <w:szCs w:val="20"/>
          <w:lang w:val="fr-FR"/>
        </w:rPr>
      </w:pPr>
      <w:r>
        <w:rPr>
          <w:rFonts w:ascii="Arial" w:eastAsia="Times New Roman" w:hAnsi="Arial"/>
          <w:color w:val="FFFFFF"/>
          <w:sz w:val="20"/>
          <w:szCs w:val="20"/>
          <w:lang w:val="fr-FR"/>
        </w:rPr>
        <w:t xml:space="preserve"> </w:t>
      </w:r>
    </w:p>
    <w:p w14:paraId="0C36E655"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L’Organisation internationale du Travail (OIT) est une agence spécialisée des Nations Unies qui a pour mission de promouvoir les droits au travail, favori</w:t>
      </w:r>
      <w:r>
        <w:rPr>
          <w:rFonts w:ascii="Arial" w:eastAsia="Times New Roman" w:hAnsi="Arial"/>
          <w:color w:val="000000"/>
          <w:sz w:val="20"/>
          <w:szCs w:val="20"/>
          <w:lang w:val="fr-FR"/>
        </w:rPr>
        <w:t>ser la création d’emplois décents, améliorer la protection sociale et renforcer le dialogue social pour résoudre les problèmes liés au monde du travail. Sa structure tripartite constitue une plateforme unique pour promouvoir le travail décent pour tous les</w:t>
      </w:r>
      <w:r>
        <w:rPr>
          <w:rFonts w:ascii="Arial" w:eastAsia="Times New Roman" w:hAnsi="Arial"/>
          <w:color w:val="000000"/>
          <w:sz w:val="20"/>
          <w:szCs w:val="20"/>
          <w:lang w:val="fr-FR"/>
        </w:rPr>
        <w:t xml:space="preserve"> hommes et les femmes.</w:t>
      </w:r>
    </w:p>
    <w:p w14:paraId="312EF4FD"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 xml:space="preserve">Dans le cadre de son projet FORTER'ESS, le Bureau de l’OIT pour l’Algérie, la Libye, le Maroc, la Mauritanie, et la Tunisie basé, à Alger cherche à engager un bureau de formation professionnelle ou d’un </w:t>
      </w:r>
      <w:proofErr w:type="spellStart"/>
      <w:r>
        <w:rPr>
          <w:rFonts w:ascii="Arial" w:eastAsia="Times New Roman" w:hAnsi="Arial"/>
          <w:color w:val="000000"/>
          <w:sz w:val="20"/>
          <w:szCs w:val="20"/>
          <w:lang w:val="fr-FR"/>
        </w:rPr>
        <w:t>formateur.ice</w:t>
      </w:r>
      <w:proofErr w:type="spellEnd"/>
      <w:r>
        <w:rPr>
          <w:rFonts w:ascii="Arial" w:eastAsia="Times New Roman" w:hAnsi="Arial"/>
          <w:color w:val="000000"/>
          <w:sz w:val="20"/>
          <w:szCs w:val="20"/>
          <w:lang w:val="fr-FR"/>
        </w:rPr>
        <w:t xml:space="preserve">. </w:t>
      </w:r>
      <w:proofErr w:type="spellStart"/>
      <w:proofErr w:type="gramStart"/>
      <w:r>
        <w:rPr>
          <w:rFonts w:ascii="Arial" w:eastAsia="Times New Roman" w:hAnsi="Arial"/>
          <w:color w:val="000000"/>
          <w:sz w:val="20"/>
          <w:szCs w:val="20"/>
          <w:lang w:val="fr-FR"/>
        </w:rPr>
        <w:t>specialisé.e</w:t>
      </w:r>
      <w:proofErr w:type="spellEnd"/>
      <w:proofErr w:type="gramEnd"/>
      <w:r>
        <w:rPr>
          <w:rFonts w:ascii="Arial" w:eastAsia="Times New Roman" w:hAnsi="Arial"/>
          <w:color w:val="000000"/>
          <w:sz w:val="20"/>
          <w:szCs w:val="20"/>
          <w:lang w:val="fr-FR"/>
        </w:rPr>
        <w:t xml:space="preserve"> su</w:t>
      </w:r>
      <w:r>
        <w:rPr>
          <w:rFonts w:ascii="Arial" w:eastAsia="Times New Roman" w:hAnsi="Arial"/>
          <w:color w:val="000000"/>
          <w:sz w:val="20"/>
          <w:szCs w:val="20"/>
          <w:lang w:val="fr-FR"/>
        </w:rPr>
        <w:t>r les techniques de commercialisation, selon les termes de références ci-joint.</w:t>
      </w:r>
    </w:p>
    <w:p w14:paraId="71796AE5" w14:textId="77777777" w:rsidR="004F7858" w:rsidRDefault="001F1F6D">
      <w:pPr>
        <w:pStyle w:val="ListParagraph"/>
        <w:numPr>
          <w:ilvl w:val="0"/>
          <w:numId w:val="1"/>
        </w:numPr>
        <w:spacing w:line="276" w:lineRule="auto"/>
      </w:pPr>
      <w:hyperlink r:id="rId7" w:history="1">
        <w:r>
          <w:rPr>
            <w:rStyle w:val="Hyperlink"/>
            <w:rFonts w:ascii="Arial" w:hAnsi="Arial"/>
            <w:b/>
            <w:bCs/>
            <w:color w:val="000000"/>
            <w:sz w:val="20"/>
            <w:szCs w:val="20"/>
            <w:lang w:val="en-US"/>
          </w:rPr>
          <w:t>CONTEXTE</w:t>
        </w:r>
      </w:hyperlink>
      <w:r>
        <w:rPr>
          <w:rFonts w:ascii="Arial" w:hAnsi="Arial"/>
          <w:b/>
          <w:bCs/>
          <w:color w:val="000000"/>
          <w:sz w:val="20"/>
          <w:szCs w:val="20"/>
          <w:u w:val="single"/>
          <w:lang w:val="en-US"/>
        </w:rPr>
        <w:t xml:space="preserve"> DE L’ACTION:</w:t>
      </w:r>
    </w:p>
    <w:p w14:paraId="5A06BCFD"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Le projet FORTER'ESS est le résultat d'un partenariat</w:t>
      </w:r>
      <w:r>
        <w:rPr>
          <w:rFonts w:ascii="Arial" w:eastAsia="Times New Roman" w:hAnsi="Arial"/>
          <w:color w:val="000000"/>
          <w:sz w:val="20"/>
          <w:szCs w:val="20"/>
          <w:lang w:val="fr-FR"/>
        </w:rPr>
        <w:t xml:space="preserve"> entre Affaires Mondiales Canada et l'Organisation internationale du Travail (OIT) qui œuvre en collaboration avec le gouvernement tunisien et les partenaires sociaux pour renforcer la résilience des organisations de l'économie sociale et solidaire (OESS) </w:t>
      </w:r>
      <w:r>
        <w:rPr>
          <w:rFonts w:ascii="Arial" w:eastAsia="Times New Roman" w:hAnsi="Arial"/>
          <w:color w:val="000000"/>
          <w:sz w:val="20"/>
          <w:szCs w:val="20"/>
          <w:lang w:val="fr-FR"/>
        </w:rPr>
        <w:t>dirigées par des femmes et touchées par la crise de la COVID-19.</w:t>
      </w:r>
    </w:p>
    <w:p w14:paraId="4F8D2208"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 xml:space="preserve">Ce projet de deux ans apportera un appui aux OESS dirigées par des femmes dans les gouvernorats de Béja, Jendouba et Le Kef. </w:t>
      </w:r>
    </w:p>
    <w:p w14:paraId="745F6ADD"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 xml:space="preserve">Ce soutien se concentrera sur l'amélioration de la protection du </w:t>
      </w:r>
      <w:r>
        <w:rPr>
          <w:rFonts w:ascii="Arial" w:eastAsia="Times New Roman" w:hAnsi="Arial"/>
          <w:color w:val="000000"/>
          <w:sz w:val="20"/>
          <w:szCs w:val="20"/>
          <w:lang w:val="fr-FR"/>
        </w:rPr>
        <w:t xml:space="preserve">lieu de travail et des conditions de travail des femmes entrepreneurs et des travailleuses des OESS afin de contrecarrer les impacts sociaux, économiques et sanitaires de la pandémie COVID-19. </w:t>
      </w:r>
    </w:p>
    <w:p w14:paraId="0B9397F3"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FORTER'ESS contribuera également à l'établissement d'un écosys</w:t>
      </w:r>
      <w:r>
        <w:rPr>
          <w:rFonts w:ascii="Arial" w:eastAsia="Times New Roman" w:hAnsi="Arial"/>
          <w:color w:val="000000"/>
          <w:sz w:val="20"/>
          <w:szCs w:val="20"/>
          <w:lang w:val="fr-FR"/>
        </w:rPr>
        <w:t>tème d'économie sociale et solidaire (ESS) inclusif et équitable en Tunisie, qui encourage la participation accrue des femmes dans le secteur.</w:t>
      </w:r>
    </w:p>
    <w:p w14:paraId="3838FBE7"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Plus concrètement, le projet bénéficiera directement à 200 femmes, travaillant avec 22 OESS dirigées par des femm</w:t>
      </w:r>
      <w:r>
        <w:rPr>
          <w:rFonts w:ascii="Arial" w:eastAsia="Times New Roman" w:hAnsi="Arial"/>
          <w:color w:val="000000"/>
          <w:sz w:val="20"/>
          <w:szCs w:val="20"/>
          <w:lang w:val="fr-FR"/>
        </w:rPr>
        <w:t>es, dont la majorité ont moins de trois ans d’existence et n'ont pas encore atteint un stade de développement qui leur permet de résister aux conséquences économiques de la pandémie de COVID-19. En plus de fournir une formation en gestion et en leadership,</w:t>
      </w:r>
      <w:r>
        <w:rPr>
          <w:rFonts w:ascii="Arial" w:eastAsia="Times New Roman" w:hAnsi="Arial"/>
          <w:color w:val="000000"/>
          <w:sz w:val="20"/>
          <w:szCs w:val="20"/>
          <w:lang w:val="fr-FR"/>
        </w:rPr>
        <w:t xml:space="preserve"> FORTER'ESS travaillera avec chaque organisation participante pour concevoir des plans de résilience et de développement sur mesure qui visent à rendre ces entreprises plus durables et plus résistantes aux chocs externes telle que cette pandémie. Les OESS </w:t>
      </w:r>
      <w:r>
        <w:rPr>
          <w:rFonts w:ascii="Arial" w:eastAsia="Times New Roman" w:hAnsi="Arial"/>
          <w:color w:val="000000"/>
          <w:sz w:val="20"/>
          <w:szCs w:val="20"/>
          <w:lang w:val="fr-FR"/>
        </w:rPr>
        <w:t>féminines sont dans la majorité installées dans les zones rurales et se composent essentiellement de groupements de développement agricole et de pêche (GDAP), de coopératives et de sociétés mutuelles de services agricoles (SMSA). Elles sont actives princip</w:t>
      </w:r>
      <w:r>
        <w:rPr>
          <w:rFonts w:ascii="Arial" w:eastAsia="Times New Roman" w:hAnsi="Arial"/>
          <w:color w:val="000000"/>
          <w:sz w:val="20"/>
          <w:szCs w:val="20"/>
          <w:lang w:val="fr-FR"/>
        </w:rPr>
        <w:t xml:space="preserve">alement </w:t>
      </w:r>
      <w:r>
        <w:rPr>
          <w:rFonts w:ascii="Arial" w:eastAsia="Times New Roman" w:hAnsi="Arial"/>
          <w:color w:val="000000"/>
          <w:sz w:val="20"/>
          <w:szCs w:val="20"/>
          <w:lang w:val="fr-FR"/>
        </w:rPr>
        <w:lastRenderedPageBreak/>
        <w:t>dans l’agriculture, la première transformation des produits agricoles, les plantes aromatiques et médicinales, le tourisme alternatif ainsi que l’artisanat.</w:t>
      </w:r>
    </w:p>
    <w:p w14:paraId="7D24905A" w14:textId="77777777" w:rsidR="004F7858" w:rsidRPr="0035741D" w:rsidRDefault="001F1F6D">
      <w:pPr>
        <w:spacing w:line="276" w:lineRule="auto"/>
        <w:jc w:val="both"/>
        <w:rPr>
          <w:lang w:val="fr-FR"/>
        </w:rPr>
      </w:pPr>
      <w:r>
        <w:rPr>
          <w:rFonts w:ascii="Arial" w:eastAsia="Times New Roman" w:hAnsi="Arial"/>
          <w:b/>
          <w:bCs/>
          <w:i/>
          <w:iCs/>
          <w:color w:val="000000"/>
          <w:sz w:val="20"/>
          <w:szCs w:val="20"/>
          <w:lang w:val="fr-FR"/>
        </w:rPr>
        <w:t>Objectif général et objectifs spécifiques du projet :</w:t>
      </w:r>
    </w:p>
    <w:p w14:paraId="7EC2B8D0"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 xml:space="preserve">L’objectif général du projet </w:t>
      </w:r>
      <w:r>
        <w:rPr>
          <w:rFonts w:ascii="Arial" w:eastAsia="Times New Roman" w:hAnsi="Arial"/>
          <w:color w:val="000000"/>
          <w:sz w:val="20"/>
          <w:szCs w:val="20"/>
          <w:lang w:val="fr-FR"/>
        </w:rPr>
        <w:t>FORTER’ESS est d’accroitre la résilience des organisations féminines de l’économie sociale et solidaire dans deux régions défavorisées et d’accroitre leurs capacités de créer des emplois décents. Trois objectifs spécifiques contribueront à la réalisation d</w:t>
      </w:r>
      <w:r>
        <w:rPr>
          <w:rFonts w:ascii="Arial" w:eastAsia="Times New Roman" w:hAnsi="Arial"/>
          <w:color w:val="000000"/>
          <w:sz w:val="20"/>
          <w:szCs w:val="20"/>
          <w:lang w:val="fr-FR"/>
        </w:rPr>
        <w:t>e l’objectif général :</w:t>
      </w:r>
    </w:p>
    <w:p w14:paraId="0F3907F7" w14:textId="77777777" w:rsidR="004F7858" w:rsidRPr="0035741D" w:rsidRDefault="001F1F6D">
      <w:pPr>
        <w:spacing w:line="276" w:lineRule="auto"/>
        <w:jc w:val="both"/>
        <w:rPr>
          <w:lang w:val="fr-FR"/>
        </w:rPr>
      </w:pPr>
      <w:r>
        <w:rPr>
          <w:rFonts w:ascii="Arial" w:eastAsia="Times New Roman" w:hAnsi="Arial"/>
          <w:b/>
          <w:bCs/>
          <w:color w:val="000000"/>
          <w:sz w:val="20"/>
          <w:szCs w:val="20"/>
          <w:lang w:val="fr-FR"/>
        </w:rPr>
        <w:t>Objectif spécifique 1</w:t>
      </w:r>
      <w:r>
        <w:rPr>
          <w:rFonts w:ascii="Arial" w:eastAsia="Times New Roman" w:hAnsi="Arial"/>
          <w:color w:val="000000"/>
          <w:sz w:val="20"/>
          <w:szCs w:val="20"/>
          <w:lang w:val="fr-FR"/>
        </w:rPr>
        <w:t xml:space="preserve"> : Les organisations féminines de l’ESS sont consolidées au niveau de trois gouvernorats</w:t>
      </w:r>
    </w:p>
    <w:p w14:paraId="19F340B6" w14:textId="77777777" w:rsidR="004F7858" w:rsidRPr="0035741D" w:rsidRDefault="001F1F6D">
      <w:pPr>
        <w:spacing w:line="276" w:lineRule="auto"/>
        <w:jc w:val="both"/>
        <w:rPr>
          <w:lang w:val="fr-FR"/>
        </w:rPr>
      </w:pPr>
      <w:r>
        <w:rPr>
          <w:rFonts w:ascii="Arial" w:eastAsia="Times New Roman" w:hAnsi="Arial"/>
          <w:b/>
          <w:bCs/>
          <w:color w:val="000000"/>
          <w:sz w:val="20"/>
          <w:szCs w:val="20"/>
          <w:lang w:val="fr-FR"/>
        </w:rPr>
        <w:t>Objectif spécifique 2</w:t>
      </w:r>
      <w:r>
        <w:rPr>
          <w:rFonts w:ascii="Arial" w:eastAsia="Times New Roman" w:hAnsi="Arial"/>
          <w:color w:val="000000"/>
          <w:sz w:val="20"/>
          <w:szCs w:val="20"/>
          <w:lang w:val="fr-FR"/>
        </w:rPr>
        <w:t xml:space="preserve"> : La protection sur le lieu de travail et les conditions de travail des femmes entrepreneures et des </w:t>
      </w:r>
      <w:r>
        <w:rPr>
          <w:rFonts w:ascii="Arial" w:eastAsia="Times New Roman" w:hAnsi="Arial"/>
          <w:color w:val="000000"/>
          <w:sz w:val="20"/>
          <w:szCs w:val="20"/>
          <w:lang w:val="fr-FR"/>
        </w:rPr>
        <w:t>travailleuses dans les organisations féminines de l’ESS sont améliorées dans deux régions défavorisées</w:t>
      </w:r>
    </w:p>
    <w:p w14:paraId="24063F84" w14:textId="77777777" w:rsidR="004F7858" w:rsidRPr="0035741D" w:rsidRDefault="001F1F6D">
      <w:pPr>
        <w:spacing w:line="276" w:lineRule="auto"/>
        <w:jc w:val="both"/>
        <w:rPr>
          <w:lang w:val="fr-FR"/>
        </w:rPr>
      </w:pPr>
      <w:r>
        <w:rPr>
          <w:rFonts w:ascii="Arial" w:eastAsia="Times New Roman" w:hAnsi="Arial"/>
          <w:b/>
          <w:bCs/>
          <w:color w:val="000000"/>
          <w:sz w:val="20"/>
          <w:szCs w:val="20"/>
          <w:lang w:val="fr-FR"/>
        </w:rPr>
        <w:t>Objectif spécifique 3</w:t>
      </w:r>
      <w:r>
        <w:rPr>
          <w:rFonts w:ascii="Arial" w:eastAsia="Times New Roman" w:hAnsi="Arial"/>
          <w:color w:val="000000"/>
          <w:sz w:val="20"/>
          <w:szCs w:val="20"/>
          <w:lang w:val="fr-FR"/>
        </w:rPr>
        <w:t xml:space="preserve"> : Les organisations de l’ESS bénéficient d’un écosystème inclusif, équitable et favorable</w:t>
      </w:r>
    </w:p>
    <w:p w14:paraId="1EBF63AD" w14:textId="77777777" w:rsidR="004F7858" w:rsidRPr="0035741D" w:rsidRDefault="001F1F6D">
      <w:pPr>
        <w:pStyle w:val="ListParagraph"/>
        <w:numPr>
          <w:ilvl w:val="0"/>
          <w:numId w:val="1"/>
        </w:numPr>
        <w:spacing w:line="276" w:lineRule="auto"/>
        <w:rPr>
          <w:lang w:val="fr-FR"/>
        </w:rPr>
      </w:pPr>
      <w:r>
        <w:rPr>
          <w:rFonts w:ascii="Arial" w:hAnsi="Arial"/>
          <w:b/>
          <w:bCs/>
          <w:color w:val="000000"/>
          <w:sz w:val="20"/>
          <w:szCs w:val="20"/>
          <w:u w:val="single"/>
          <w:lang w:val="fr-FR"/>
        </w:rPr>
        <w:t xml:space="preserve">OBJECTIFS DE LA MISSION ET </w:t>
      </w:r>
      <w:r>
        <w:rPr>
          <w:rFonts w:ascii="Arial" w:hAnsi="Arial"/>
          <w:b/>
          <w:bCs/>
          <w:color w:val="000000"/>
          <w:sz w:val="20"/>
          <w:szCs w:val="20"/>
          <w:u w:val="single"/>
          <w:lang w:val="fr-FR"/>
        </w:rPr>
        <w:t>RESULTATS ATTENDUS :</w:t>
      </w:r>
    </w:p>
    <w:p w14:paraId="2F5FAA95"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Le projet FORTER’ESS recherche un/une formateur/</w:t>
      </w:r>
      <w:proofErr w:type="spellStart"/>
      <w:r>
        <w:rPr>
          <w:rFonts w:ascii="Arial" w:eastAsia="Times New Roman" w:hAnsi="Arial"/>
          <w:color w:val="000000"/>
          <w:sz w:val="20"/>
          <w:szCs w:val="20"/>
          <w:lang w:val="fr-FR"/>
        </w:rPr>
        <w:t>ice</w:t>
      </w:r>
      <w:proofErr w:type="spellEnd"/>
      <w:r>
        <w:rPr>
          <w:rFonts w:ascii="Arial" w:eastAsia="Times New Roman" w:hAnsi="Arial"/>
          <w:color w:val="000000"/>
          <w:sz w:val="20"/>
          <w:szCs w:val="20"/>
          <w:lang w:val="fr-FR"/>
        </w:rPr>
        <w:t xml:space="preserve"> en techniques de commercialisation. Le prestataire devra assurer une formation de 3 jours sur les techniques de commercialisation au profit d’un groupe de 25 femmes qui évoluent major</w:t>
      </w:r>
      <w:r>
        <w:rPr>
          <w:rFonts w:ascii="Arial" w:eastAsia="Times New Roman" w:hAnsi="Arial"/>
          <w:color w:val="000000"/>
          <w:sz w:val="20"/>
          <w:szCs w:val="20"/>
          <w:lang w:val="fr-FR"/>
        </w:rPr>
        <w:t>itairement dans le milieu rural et dans la valorisation des ressources naturelles. Ces femmes sont dirigeantes ou membres de groupements féminins qui travaillent dans l’apiculture, la valorisation des produits de terroir et la distillation des plantes arom</w:t>
      </w:r>
      <w:r>
        <w:rPr>
          <w:rFonts w:ascii="Arial" w:eastAsia="Times New Roman" w:hAnsi="Arial"/>
          <w:color w:val="000000"/>
          <w:sz w:val="20"/>
          <w:szCs w:val="20"/>
          <w:lang w:val="fr-FR"/>
        </w:rPr>
        <w:t xml:space="preserve">atiques et médicinales. </w:t>
      </w:r>
    </w:p>
    <w:p w14:paraId="041FDB97"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 xml:space="preserve">Les objectifs pédagogiques de la mission sont principalement : </w:t>
      </w:r>
    </w:p>
    <w:p w14:paraId="5537F1F1" w14:textId="77777777" w:rsidR="004F7858" w:rsidRDefault="001F1F6D">
      <w:pPr>
        <w:pStyle w:val="ListParagraph"/>
        <w:numPr>
          <w:ilvl w:val="0"/>
          <w:numId w:val="2"/>
        </w:numPr>
        <w:spacing w:line="285" w:lineRule="exact"/>
        <w:jc w:val="both"/>
        <w:rPr>
          <w:rFonts w:ascii="Arial" w:eastAsia="Roboto" w:hAnsi="Arial"/>
          <w:color w:val="333333"/>
          <w:sz w:val="20"/>
          <w:szCs w:val="20"/>
          <w:lang w:val="fr-FR"/>
        </w:rPr>
      </w:pPr>
      <w:r>
        <w:rPr>
          <w:rFonts w:ascii="Arial" w:eastAsia="Roboto" w:hAnsi="Arial"/>
          <w:color w:val="333333"/>
          <w:sz w:val="20"/>
          <w:szCs w:val="20"/>
          <w:lang w:val="fr-FR"/>
        </w:rPr>
        <w:t>Acquérir la notion de culture commerciale en développant son efficacité commerciale de la préparation à la conclusion</w:t>
      </w:r>
    </w:p>
    <w:p w14:paraId="5E498C55" w14:textId="77777777" w:rsidR="004F7858" w:rsidRDefault="001F1F6D">
      <w:pPr>
        <w:pStyle w:val="ListParagraph"/>
        <w:numPr>
          <w:ilvl w:val="0"/>
          <w:numId w:val="2"/>
        </w:numPr>
        <w:spacing w:line="285" w:lineRule="exact"/>
        <w:jc w:val="both"/>
        <w:rPr>
          <w:rFonts w:ascii="Arial" w:eastAsia="Roboto" w:hAnsi="Arial"/>
          <w:color w:val="333333"/>
          <w:sz w:val="20"/>
          <w:szCs w:val="20"/>
          <w:lang w:val="fr-FR"/>
        </w:rPr>
      </w:pPr>
      <w:r>
        <w:rPr>
          <w:rFonts w:ascii="Arial" w:eastAsia="Roboto" w:hAnsi="Arial"/>
          <w:color w:val="333333"/>
          <w:sz w:val="20"/>
          <w:szCs w:val="20"/>
          <w:lang w:val="fr-FR"/>
        </w:rPr>
        <w:t xml:space="preserve">Connaître et adopter les bonnes postures lors de </w:t>
      </w:r>
      <w:r>
        <w:rPr>
          <w:rFonts w:ascii="Arial" w:eastAsia="Roboto" w:hAnsi="Arial"/>
          <w:color w:val="333333"/>
          <w:sz w:val="20"/>
          <w:szCs w:val="20"/>
          <w:lang w:val="fr-FR"/>
        </w:rPr>
        <w:t>ses rendez-vous commerciaux : travailler sa communication commerciale</w:t>
      </w:r>
    </w:p>
    <w:p w14:paraId="4699744B" w14:textId="77777777" w:rsidR="004F7858" w:rsidRDefault="001F1F6D">
      <w:pPr>
        <w:pStyle w:val="ListParagraph"/>
        <w:numPr>
          <w:ilvl w:val="0"/>
          <w:numId w:val="2"/>
        </w:numPr>
        <w:spacing w:line="285" w:lineRule="exact"/>
        <w:jc w:val="both"/>
        <w:rPr>
          <w:rFonts w:ascii="Arial" w:eastAsia="Roboto" w:hAnsi="Arial"/>
          <w:color w:val="333333"/>
          <w:sz w:val="20"/>
          <w:szCs w:val="20"/>
          <w:lang w:val="fr-FR"/>
        </w:rPr>
      </w:pPr>
      <w:r>
        <w:rPr>
          <w:rFonts w:ascii="Arial" w:eastAsia="Roboto" w:hAnsi="Arial"/>
          <w:color w:val="333333"/>
          <w:sz w:val="20"/>
          <w:szCs w:val="20"/>
          <w:lang w:val="fr-FR"/>
        </w:rPr>
        <w:t>Procéder, avec méthode, au déroulement de son entretien de vente</w:t>
      </w:r>
    </w:p>
    <w:p w14:paraId="080F2BCE" w14:textId="77777777" w:rsidR="004F7858" w:rsidRDefault="001F1F6D">
      <w:pPr>
        <w:pStyle w:val="ListParagraph"/>
        <w:numPr>
          <w:ilvl w:val="0"/>
          <w:numId w:val="2"/>
        </w:numPr>
        <w:spacing w:line="285" w:lineRule="exact"/>
        <w:jc w:val="both"/>
        <w:rPr>
          <w:rFonts w:ascii="Arial" w:eastAsia="Roboto" w:hAnsi="Arial"/>
          <w:color w:val="333333"/>
          <w:sz w:val="20"/>
          <w:szCs w:val="20"/>
          <w:lang w:val="fr-FR"/>
        </w:rPr>
      </w:pPr>
      <w:r>
        <w:rPr>
          <w:rFonts w:ascii="Arial" w:eastAsia="Roboto" w:hAnsi="Arial"/>
          <w:color w:val="333333"/>
          <w:sz w:val="20"/>
          <w:szCs w:val="20"/>
          <w:lang w:val="fr-FR"/>
        </w:rPr>
        <w:t>Développer son leadership relationnel en face à face, renforcer sa force de persuasion en clientèle</w:t>
      </w:r>
    </w:p>
    <w:p w14:paraId="4910270C"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L’accompagnement sera</w:t>
      </w:r>
      <w:r>
        <w:rPr>
          <w:rFonts w:ascii="Arial" w:eastAsia="Times New Roman" w:hAnsi="Arial"/>
          <w:color w:val="000000"/>
          <w:sz w:val="20"/>
          <w:szCs w:val="20"/>
          <w:lang w:val="fr-FR"/>
        </w:rPr>
        <w:t xml:space="preserve"> mis en place durant la période allant du 10 au 19 mars 2023. En effet, il pourra prendre la forme de moments collectifs d’apprentissage mais aussi d’un accompagnement individuel et d’exercices pratiques durant la participation des femmes à la foire de l’a</w:t>
      </w:r>
      <w:r>
        <w:rPr>
          <w:rFonts w:ascii="Arial" w:eastAsia="Times New Roman" w:hAnsi="Arial"/>
          <w:color w:val="000000"/>
          <w:sz w:val="20"/>
          <w:szCs w:val="20"/>
          <w:lang w:val="fr-FR"/>
        </w:rPr>
        <w:t>rtisanat au Kram, prévue du 10 au 19 mars 2023.</w:t>
      </w:r>
    </w:p>
    <w:p w14:paraId="0BB6CD75" w14:textId="77777777" w:rsidR="004F7858" w:rsidRPr="0035741D" w:rsidRDefault="001F1F6D">
      <w:pPr>
        <w:pStyle w:val="ListParagraph"/>
        <w:numPr>
          <w:ilvl w:val="0"/>
          <w:numId w:val="1"/>
        </w:numPr>
        <w:spacing w:line="276" w:lineRule="auto"/>
        <w:jc w:val="both"/>
        <w:rPr>
          <w:lang w:val="fr-FR"/>
        </w:rPr>
      </w:pPr>
      <w:r>
        <w:rPr>
          <w:rFonts w:ascii="Arial" w:hAnsi="Arial"/>
          <w:b/>
          <w:bCs/>
          <w:color w:val="000000"/>
          <w:sz w:val="20"/>
          <w:szCs w:val="20"/>
          <w:u w:val="single"/>
          <w:lang w:val="fr-FR"/>
        </w:rPr>
        <w:t>DUREE ET LIEU DE LA MISSION :</w:t>
      </w:r>
    </w:p>
    <w:p w14:paraId="7EF4A9A9" w14:textId="77777777" w:rsidR="004F7858" w:rsidRDefault="001F1F6D">
      <w:pPr>
        <w:spacing w:line="276" w:lineRule="auto"/>
        <w:jc w:val="both"/>
        <w:rPr>
          <w:rFonts w:ascii="Arial" w:eastAsia="Times New Roman" w:hAnsi="Arial"/>
          <w:color w:val="000000"/>
          <w:sz w:val="20"/>
          <w:szCs w:val="20"/>
          <w:lang w:val="fr-FR"/>
        </w:rPr>
      </w:pPr>
      <w:r>
        <w:rPr>
          <w:rFonts w:ascii="Arial" w:eastAsia="Times New Roman" w:hAnsi="Arial"/>
          <w:color w:val="000000"/>
          <w:sz w:val="20"/>
          <w:szCs w:val="20"/>
          <w:lang w:val="fr-FR"/>
        </w:rPr>
        <w:t>Le prestataire devra consacrer 3 jours d’accompagnement sur les techniques de vente et de commercialisation au profit d’un groupe de 25 femmes membres de différents groupements e</w:t>
      </w:r>
      <w:r>
        <w:rPr>
          <w:rFonts w:ascii="Arial" w:eastAsia="Times New Roman" w:hAnsi="Arial"/>
          <w:color w:val="000000"/>
          <w:sz w:val="20"/>
          <w:szCs w:val="20"/>
          <w:lang w:val="fr-FR"/>
        </w:rPr>
        <w:t>t évoluant majoritairement en milieu rural. L’accompagnement se déroulera en langue arabe durant le mois de mars 2023. L’accompagnement sera mis en place durant la période allant du 10 au 19 mars 2023. En effet, il pourra prendre la forme de moments collec</w:t>
      </w:r>
      <w:r>
        <w:rPr>
          <w:rFonts w:ascii="Arial" w:eastAsia="Times New Roman" w:hAnsi="Arial"/>
          <w:color w:val="000000"/>
          <w:sz w:val="20"/>
          <w:szCs w:val="20"/>
          <w:lang w:val="fr-FR"/>
        </w:rPr>
        <w:t>tifs d’apprentissage mais aussi d’un accompagnement individuel et d’exercices pratiques durant la participation des femmes à la foire de l’artisanat au Kram, prévue du 10 au 19 mars 2023.</w:t>
      </w:r>
    </w:p>
    <w:p w14:paraId="0B1DC663" w14:textId="77777777" w:rsidR="004F7858" w:rsidRPr="0035741D" w:rsidRDefault="001F1F6D">
      <w:pPr>
        <w:spacing w:line="276" w:lineRule="auto"/>
        <w:jc w:val="both"/>
        <w:rPr>
          <w:lang w:val="fr-FR"/>
        </w:rPr>
      </w:pPr>
      <w:r>
        <w:rPr>
          <w:rFonts w:ascii="Arial" w:hAnsi="Arial"/>
          <w:b/>
          <w:bCs/>
          <w:color w:val="000000"/>
          <w:sz w:val="20"/>
          <w:szCs w:val="20"/>
          <w:u w:val="single"/>
          <w:lang w:val="fr-FR"/>
        </w:rPr>
        <w:t>LIVRABLES :</w:t>
      </w:r>
    </w:p>
    <w:p w14:paraId="10507F89" w14:textId="77777777" w:rsidR="004F7858" w:rsidRDefault="001F1F6D">
      <w:pPr>
        <w:spacing w:line="276" w:lineRule="auto"/>
        <w:rPr>
          <w:rFonts w:ascii="Arial" w:hAnsi="Arial"/>
          <w:color w:val="000000"/>
          <w:sz w:val="20"/>
          <w:szCs w:val="20"/>
          <w:lang w:val="fr-FR"/>
        </w:rPr>
      </w:pPr>
      <w:r>
        <w:rPr>
          <w:rFonts w:ascii="Arial" w:hAnsi="Arial"/>
          <w:color w:val="000000"/>
          <w:sz w:val="20"/>
          <w:szCs w:val="20"/>
          <w:lang w:val="fr-FR"/>
        </w:rPr>
        <w:t xml:space="preserve">-Manuel ou plan de formation en arabe avant le </w:t>
      </w:r>
      <w:r>
        <w:rPr>
          <w:rFonts w:ascii="Arial" w:hAnsi="Arial"/>
          <w:color w:val="000000"/>
          <w:sz w:val="20"/>
          <w:szCs w:val="20"/>
          <w:lang w:val="fr-FR"/>
        </w:rPr>
        <w:t xml:space="preserve">début de la formation </w:t>
      </w:r>
    </w:p>
    <w:p w14:paraId="7B396DC1" w14:textId="77777777" w:rsidR="004F7858" w:rsidRDefault="001F1F6D">
      <w:pPr>
        <w:spacing w:line="276" w:lineRule="auto"/>
        <w:rPr>
          <w:rFonts w:ascii="Arial" w:hAnsi="Arial"/>
          <w:color w:val="000000"/>
          <w:sz w:val="20"/>
          <w:szCs w:val="20"/>
          <w:lang w:val="fr-FR"/>
        </w:rPr>
      </w:pPr>
      <w:r>
        <w:rPr>
          <w:rFonts w:ascii="Arial" w:hAnsi="Arial"/>
          <w:color w:val="000000"/>
          <w:sz w:val="20"/>
          <w:szCs w:val="20"/>
          <w:lang w:val="fr-FR"/>
        </w:rPr>
        <w:t xml:space="preserve">-Rapport narratif final </w:t>
      </w:r>
    </w:p>
    <w:p w14:paraId="65346DC9" w14:textId="77777777" w:rsidR="004F7858" w:rsidRPr="0035741D" w:rsidRDefault="001F1F6D">
      <w:pPr>
        <w:pStyle w:val="ListParagraph"/>
        <w:numPr>
          <w:ilvl w:val="0"/>
          <w:numId w:val="1"/>
        </w:numPr>
        <w:spacing w:line="276" w:lineRule="auto"/>
        <w:rPr>
          <w:lang w:val="fr-FR"/>
        </w:rPr>
      </w:pPr>
      <w:r>
        <w:rPr>
          <w:rFonts w:ascii="Arial" w:hAnsi="Arial"/>
          <w:b/>
          <w:bCs/>
          <w:color w:val="000000"/>
          <w:sz w:val="20"/>
          <w:szCs w:val="20"/>
          <w:u w:val="single"/>
          <w:lang w:val="fr-FR"/>
        </w:rPr>
        <w:t>HONORAIRES ET MODALITES DE PAIEMENT :</w:t>
      </w:r>
    </w:p>
    <w:p w14:paraId="2764AEC8" w14:textId="77777777" w:rsidR="004F7858" w:rsidRDefault="001F1F6D">
      <w:pPr>
        <w:spacing w:line="276" w:lineRule="auto"/>
        <w:rPr>
          <w:rFonts w:ascii="Arial" w:hAnsi="Arial"/>
          <w:color w:val="000000"/>
          <w:sz w:val="20"/>
          <w:szCs w:val="20"/>
          <w:lang w:val="fr-FR"/>
        </w:rPr>
      </w:pPr>
      <w:r>
        <w:rPr>
          <w:rFonts w:ascii="Arial" w:hAnsi="Arial"/>
          <w:color w:val="000000"/>
          <w:sz w:val="20"/>
          <w:szCs w:val="20"/>
          <w:lang w:val="fr-FR"/>
        </w:rPr>
        <w:t>Le prix de la prestation est calculé au forfait et sera fixé globalement, tout inclus. La rémunération se fera sur à la fin de prestation et à la remise du dernier livrab</w:t>
      </w:r>
      <w:r>
        <w:rPr>
          <w:rFonts w:ascii="Arial" w:hAnsi="Arial"/>
          <w:color w:val="000000"/>
          <w:sz w:val="20"/>
          <w:szCs w:val="20"/>
          <w:lang w:val="fr-FR"/>
        </w:rPr>
        <w:t>le :</w:t>
      </w:r>
    </w:p>
    <w:p w14:paraId="5C9204AC" w14:textId="77777777" w:rsidR="004F7858" w:rsidRDefault="001F1F6D">
      <w:pPr>
        <w:spacing w:line="276" w:lineRule="auto"/>
        <w:rPr>
          <w:rFonts w:ascii="Arial" w:hAnsi="Arial"/>
          <w:color w:val="000000"/>
          <w:sz w:val="20"/>
          <w:szCs w:val="20"/>
          <w:lang w:val="fr-FR"/>
        </w:rPr>
      </w:pPr>
      <w:r>
        <w:rPr>
          <w:rFonts w:ascii="Arial" w:hAnsi="Arial"/>
          <w:color w:val="000000"/>
          <w:sz w:val="20"/>
          <w:szCs w:val="20"/>
          <w:lang w:val="fr-FR"/>
        </w:rPr>
        <w:t xml:space="preserve">-100% à la réception du rapport narratif final </w:t>
      </w:r>
    </w:p>
    <w:p w14:paraId="68CA2867" w14:textId="77777777" w:rsidR="004F7858" w:rsidRPr="0035741D" w:rsidRDefault="001F1F6D">
      <w:pPr>
        <w:pStyle w:val="ListParagraph"/>
        <w:numPr>
          <w:ilvl w:val="0"/>
          <w:numId w:val="1"/>
        </w:numPr>
        <w:spacing w:line="276" w:lineRule="auto"/>
        <w:rPr>
          <w:lang w:val="fr-FR"/>
        </w:rPr>
      </w:pPr>
      <w:r>
        <w:rPr>
          <w:rFonts w:ascii="Arial" w:hAnsi="Arial"/>
          <w:b/>
          <w:bCs/>
          <w:color w:val="000000"/>
          <w:sz w:val="20"/>
          <w:szCs w:val="20"/>
          <w:u w:val="single"/>
          <w:lang w:val="fr-FR"/>
        </w:rPr>
        <w:t>PROFIL ET QUALIFICATION DU BUREAU :</w:t>
      </w:r>
    </w:p>
    <w:p w14:paraId="2E7CE32B" w14:textId="77777777" w:rsidR="004F7858" w:rsidRDefault="001F1F6D">
      <w:pPr>
        <w:pStyle w:val="paragraph"/>
        <w:spacing w:before="0" w:after="0"/>
        <w:jc w:val="both"/>
        <w:textAlignment w:val="baseline"/>
      </w:pPr>
      <w:r>
        <w:rPr>
          <w:rFonts w:ascii="Arial" w:eastAsia="Calibri" w:hAnsi="Arial" w:cs="Arial"/>
          <w:color w:val="000000"/>
          <w:sz w:val="20"/>
          <w:szCs w:val="20"/>
        </w:rPr>
        <w:t xml:space="preserve"> </w:t>
      </w:r>
      <w:r>
        <w:rPr>
          <w:rStyle w:val="normaltextrun"/>
          <w:rFonts w:ascii="Arial" w:hAnsi="Arial" w:cs="Arial"/>
          <w:sz w:val="20"/>
          <w:szCs w:val="20"/>
        </w:rPr>
        <w:t>Afin de réaliser cette mission, nous recherchons un cabinet de formation répondant aux critères suivants :</w:t>
      </w:r>
      <w:r>
        <w:rPr>
          <w:rStyle w:val="eop"/>
          <w:rFonts w:ascii="Arial" w:hAnsi="Arial" w:cs="Arial"/>
          <w:sz w:val="20"/>
          <w:szCs w:val="20"/>
        </w:rPr>
        <w:t> </w:t>
      </w:r>
    </w:p>
    <w:p w14:paraId="0823A3BE" w14:textId="77777777" w:rsidR="004F7858" w:rsidRDefault="001F1F6D">
      <w:pPr>
        <w:pStyle w:val="paragraph"/>
        <w:numPr>
          <w:ilvl w:val="0"/>
          <w:numId w:val="3"/>
        </w:numPr>
        <w:tabs>
          <w:tab w:val="left" w:pos="720"/>
        </w:tabs>
        <w:spacing w:before="0" w:after="0"/>
        <w:ind w:left="1080" w:firstLine="0"/>
        <w:jc w:val="both"/>
        <w:textAlignment w:val="baseline"/>
      </w:pPr>
      <w:r>
        <w:rPr>
          <w:rStyle w:val="normaltextrun"/>
          <w:rFonts w:ascii="Arial" w:hAnsi="Arial" w:cs="Arial"/>
          <w:sz w:val="20"/>
          <w:szCs w:val="20"/>
        </w:rPr>
        <w:t xml:space="preserve">Capacité organisationnelle et expériences dans le domaine </w:t>
      </w:r>
      <w:r>
        <w:rPr>
          <w:rStyle w:val="normaltextrun"/>
          <w:rFonts w:ascii="Arial" w:hAnsi="Arial" w:cs="Arial"/>
          <w:sz w:val="20"/>
          <w:szCs w:val="20"/>
        </w:rPr>
        <w:t>de management des OESS avec une spécialisation dans la gouvernance participative </w:t>
      </w:r>
      <w:r>
        <w:rPr>
          <w:rStyle w:val="eop"/>
          <w:rFonts w:ascii="Arial" w:hAnsi="Arial" w:cs="Arial"/>
          <w:sz w:val="20"/>
          <w:szCs w:val="20"/>
        </w:rPr>
        <w:t> </w:t>
      </w:r>
    </w:p>
    <w:p w14:paraId="5A4D6F90" w14:textId="77777777" w:rsidR="004F7858" w:rsidRDefault="001F1F6D">
      <w:pPr>
        <w:pStyle w:val="paragraph"/>
        <w:numPr>
          <w:ilvl w:val="0"/>
          <w:numId w:val="3"/>
        </w:numPr>
        <w:tabs>
          <w:tab w:val="left" w:pos="720"/>
        </w:tabs>
        <w:spacing w:before="0" w:after="0"/>
        <w:ind w:left="1080" w:firstLine="0"/>
        <w:jc w:val="both"/>
        <w:textAlignment w:val="baseline"/>
      </w:pPr>
      <w:r>
        <w:rPr>
          <w:rStyle w:val="eop"/>
          <w:rFonts w:ascii="Arial" w:hAnsi="Arial" w:cs="Arial"/>
          <w:sz w:val="20"/>
          <w:szCs w:val="20"/>
        </w:rPr>
        <w:t>Maîtrise du volet commercial et des techniques de vente avec une connaissance du secteur de l’apiculture, des produits de terroir et des PAM</w:t>
      </w:r>
    </w:p>
    <w:p w14:paraId="67BDC259" w14:textId="77777777" w:rsidR="004F7858" w:rsidRDefault="001F1F6D">
      <w:pPr>
        <w:pStyle w:val="paragraph"/>
        <w:numPr>
          <w:ilvl w:val="0"/>
          <w:numId w:val="4"/>
        </w:numPr>
        <w:tabs>
          <w:tab w:val="left" w:pos="720"/>
        </w:tabs>
        <w:spacing w:before="0" w:after="0"/>
        <w:ind w:left="1080" w:firstLine="0"/>
        <w:jc w:val="both"/>
        <w:textAlignment w:val="baseline"/>
      </w:pPr>
      <w:r>
        <w:rPr>
          <w:rStyle w:val="normaltextrun"/>
          <w:rFonts w:ascii="Arial" w:hAnsi="Arial" w:cs="Arial"/>
          <w:sz w:val="20"/>
          <w:szCs w:val="20"/>
        </w:rPr>
        <w:t xml:space="preserve">Expérience dans </w:t>
      </w:r>
      <w:r>
        <w:rPr>
          <w:rStyle w:val="normaltextrun"/>
          <w:rFonts w:ascii="Arial" w:hAnsi="Arial" w:cs="Arial"/>
          <w:sz w:val="20"/>
          <w:szCs w:val="20"/>
        </w:rPr>
        <w:t>l’exécution de projets similaires &amp; dans des projets d’autonomisation économique des femmes</w:t>
      </w:r>
      <w:r>
        <w:rPr>
          <w:rStyle w:val="eop"/>
          <w:rFonts w:ascii="Arial" w:hAnsi="Arial" w:cs="Arial"/>
          <w:sz w:val="20"/>
          <w:szCs w:val="20"/>
        </w:rPr>
        <w:t> </w:t>
      </w:r>
    </w:p>
    <w:p w14:paraId="75D5C4C5" w14:textId="77777777" w:rsidR="004F7858" w:rsidRDefault="001F1F6D">
      <w:pPr>
        <w:pStyle w:val="paragraph"/>
        <w:numPr>
          <w:ilvl w:val="0"/>
          <w:numId w:val="4"/>
        </w:numPr>
        <w:tabs>
          <w:tab w:val="left" w:pos="720"/>
        </w:tabs>
        <w:spacing w:before="0" w:after="0"/>
        <w:ind w:left="1080" w:firstLine="0"/>
        <w:jc w:val="both"/>
        <w:textAlignment w:val="baseline"/>
      </w:pPr>
      <w:r>
        <w:rPr>
          <w:rStyle w:val="normaltextrun"/>
          <w:rFonts w:ascii="Arial" w:hAnsi="Arial" w:cs="Arial"/>
          <w:sz w:val="20"/>
          <w:szCs w:val="20"/>
        </w:rPr>
        <w:t>Expérience dans le domaine de formation professionnelle</w:t>
      </w:r>
      <w:r>
        <w:rPr>
          <w:rStyle w:val="eop"/>
          <w:rFonts w:ascii="Arial" w:hAnsi="Arial" w:cs="Arial"/>
          <w:sz w:val="20"/>
          <w:szCs w:val="20"/>
        </w:rPr>
        <w:t> </w:t>
      </w:r>
    </w:p>
    <w:p w14:paraId="24EA9DBF" w14:textId="77777777" w:rsidR="004F7858" w:rsidRDefault="001F1F6D">
      <w:pPr>
        <w:pStyle w:val="paragraph"/>
        <w:numPr>
          <w:ilvl w:val="0"/>
          <w:numId w:val="4"/>
        </w:numPr>
        <w:tabs>
          <w:tab w:val="left" w:pos="720"/>
        </w:tabs>
        <w:spacing w:before="0" w:after="0"/>
        <w:ind w:left="1080" w:firstLine="0"/>
        <w:jc w:val="both"/>
        <w:textAlignment w:val="baseline"/>
      </w:pPr>
      <w:r>
        <w:rPr>
          <w:rStyle w:val="normaltextrun"/>
          <w:rFonts w:ascii="Arial" w:hAnsi="Arial" w:cs="Arial"/>
          <w:sz w:val="20"/>
          <w:szCs w:val="20"/>
        </w:rPr>
        <w:t>Très bonnes connaissances des défis et missions des agences de coopération au développement, ONU, ONG, etc</w:t>
      </w:r>
      <w:r>
        <w:rPr>
          <w:rStyle w:val="normaltextrun"/>
          <w:rFonts w:ascii="Arial" w:hAnsi="Arial" w:cs="Arial"/>
          <w:sz w:val="20"/>
          <w:szCs w:val="20"/>
        </w:rPr>
        <w:t>…</w:t>
      </w:r>
      <w:r>
        <w:rPr>
          <w:rStyle w:val="eop"/>
          <w:rFonts w:ascii="Arial" w:hAnsi="Arial" w:cs="Arial"/>
          <w:sz w:val="20"/>
          <w:szCs w:val="20"/>
        </w:rPr>
        <w:t> </w:t>
      </w:r>
    </w:p>
    <w:p w14:paraId="57B27CAE" w14:textId="77777777" w:rsidR="004F7858" w:rsidRDefault="001F1F6D">
      <w:pPr>
        <w:pStyle w:val="paragraph"/>
        <w:numPr>
          <w:ilvl w:val="0"/>
          <w:numId w:val="4"/>
        </w:numPr>
        <w:tabs>
          <w:tab w:val="left" w:pos="720"/>
        </w:tabs>
        <w:spacing w:before="0" w:after="0"/>
        <w:ind w:left="1080" w:firstLine="0"/>
        <w:jc w:val="both"/>
        <w:textAlignment w:val="baseline"/>
      </w:pPr>
      <w:r>
        <w:rPr>
          <w:rStyle w:val="normaltextrun"/>
          <w:rFonts w:ascii="Arial" w:hAnsi="Arial" w:cs="Arial"/>
          <w:sz w:val="20"/>
          <w:szCs w:val="20"/>
        </w:rPr>
        <w:t>Très bonnes connaissances des défis d’égalité de genre</w:t>
      </w:r>
      <w:r>
        <w:rPr>
          <w:rStyle w:val="eop"/>
          <w:rFonts w:ascii="Arial" w:hAnsi="Arial" w:cs="Arial"/>
          <w:sz w:val="20"/>
          <w:szCs w:val="20"/>
        </w:rPr>
        <w:t> </w:t>
      </w:r>
    </w:p>
    <w:p w14:paraId="7566064F" w14:textId="77777777" w:rsidR="004F7858" w:rsidRDefault="001F1F6D">
      <w:pPr>
        <w:pStyle w:val="paragraph"/>
        <w:numPr>
          <w:ilvl w:val="0"/>
          <w:numId w:val="4"/>
        </w:numPr>
        <w:tabs>
          <w:tab w:val="left" w:pos="720"/>
        </w:tabs>
        <w:spacing w:before="0" w:after="0"/>
        <w:ind w:left="1080" w:firstLine="0"/>
        <w:jc w:val="both"/>
        <w:textAlignment w:val="baseline"/>
      </w:pPr>
      <w:r>
        <w:rPr>
          <w:rStyle w:val="normaltextrun"/>
          <w:rFonts w:ascii="Arial" w:hAnsi="Arial" w:cs="Arial"/>
          <w:sz w:val="20"/>
          <w:szCs w:val="20"/>
        </w:rPr>
        <w:t>Souplesse et aptitudes à être réactif aux demandes et recommandations de l’équipe du projet</w:t>
      </w:r>
      <w:r>
        <w:rPr>
          <w:rStyle w:val="eop"/>
          <w:rFonts w:ascii="Arial" w:hAnsi="Arial" w:cs="Arial"/>
          <w:sz w:val="20"/>
          <w:szCs w:val="20"/>
        </w:rPr>
        <w:t> </w:t>
      </w:r>
    </w:p>
    <w:p w14:paraId="660D0280" w14:textId="77777777" w:rsidR="004F7858" w:rsidRDefault="004F7858">
      <w:pPr>
        <w:spacing w:line="276" w:lineRule="auto"/>
        <w:jc w:val="both"/>
        <w:rPr>
          <w:rFonts w:ascii="Arial" w:hAnsi="Arial"/>
          <w:color w:val="000000"/>
          <w:sz w:val="20"/>
          <w:szCs w:val="20"/>
          <w:lang w:val="fr-FR"/>
        </w:rPr>
      </w:pPr>
    </w:p>
    <w:p w14:paraId="1C25E7CE" w14:textId="77777777" w:rsidR="004F7858" w:rsidRDefault="001F1F6D">
      <w:pPr>
        <w:pStyle w:val="ListParagraph"/>
        <w:numPr>
          <w:ilvl w:val="0"/>
          <w:numId w:val="1"/>
        </w:numPr>
        <w:spacing w:line="276" w:lineRule="auto"/>
      </w:pPr>
      <w:r>
        <w:rPr>
          <w:rFonts w:ascii="Arial" w:hAnsi="Arial"/>
          <w:b/>
          <w:bCs/>
          <w:color w:val="000000"/>
          <w:sz w:val="20"/>
          <w:szCs w:val="20"/>
          <w:u w:val="single"/>
          <w:lang w:val="en-US"/>
        </w:rPr>
        <w:t xml:space="preserve">PIÈCES CONSTITUTIVES DE </w:t>
      </w:r>
      <w:proofErr w:type="gramStart"/>
      <w:r>
        <w:rPr>
          <w:rFonts w:ascii="Arial" w:hAnsi="Arial"/>
          <w:b/>
          <w:bCs/>
          <w:color w:val="000000"/>
          <w:sz w:val="20"/>
          <w:szCs w:val="20"/>
          <w:u w:val="single"/>
          <w:lang w:val="en-US"/>
        </w:rPr>
        <w:t>L’OFFRE :</w:t>
      </w:r>
      <w:proofErr w:type="gramEnd"/>
    </w:p>
    <w:p w14:paraId="753A949D" w14:textId="77777777" w:rsidR="004F7858" w:rsidRDefault="001F1F6D">
      <w:pPr>
        <w:pStyle w:val="paragraph"/>
        <w:spacing w:before="0" w:after="0"/>
        <w:ind w:left="720"/>
        <w:jc w:val="both"/>
        <w:textAlignment w:val="baseline"/>
      </w:pPr>
      <w:r>
        <w:rPr>
          <w:rStyle w:val="normaltextrun"/>
          <w:rFonts w:ascii="Arial" w:hAnsi="Arial" w:cs="Arial"/>
          <w:b/>
          <w:bCs/>
          <w:color w:val="000000"/>
          <w:sz w:val="20"/>
          <w:szCs w:val="20"/>
          <w:lang w:val="en-GB"/>
        </w:rPr>
        <w:t xml:space="preserve">Une </w:t>
      </w:r>
      <w:proofErr w:type="spellStart"/>
      <w:r>
        <w:rPr>
          <w:rStyle w:val="normaltextrun"/>
          <w:rFonts w:ascii="Arial" w:hAnsi="Arial" w:cs="Arial"/>
          <w:b/>
          <w:bCs/>
          <w:color w:val="000000"/>
          <w:sz w:val="20"/>
          <w:szCs w:val="20"/>
          <w:lang w:val="en-GB"/>
        </w:rPr>
        <w:t>offre</w:t>
      </w:r>
      <w:proofErr w:type="spellEnd"/>
      <w:r>
        <w:rPr>
          <w:rStyle w:val="normaltextrun"/>
          <w:rFonts w:ascii="Arial" w:hAnsi="Arial" w:cs="Arial"/>
          <w:b/>
          <w:bCs/>
          <w:color w:val="000000"/>
          <w:sz w:val="20"/>
          <w:szCs w:val="20"/>
          <w:lang w:val="en-GB"/>
        </w:rPr>
        <w:t xml:space="preserve"> technique </w:t>
      </w:r>
      <w:proofErr w:type="spellStart"/>
      <w:proofErr w:type="gramStart"/>
      <w:r>
        <w:rPr>
          <w:rStyle w:val="normaltextrun"/>
          <w:rFonts w:ascii="Arial" w:hAnsi="Arial" w:cs="Arial"/>
          <w:color w:val="000000"/>
          <w:sz w:val="20"/>
          <w:szCs w:val="20"/>
          <w:lang w:val="en-GB"/>
        </w:rPr>
        <w:t>comprenant</w:t>
      </w:r>
      <w:proofErr w:type="spellEnd"/>
      <w:r>
        <w:rPr>
          <w:rStyle w:val="normaltextrun"/>
          <w:rFonts w:ascii="Arial" w:hAnsi="Arial" w:cs="Arial"/>
          <w:color w:val="000000"/>
          <w:sz w:val="20"/>
          <w:szCs w:val="20"/>
          <w:lang w:val="en-GB"/>
        </w:rPr>
        <w:t xml:space="preserve"> :</w:t>
      </w:r>
      <w:proofErr w:type="gramEnd"/>
      <w:r>
        <w:rPr>
          <w:rStyle w:val="eop"/>
          <w:rFonts w:ascii="Arial" w:hAnsi="Arial" w:cs="Arial"/>
          <w:color w:val="000000"/>
          <w:sz w:val="20"/>
          <w:szCs w:val="20"/>
        </w:rPr>
        <w:t> </w:t>
      </w:r>
    </w:p>
    <w:p w14:paraId="63642F83" w14:textId="77777777" w:rsidR="004F7858" w:rsidRDefault="004F7858">
      <w:pPr>
        <w:pStyle w:val="paragraph"/>
        <w:spacing w:before="0" w:after="0"/>
        <w:ind w:left="720"/>
        <w:jc w:val="both"/>
        <w:textAlignment w:val="baseline"/>
        <w:rPr>
          <w:rFonts w:ascii="Arial" w:hAnsi="Arial" w:cs="Arial"/>
          <w:sz w:val="20"/>
          <w:szCs w:val="20"/>
        </w:rPr>
      </w:pPr>
    </w:p>
    <w:p w14:paraId="157FA4C3" w14:textId="77777777" w:rsidR="004F7858" w:rsidRDefault="001F1F6D">
      <w:pPr>
        <w:pStyle w:val="paragraph"/>
        <w:spacing w:before="0" w:after="0"/>
        <w:ind w:left="720"/>
        <w:jc w:val="both"/>
        <w:textAlignment w:val="baseline"/>
      </w:pPr>
      <w:r>
        <w:rPr>
          <w:rStyle w:val="normaltextrun"/>
          <w:rFonts w:ascii="Arial" w:hAnsi="Arial" w:cs="Arial"/>
          <w:sz w:val="20"/>
          <w:szCs w:val="20"/>
        </w:rPr>
        <w:t xml:space="preserve">- Une description et </w:t>
      </w:r>
      <w:r>
        <w:rPr>
          <w:rStyle w:val="normaltextrun"/>
          <w:rFonts w:ascii="Arial" w:hAnsi="Arial" w:cs="Arial"/>
          <w:sz w:val="20"/>
          <w:szCs w:val="20"/>
        </w:rPr>
        <w:t>présentation du bureau (ou du formateur), ses qualifications et son expérience </w:t>
      </w:r>
      <w:r>
        <w:rPr>
          <w:rStyle w:val="eop"/>
          <w:rFonts w:ascii="Arial" w:hAnsi="Arial" w:cs="Arial"/>
          <w:sz w:val="20"/>
          <w:szCs w:val="20"/>
        </w:rPr>
        <w:t> </w:t>
      </w:r>
    </w:p>
    <w:p w14:paraId="5CE07D18" w14:textId="77777777" w:rsidR="004F7858" w:rsidRDefault="001F1F6D">
      <w:pPr>
        <w:pStyle w:val="paragraph"/>
        <w:spacing w:before="0" w:after="0"/>
        <w:ind w:left="720"/>
        <w:jc w:val="both"/>
        <w:textAlignment w:val="baseline"/>
      </w:pPr>
      <w:r>
        <w:rPr>
          <w:rStyle w:val="normaltextrun"/>
          <w:rFonts w:ascii="Arial" w:hAnsi="Arial" w:cs="Arial"/>
          <w:sz w:val="20"/>
          <w:szCs w:val="20"/>
        </w:rPr>
        <w:t>- Une description de la méthodologie du travail</w:t>
      </w:r>
      <w:r>
        <w:rPr>
          <w:rStyle w:val="eop"/>
          <w:rFonts w:ascii="Arial" w:hAnsi="Arial" w:cs="Arial"/>
          <w:sz w:val="20"/>
          <w:szCs w:val="20"/>
        </w:rPr>
        <w:t> </w:t>
      </w:r>
    </w:p>
    <w:p w14:paraId="2B2BDAA9" w14:textId="77777777" w:rsidR="004F7858" w:rsidRDefault="001F1F6D">
      <w:pPr>
        <w:pStyle w:val="paragraph"/>
        <w:spacing w:before="0" w:after="0"/>
        <w:ind w:left="720"/>
        <w:jc w:val="both"/>
        <w:textAlignment w:val="baseline"/>
      </w:pPr>
      <w:r>
        <w:rPr>
          <w:rStyle w:val="normaltextrun"/>
          <w:rFonts w:ascii="Arial" w:hAnsi="Arial" w:cs="Arial"/>
          <w:sz w:val="20"/>
          <w:szCs w:val="20"/>
        </w:rPr>
        <w:t xml:space="preserve">- Les </w:t>
      </w:r>
      <w:proofErr w:type="spellStart"/>
      <w:r>
        <w:rPr>
          <w:rStyle w:val="normaltextrun"/>
          <w:rFonts w:ascii="Arial" w:hAnsi="Arial" w:cs="Arial"/>
          <w:sz w:val="20"/>
          <w:szCs w:val="20"/>
        </w:rPr>
        <w:t>CVs</w:t>
      </w:r>
      <w:proofErr w:type="spellEnd"/>
      <w:r>
        <w:rPr>
          <w:rStyle w:val="normaltextrun"/>
          <w:rFonts w:ascii="Arial" w:hAnsi="Arial" w:cs="Arial"/>
          <w:sz w:val="20"/>
          <w:szCs w:val="20"/>
        </w:rPr>
        <w:t xml:space="preserve"> des formateurs engagés, en mettant en évidence les qualifications et expériences pertinentes ainsi que les référence</w:t>
      </w:r>
      <w:r>
        <w:rPr>
          <w:rStyle w:val="normaltextrun"/>
          <w:rFonts w:ascii="Arial" w:hAnsi="Arial" w:cs="Arial"/>
          <w:sz w:val="20"/>
          <w:szCs w:val="20"/>
        </w:rPr>
        <w:t>s professionnelles pour des missions similaires</w:t>
      </w:r>
      <w:r>
        <w:rPr>
          <w:rStyle w:val="eop"/>
          <w:rFonts w:ascii="Arial" w:hAnsi="Arial" w:cs="Arial"/>
          <w:sz w:val="20"/>
          <w:szCs w:val="20"/>
        </w:rPr>
        <w:t> </w:t>
      </w:r>
    </w:p>
    <w:p w14:paraId="4C70502C" w14:textId="77777777" w:rsidR="004F7858" w:rsidRDefault="004F7858">
      <w:pPr>
        <w:pStyle w:val="paragraph"/>
        <w:spacing w:before="0" w:after="0"/>
        <w:ind w:left="720"/>
        <w:jc w:val="both"/>
        <w:textAlignment w:val="baseline"/>
        <w:rPr>
          <w:rFonts w:ascii="Arial" w:hAnsi="Arial" w:cs="Arial"/>
          <w:sz w:val="20"/>
          <w:szCs w:val="20"/>
        </w:rPr>
      </w:pPr>
    </w:p>
    <w:p w14:paraId="0BC08C77" w14:textId="77777777" w:rsidR="004F7858" w:rsidRDefault="001F1F6D">
      <w:pPr>
        <w:pStyle w:val="paragraph"/>
        <w:spacing w:before="0" w:after="0"/>
        <w:ind w:left="720"/>
        <w:jc w:val="both"/>
        <w:textAlignment w:val="baseline"/>
      </w:pPr>
      <w:r>
        <w:rPr>
          <w:rStyle w:val="normaltextrun"/>
          <w:rFonts w:ascii="Arial" w:hAnsi="Arial" w:cs="Arial"/>
          <w:b/>
          <w:bCs/>
          <w:sz w:val="20"/>
          <w:szCs w:val="20"/>
        </w:rPr>
        <w:t>Une offre financière</w:t>
      </w:r>
      <w:r>
        <w:rPr>
          <w:rStyle w:val="normaltextrun"/>
          <w:rFonts w:ascii="Arial" w:hAnsi="Arial" w:cs="Arial"/>
          <w:sz w:val="20"/>
          <w:szCs w:val="20"/>
        </w:rPr>
        <w:t xml:space="preserve"> globale incluant la base unitaire du calcul des honoraires en (TTC). Elle devra inclure les coûts de déplacements, hébergement, la papeterie et tout autre coût de fonctionnement. </w:t>
      </w:r>
      <w:r>
        <w:rPr>
          <w:rStyle w:val="eop"/>
          <w:rFonts w:ascii="Arial" w:hAnsi="Arial" w:cs="Arial"/>
          <w:sz w:val="20"/>
          <w:szCs w:val="20"/>
        </w:rPr>
        <w:t> </w:t>
      </w:r>
    </w:p>
    <w:p w14:paraId="74D97AF5" w14:textId="77777777" w:rsidR="004F7858" w:rsidRDefault="004F7858">
      <w:pPr>
        <w:pStyle w:val="paragraph"/>
        <w:spacing w:before="0" w:after="0"/>
        <w:ind w:left="720"/>
        <w:jc w:val="both"/>
        <w:textAlignment w:val="baseline"/>
        <w:rPr>
          <w:rFonts w:ascii="Arial" w:hAnsi="Arial" w:cs="Arial"/>
          <w:sz w:val="20"/>
          <w:szCs w:val="20"/>
        </w:rPr>
      </w:pPr>
    </w:p>
    <w:p w14:paraId="564EFF04" w14:textId="77777777" w:rsidR="004F7858" w:rsidRDefault="001F1F6D">
      <w:pPr>
        <w:pStyle w:val="ListParagraph"/>
        <w:numPr>
          <w:ilvl w:val="0"/>
          <w:numId w:val="1"/>
        </w:numPr>
        <w:spacing w:line="276" w:lineRule="auto"/>
      </w:pPr>
      <w:r>
        <w:rPr>
          <w:rFonts w:ascii="Arial" w:hAnsi="Arial"/>
          <w:b/>
          <w:bCs/>
          <w:color w:val="000000"/>
          <w:sz w:val="20"/>
          <w:szCs w:val="20"/>
          <w:u w:val="single"/>
          <w:lang w:val="fr-FR"/>
        </w:rPr>
        <w:t>SOU</w:t>
      </w:r>
      <w:r>
        <w:rPr>
          <w:rFonts w:ascii="Arial" w:hAnsi="Arial"/>
          <w:b/>
          <w:bCs/>
          <w:color w:val="000000"/>
          <w:sz w:val="20"/>
          <w:szCs w:val="20"/>
          <w:u w:val="single"/>
          <w:lang w:val="fr-FR"/>
        </w:rPr>
        <w:t>MISSION</w:t>
      </w:r>
    </w:p>
    <w:p w14:paraId="2F9A1997" w14:textId="77777777" w:rsidR="004F7858" w:rsidRDefault="004F7858">
      <w:pPr>
        <w:pStyle w:val="ListParagraph"/>
        <w:spacing w:line="276" w:lineRule="auto"/>
        <w:rPr>
          <w:rFonts w:ascii="Arial" w:hAnsi="Arial"/>
          <w:b/>
          <w:bCs/>
          <w:color w:val="000000"/>
          <w:sz w:val="20"/>
          <w:szCs w:val="20"/>
          <w:u w:val="single"/>
          <w:lang w:val="fr-FR"/>
        </w:rPr>
      </w:pPr>
    </w:p>
    <w:p w14:paraId="45D4873A" w14:textId="77777777" w:rsidR="004F7858" w:rsidRPr="0035741D" w:rsidRDefault="001F1F6D">
      <w:pPr>
        <w:pStyle w:val="ListParagraph"/>
        <w:spacing w:line="276" w:lineRule="auto"/>
        <w:rPr>
          <w:lang w:val="fr-FR"/>
        </w:rPr>
      </w:pPr>
      <w:r>
        <w:rPr>
          <w:rStyle w:val="normaltextrun"/>
          <w:rFonts w:ascii="Arial" w:hAnsi="Arial"/>
          <w:color w:val="000000"/>
          <w:sz w:val="20"/>
          <w:szCs w:val="20"/>
          <w:shd w:val="clear" w:color="auto" w:fill="FFFFFF"/>
          <w:lang w:val="fr-FR"/>
        </w:rPr>
        <w:t xml:space="preserve">Le BIT invite les soumissionnaires intéressés à envoyer les documents demandés à l’adresse électroniques suivante ; </w:t>
      </w:r>
      <w:hyperlink r:id="rId8" w:history="1">
        <w:r>
          <w:rPr>
            <w:rStyle w:val="normaltextrun"/>
            <w:rFonts w:ascii="Arial" w:hAnsi="Arial"/>
            <w:color w:val="0563C1"/>
            <w:sz w:val="20"/>
            <w:szCs w:val="20"/>
            <w:u w:val="single"/>
            <w:shd w:val="clear" w:color="auto" w:fill="FFFFFF"/>
            <w:lang w:val="fr-FR"/>
          </w:rPr>
          <w:t>ayadii@ilo.org</w:t>
        </w:r>
      </w:hyperlink>
      <w:r>
        <w:rPr>
          <w:rStyle w:val="normaltextrun"/>
          <w:rFonts w:ascii="Arial" w:hAnsi="Arial"/>
          <w:color w:val="000000"/>
          <w:sz w:val="20"/>
          <w:szCs w:val="20"/>
          <w:shd w:val="clear" w:color="auto" w:fill="FFFFFF"/>
          <w:lang w:val="fr-FR"/>
        </w:rPr>
        <w:t xml:space="preserve"> et ce avant </w:t>
      </w:r>
      <w:r>
        <w:rPr>
          <w:rStyle w:val="normaltextrun"/>
          <w:rFonts w:ascii="Arial" w:hAnsi="Arial"/>
          <w:b/>
          <w:bCs/>
          <w:color w:val="000000"/>
          <w:sz w:val="20"/>
          <w:szCs w:val="20"/>
          <w:shd w:val="clear" w:color="auto" w:fill="FFFFFF"/>
          <w:lang w:val="fr-FR"/>
        </w:rPr>
        <w:t>le 21 février 2023</w:t>
      </w:r>
      <w:r>
        <w:rPr>
          <w:rStyle w:val="normaltextrun"/>
          <w:rFonts w:ascii="Arial" w:hAnsi="Arial"/>
          <w:color w:val="000000"/>
          <w:sz w:val="20"/>
          <w:szCs w:val="20"/>
          <w:shd w:val="clear" w:color="auto" w:fill="FFFFFF"/>
          <w:lang w:val="fr-FR"/>
        </w:rPr>
        <w:t xml:space="preserve">. L’objet du mail devra comporter la </w:t>
      </w:r>
      <w:r>
        <w:rPr>
          <w:rStyle w:val="normaltextrun"/>
          <w:rFonts w:ascii="Arial" w:hAnsi="Arial"/>
          <w:color w:val="000000"/>
          <w:sz w:val="20"/>
          <w:szCs w:val="20"/>
          <w:shd w:val="clear" w:color="auto" w:fill="FFFFFF"/>
          <w:lang w:val="fr-FR"/>
        </w:rPr>
        <w:t>mention suivante : “</w:t>
      </w:r>
      <w:r>
        <w:rPr>
          <w:rStyle w:val="normaltextrun"/>
          <w:rFonts w:ascii="Arial" w:hAnsi="Arial"/>
          <w:b/>
          <w:bCs/>
          <w:color w:val="000000"/>
          <w:sz w:val="20"/>
          <w:szCs w:val="20"/>
          <w:shd w:val="clear" w:color="auto" w:fill="FFFFFF"/>
          <w:lang w:val="fr-FR"/>
        </w:rPr>
        <w:t>Dossier de candidature-Techniques de vente”</w:t>
      </w:r>
      <w:r>
        <w:rPr>
          <w:rStyle w:val="eop"/>
          <w:rFonts w:ascii="Arial" w:hAnsi="Arial"/>
          <w:color w:val="000000"/>
          <w:sz w:val="20"/>
          <w:szCs w:val="20"/>
          <w:shd w:val="clear" w:color="auto" w:fill="FFFFFF"/>
          <w:lang w:val="fr-FR"/>
        </w:rPr>
        <w:t> </w:t>
      </w:r>
    </w:p>
    <w:p w14:paraId="05549FF4" w14:textId="77777777" w:rsidR="004F7858" w:rsidRDefault="004F7858">
      <w:pPr>
        <w:rPr>
          <w:lang w:val="fr-FR"/>
        </w:rPr>
      </w:pPr>
    </w:p>
    <w:sectPr w:rsidR="004F7858" w:rsidSect="00693403">
      <w:headerReference w:type="first" r:id="rId9"/>
      <w:footerReference w:type="first" r:id="rId10"/>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E08A" w14:textId="77777777" w:rsidR="001F1F6D" w:rsidRDefault="001F1F6D">
      <w:pPr>
        <w:spacing w:after="0" w:line="240" w:lineRule="auto"/>
      </w:pPr>
      <w:r>
        <w:separator/>
      </w:r>
    </w:p>
  </w:endnote>
  <w:endnote w:type="continuationSeparator" w:id="0">
    <w:p w14:paraId="60AD8C9C" w14:textId="77777777" w:rsidR="001F1F6D" w:rsidRDefault="001F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09EA" w14:textId="14212625" w:rsidR="00693403" w:rsidRDefault="00693403">
    <w:pPr>
      <w:pStyle w:val="Footer"/>
    </w:pPr>
    <w:r w:rsidRPr="004C5057">
      <w:rPr>
        <w:noProof/>
      </w:rPr>
      <w:drawing>
        <wp:anchor distT="0" distB="0" distL="114300" distR="114300" simplePos="0" relativeHeight="251663360" behindDoc="1" locked="0" layoutInCell="1" allowOverlap="1" wp14:anchorId="56C11469" wp14:editId="5D431AF2">
          <wp:simplePos x="0" y="0"/>
          <wp:positionH relativeFrom="column">
            <wp:posOffset>4591050</wp:posOffset>
          </wp:positionH>
          <wp:positionV relativeFrom="paragraph">
            <wp:posOffset>0</wp:posOffset>
          </wp:positionV>
          <wp:extent cx="1695450" cy="298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298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E732" w14:textId="77777777" w:rsidR="001F1F6D" w:rsidRDefault="001F1F6D">
      <w:pPr>
        <w:spacing w:after="0" w:line="240" w:lineRule="auto"/>
      </w:pPr>
      <w:r>
        <w:rPr>
          <w:color w:val="000000"/>
        </w:rPr>
        <w:separator/>
      </w:r>
    </w:p>
  </w:footnote>
  <w:footnote w:type="continuationSeparator" w:id="0">
    <w:p w14:paraId="721DB074" w14:textId="77777777" w:rsidR="001F1F6D" w:rsidRDefault="001F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0282" w14:textId="3D74225E" w:rsidR="00693403" w:rsidRDefault="00693403">
    <w:pPr>
      <w:pStyle w:val="Header"/>
    </w:pPr>
    <w:r w:rsidRPr="00693403">
      <w:drawing>
        <wp:anchor distT="0" distB="0" distL="0" distR="0" simplePos="0" relativeHeight="251659264" behindDoc="1" locked="0" layoutInCell="1" allowOverlap="1" wp14:anchorId="7599B425" wp14:editId="570EB05B">
          <wp:simplePos x="0" y="0"/>
          <wp:positionH relativeFrom="margin">
            <wp:posOffset>2446020</wp:posOffset>
          </wp:positionH>
          <wp:positionV relativeFrom="page">
            <wp:posOffset>230505</wp:posOffset>
          </wp:positionV>
          <wp:extent cx="531495" cy="354330"/>
          <wp:effectExtent l="0" t="0" r="1905" b="762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1495" cy="354330"/>
                  </a:xfrm>
                  <a:prstGeom prst="rect">
                    <a:avLst/>
                  </a:prstGeom>
                </pic:spPr>
              </pic:pic>
            </a:graphicData>
          </a:graphic>
          <wp14:sizeRelH relativeFrom="margin">
            <wp14:pctWidth>0</wp14:pctWidth>
          </wp14:sizeRelH>
          <wp14:sizeRelV relativeFrom="margin">
            <wp14:pctHeight>0</wp14:pctHeight>
          </wp14:sizeRelV>
        </wp:anchor>
      </w:drawing>
    </w:r>
    <w:r w:rsidRPr="00693403">
      <w:drawing>
        <wp:anchor distT="0" distB="0" distL="0" distR="0" simplePos="0" relativeHeight="251660288" behindDoc="1" locked="0" layoutInCell="1" allowOverlap="1" wp14:anchorId="4D193E7C" wp14:editId="37E13DDA">
          <wp:simplePos x="0" y="0"/>
          <wp:positionH relativeFrom="page">
            <wp:posOffset>546100</wp:posOffset>
          </wp:positionH>
          <wp:positionV relativeFrom="page">
            <wp:posOffset>411480</wp:posOffset>
          </wp:positionV>
          <wp:extent cx="1151255" cy="390525"/>
          <wp:effectExtent l="0" t="0" r="0" b="0"/>
          <wp:wrapNone/>
          <wp:docPr id="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51255" cy="390525"/>
                  </a:xfrm>
                  <a:prstGeom prst="rect">
                    <a:avLst/>
                  </a:prstGeom>
                </pic:spPr>
              </pic:pic>
            </a:graphicData>
          </a:graphic>
        </wp:anchor>
      </w:drawing>
    </w:r>
    <w:r w:rsidRPr="00693403">
      <w:drawing>
        <wp:anchor distT="0" distB="0" distL="0" distR="0" simplePos="0" relativeHeight="251661312" behindDoc="1" locked="0" layoutInCell="1" allowOverlap="1" wp14:anchorId="0CD62207" wp14:editId="0C2D1091">
          <wp:simplePos x="0" y="0"/>
          <wp:positionH relativeFrom="page">
            <wp:posOffset>5728970</wp:posOffset>
          </wp:positionH>
          <wp:positionV relativeFrom="page">
            <wp:posOffset>412115</wp:posOffset>
          </wp:positionV>
          <wp:extent cx="1560439" cy="279400"/>
          <wp:effectExtent l="0" t="0" r="1905" b="6350"/>
          <wp:wrapNone/>
          <wp:docPr id="2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560439" cy="279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456"/>
    <w:multiLevelType w:val="multilevel"/>
    <w:tmpl w:val="C2303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575B0CFB"/>
    <w:multiLevelType w:val="multilevel"/>
    <w:tmpl w:val="766CA2A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5BC90699"/>
    <w:multiLevelType w:val="multilevel"/>
    <w:tmpl w:val="A03A4F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5D387478"/>
    <w:multiLevelType w:val="multilevel"/>
    <w:tmpl w:val="FE104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F7858"/>
    <w:rsid w:val="001F1F6D"/>
    <w:rsid w:val="0035741D"/>
    <w:rsid w:val="004F7858"/>
    <w:rsid w:val="006934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B36E"/>
  <w15:docId w15:val="{5C1BEE0B-DA57-4BB6-ABA2-6BD6253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style>
  <w:style w:type="paragraph" w:customStyle="1" w:styleId="paragraph">
    <w:name w:val="paragraph"/>
    <w:basedOn w:val="Normal"/>
    <w:pPr>
      <w:suppressAutoHyphens w:val="0"/>
      <w:spacing w:before="100" w:after="100"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link w:val="HeaderChar"/>
    <w:uiPriority w:val="99"/>
    <w:unhideWhenUsed/>
    <w:rsid w:val="0035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41D"/>
  </w:style>
  <w:style w:type="paragraph" w:styleId="Footer">
    <w:name w:val="footer"/>
    <w:basedOn w:val="Normal"/>
    <w:link w:val="FooterChar"/>
    <w:uiPriority w:val="99"/>
    <w:unhideWhenUsed/>
    <w:rsid w:val="0035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yadii@ilo.org" TargetMode="External"/><Relationship Id="rId3" Type="http://schemas.openxmlformats.org/officeDocument/2006/relationships/settings" Target="settings.xml"/><Relationship Id="rId7" Type="http://schemas.openxmlformats.org/officeDocument/2006/relationships/hyperlink" Target="https://www.ilo.org/africa/countries-covered/tunisia/WCMS_774914/lang--fr/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Ayari, Mohamed Skander</dc:creator>
  <dc:description/>
  <cp:lastModifiedBy>Ayadi, Ichrak</cp:lastModifiedBy>
  <cp:revision>2</cp:revision>
  <dcterms:created xsi:type="dcterms:W3CDTF">2023-02-07T10:34:00Z</dcterms:created>
  <dcterms:modified xsi:type="dcterms:W3CDTF">2023-02-07T10:34:00Z</dcterms:modified>
</cp:coreProperties>
</file>