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2e75b5"/>
          <w:sz w:val="36"/>
          <w:szCs w:val="36"/>
        </w:rPr>
      </w:pPr>
      <w:r w:rsidDel="00000000" w:rsidR="00000000" w:rsidRPr="00000000">
        <w:rPr>
          <w:rFonts w:ascii="Times New Roman" w:cs="Times New Roman" w:eastAsia="Times New Roman" w:hAnsi="Times New Roman"/>
          <w:color w:val="2e75b5"/>
          <w:sz w:val="36"/>
          <w:szCs w:val="36"/>
          <w:rtl w:val="0"/>
        </w:rPr>
        <w:t xml:space="preserve">APPEL D’OFFRE : Service d’impression</w:t>
      </w:r>
    </w:p>
    <w:p w:rsidR="00000000" w:rsidDel="00000000" w:rsidP="00000000" w:rsidRDefault="00000000" w:rsidRPr="00000000" w14:paraId="00000002">
      <w:pPr>
        <w:jc w:val="center"/>
        <w:rPr>
          <w:rFonts w:ascii="Times New Roman" w:cs="Times New Roman" w:eastAsia="Times New Roman" w:hAnsi="Times New Roman"/>
          <w:b w:val="1"/>
          <w:color w:val="2e75b5"/>
          <w:sz w:val="34"/>
          <w:szCs w:val="34"/>
        </w:rPr>
      </w:pPr>
      <w:r w:rsidDel="00000000" w:rsidR="00000000" w:rsidRPr="00000000">
        <w:rPr>
          <w:rFonts w:ascii="Times New Roman" w:cs="Times New Roman" w:eastAsia="Times New Roman" w:hAnsi="Times New Roman"/>
          <w:b w:val="1"/>
          <w:color w:val="2e75b5"/>
          <w:sz w:val="34"/>
          <w:szCs w:val="34"/>
          <w:rtl w:val="0"/>
        </w:rPr>
        <w:t xml:space="preserve">ASSOCIATION BLEDII</w:t>
      </w:r>
    </w:p>
    <w:p w:rsidR="00000000" w:rsidDel="00000000" w:rsidP="00000000" w:rsidRDefault="00000000" w:rsidRPr="00000000" w14:paraId="00000003">
      <w:pPr>
        <w:jc w:val="center"/>
        <w:rPr>
          <w:rFonts w:ascii="Times New Roman" w:cs="Times New Roman" w:eastAsia="Times New Roman" w:hAnsi="Times New Roman"/>
          <w:color w:val="2e75b5"/>
          <w:sz w:val="36"/>
          <w:szCs w:val="36"/>
        </w:rPr>
      </w:pPr>
      <w:r w:rsidDel="00000000" w:rsidR="00000000" w:rsidRPr="00000000">
        <w:rPr>
          <w:rtl w:val="0"/>
        </w:rPr>
      </w:r>
    </w:p>
    <w:p w:rsidR="00000000" w:rsidDel="00000000" w:rsidP="00000000" w:rsidRDefault="00000000" w:rsidRPr="00000000" w14:paraId="00000004">
      <w:pPr>
        <w:numPr>
          <w:ilvl w:val="0"/>
          <w:numId w:val="4"/>
        </w:numPr>
        <w:shd w:fill="ffffff" w:val="clear"/>
        <w:spacing w:after="150" w:line="240" w:lineRule="auto"/>
        <w:ind w:left="984" w:hanging="360"/>
        <w:rPr>
          <w:rFonts w:ascii="Times New Roman" w:cs="Times New Roman" w:eastAsia="Times New Roman" w:hAnsi="Times New Roman"/>
          <w:i w:val="1"/>
          <w:color w:val="2e75b5"/>
          <w:sz w:val="26"/>
          <w:szCs w:val="26"/>
        </w:rPr>
      </w:pPr>
      <w:r w:rsidDel="00000000" w:rsidR="00000000" w:rsidRPr="00000000">
        <w:rPr>
          <w:rFonts w:ascii="Times New Roman" w:cs="Times New Roman" w:eastAsia="Times New Roman" w:hAnsi="Times New Roman"/>
          <w:i w:val="1"/>
          <w:color w:val="2e75b5"/>
          <w:sz w:val="26"/>
          <w:szCs w:val="26"/>
          <w:u w:val="single"/>
          <w:rtl w:val="0"/>
        </w:rPr>
        <w:t xml:space="preserve">Présentation de l’association Blédii :</w:t>
      </w:r>
    </w:p>
    <w:p w:rsidR="00000000" w:rsidDel="00000000" w:rsidP="00000000" w:rsidRDefault="00000000" w:rsidRPr="00000000" w14:paraId="0000000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d0d0d"/>
          <w:sz w:val="28"/>
          <w:szCs w:val="28"/>
          <w:rtl w:val="0"/>
        </w:rPr>
        <w:t xml:space="preserve">   L’association Blédii est une association créée en 2012 qui vise à encadrer les jeunes et les impliquer à la vie publique et promouvoir leurs compétences afin de les préparer à soutenir les valeurs de la citoyenneté et devenir un moteur de changement.</w:t>
      </w:r>
      <w:r w:rsidDel="00000000" w:rsidR="00000000" w:rsidRPr="00000000">
        <w:rPr>
          <w:rtl w:val="0"/>
        </w:rPr>
      </w:r>
    </w:p>
    <w:p w:rsidR="00000000" w:rsidDel="00000000" w:rsidP="00000000" w:rsidRDefault="00000000" w:rsidRPr="00000000" w14:paraId="00000006">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d0d0d"/>
          <w:sz w:val="28"/>
          <w:szCs w:val="28"/>
          <w:rtl w:val="0"/>
        </w:rPr>
        <w:t xml:space="preserve">   L’association Blédii s’intéresse à renforcer la capacité de la population locale en matière de gouvernance locale, cherche à lever la compréhension et la conscience du nouveau contexte de la décentralisation et promouvoir une participation citoyenne active au processus de gestion des affaires locales, avec une attention particulière aux groupes vulnérables (jeunes et femmes). </w:t>
      </w:r>
      <w:r w:rsidDel="00000000" w:rsidR="00000000" w:rsidRPr="00000000">
        <w:rPr>
          <w:rtl w:val="0"/>
        </w:rPr>
      </w:r>
    </w:p>
    <w:p w:rsidR="00000000" w:rsidDel="00000000" w:rsidP="00000000" w:rsidRDefault="00000000" w:rsidRPr="00000000" w14:paraId="00000007">
      <w:pPr>
        <w:numPr>
          <w:ilvl w:val="0"/>
          <w:numId w:val="5"/>
        </w:numPr>
        <w:shd w:fill="ffffff" w:val="clear"/>
        <w:spacing w:after="280" w:before="280" w:line="240" w:lineRule="auto"/>
        <w:ind w:left="720" w:hanging="360"/>
        <w:rPr>
          <w:rFonts w:ascii="Times New Roman" w:cs="Times New Roman" w:eastAsia="Times New Roman" w:hAnsi="Times New Roman"/>
          <w:color w:val="2e75b5"/>
          <w:sz w:val="26"/>
          <w:szCs w:val="26"/>
        </w:rPr>
      </w:pPr>
      <w:r w:rsidDel="00000000" w:rsidR="00000000" w:rsidRPr="00000000">
        <w:rPr>
          <w:rFonts w:ascii="Times New Roman" w:cs="Times New Roman" w:eastAsia="Times New Roman" w:hAnsi="Times New Roman"/>
          <w:color w:val="2e75b5"/>
          <w:sz w:val="26"/>
          <w:szCs w:val="26"/>
          <w:u w:val="single"/>
          <w:rtl w:val="0"/>
        </w:rPr>
        <w:t xml:space="preserve">Présentation du projet:</w:t>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Dans le cadre de la mise en œuvre du projet « vers une dynamique locale de redevabilité », financé par l’Union Européenne et porté par l’organisation I Watch, ayant pour objectif d’assurer la redevabilité et le contrôle citoyen des politiques publiques dans les nouvelles communes tout en impliquant les personnes vulnérables, et s’adressant à des municipalités “nouvellement-créées” dans 5 régions : Jendouba, Gafsa, Kasserine, Kébili et Tataouine. </w:t>
      </w:r>
      <w:r w:rsidDel="00000000" w:rsidR="00000000" w:rsidRPr="00000000">
        <w:rPr>
          <w:rtl w:val="0"/>
        </w:rPr>
      </w:r>
    </w:p>
    <w:p w:rsidR="00000000" w:rsidDel="00000000" w:rsidP="00000000" w:rsidRDefault="00000000" w:rsidRPr="00000000" w14:paraId="00000009">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L’association Blédii met en œuvre le programme « Jeunes Leaders pour des communautés locales redevables ». Le projet s’étale sur une période de 18 mois à compter de la date du 01/11/2022 et a pour objectifs spécifiques de :</w:t>
      </w:r>
      <w:r w:rsidDel="00000000" w:rsidR="00000000" w:rsidRPr="00000000">
        <w:rPr>
          <w:rtl w:val="0"/>
        </w:rPr>
      </w:r>
    </w:p>
    <w:p w:rsidR="00000000" w:rsidDel="00000000" w:rsidP="00000000" w:rsidRDefault="00000000" w:rsidRPr="00000000" w14:paraId="0000000A">
      <w:pPr>
        <w:numPr>
          <w:ilvl w:val="0"/>
          <w:numId w:val="6"/>
        </w:numPr>
        <w:shd w:fill="ffffff" w:val="clear"/>
        <w:spacing w:after="0" w:before="28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Doter des jeunes de la région de Kasserine des moyens nécessaires les permettant d’assurer leur rôle de veille citoyenne.</w:t>
      </w:r>
    </w:p>
    <w:p w:rsidR="00000000" w:rsidDel="00000000" w:rsidP="00000000" w:rsidRDefault="00000000" w:rsidRPr="00000000" w14:paraId="0000000B">
      <w:pPr>
        <w:numPr>
          <w:ilvl w:val="0"/>
          <w:numId w:val="1"/>
        </w:numPr>
        <w:shd w:fill="ffffff" w:val="clear"/>
        <w:spacing w:after="28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Paver la voie pour un cadre favorable à l’institutionnalisation des pratiques de la participation citoyenne et de la gouvernance locale.</w:t>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Trois (03) communes bénéficient directement des activités du projet, à savoir : commune Laayoune, commune Hassi El Frid et commune Ain Khmaissia</w:t>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F">
      <w:pPr>
        <w:numPr>
          <w:ilvl w:val="0"/>
          <w:numId w:val="3"/>
        </w:numPr>
        <w:shd w:fill="ffffff" w:val="clear"/>
        <w:spacing w:after="0" w:line="240" w:lineRule="auto"/>
        <w:ind w:left="720" w:hanging="360"/>
        <w:rPr>
          <w:rFonts w:ascii="Times New Roman" w:cs="Times New Roman" w:eastAsia="Times New Roman" w:hAnsi="Times New Roman"/>
          <w:color w:val="2e75b5"/>
          <w:sz w:val="28"/>
          <w:szCs w:val="28"/>
        </w:rPr>
      </w:pPr>
      <w:r w:rsidDel="00000000" w:rsidR="00000000" w:rsidRPr="00000000">
        <w:rPr>
          <w:rFonts w:ascii="Times New Roman" w:cs="Times New Roman" w:eastAsia="Times New Roman" w:hAnsi="Times New Roman"/>
          <w:color w:val="2e75b5"/>
          <w:sz w:val="28"/>
          <w:szCs w:val="28"/>
          <w:u w:val="single"/>
          <w:rtl w:val="0"/>
        </w:rPr>
        <w:t xml:space="preserve">Description de l’offre :</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color w:val="2e75b5"/>
          <w:sz w:val="28"/>
          <w:szCs w:val="28"/>
          <w:u w:val="single"/>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Pour la mise en œuvre des différentes activités du projet, Association Blédii  fait un appel à des prestataires pour des services d’impression décrits ci-dessous :</w:t>
      </w:r>
    </w:p>
    <w:p w:rsidR="00000000" w:rsidDel="00000000" w:rsidP="00000000" w:rsidRDefault="00000000" w:rsidRPr="00000000" w14:paraId="00000012">
      <w:pPr>
        <w:jc w:val="left"/>
        <w:rPr>
          <w:rFonts w:ascii="Times New Roman" w:cs="Times New Roman" w:eastAsia="Times New Roman" w:hAnsi="Times New Roman"/>
        </w:rPr>
      </w:pPr>
      <w:r w:rsidDel="00000000" w:rsidR="00000000" w:rsidRPr="00000000">
        <w:rPr>
          <w:rtl w:val="0"/>
        </w:rPr>
      </w:r>
    </w:p>
    <w:tbl>
      <w:tblPr>
        <w:tblStyle w:val="Table1"/>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1"/>
        <w:gridCol w:w="1790"/>
        <w:gridCol w:w="2505"/>
        <w:gridCol w:w="1134"/>
        <w:gridCol w:w="2410"/>
        <w:tblGridChange w:id="0">
          <w:tblGrid>
            <w:gridCol w:w="2221"/>
            <w:gridCol w:w="1790"/>
            <w:gridCol w:w="2505"/>
            <w:gridCol w:w="1134"/>
            <w:gridCol w:w="2410"/>
          </w:tblGrid>
        </w:tblGridChange>
      </w:tblGrid>
      <w:tr>
        <w:trPr>
          <w:cantSplit w:val="0"/>
          <w:trHeight w:val="699" w:hRule="atLeast"/>
          <w:tblHeader w:val="0"/>
        </w:trPr>
        <w:tc>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Activité</w:t>
            </w:r>
          </w:p>
        </w:tc>
        <w:tc>
          <w:tcPr/>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w:t>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Spécificité</w:t>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Quantité </w:t>
            </w:r>
          </w:p>
        </w:tc>
        <w:tc>
          <w:tcPr/>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début de l’activité </w:t>
            </w:r>
          </w:p>
        </w:tc>
      </w:tr>
      <w:tr>
        <w:trPr>
          <w:cantSplit w:val="0"/>
          <w:trHeight w:val="698" w:hRule="atLeast"/>
          <w:tblHeader w:val="0"/>
        </w:trPr>
        <w:tc>
          <w:tcPr>
            <w:vMerge w:val="restart"/>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Kick off meeting :</w:t>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Cérémonie de lancement officielle du projet </w:t>
            </w:r>
          </w:p>
        </w:tc>
        <w:tc>
          <w:tcPr/>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up </w:t>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 + bâche</w:t>
            </w:r>
          </w:p>
        </w:tc>
        <w:tc>
          <w:tcPr/>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2M*1.5M</w:t>
            </w:r>
          </w:p>
        </w:tc>
        <w:tc>
          <w:tcPr/>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02/01/2023</w:t>
            </w:r>
          </w:p>
        </w:tc>
      </w:tr>
      <w:tr>
        <w:trPr>
          <w:cantSplit w:val="0"/>
          <w:trHeight w:val="1531" w:hRule="atLeast"/>
          <w:tblHeader w:val="0"/>
        </w:trPr>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Impression des capuches pour les bénéficiaires du projet </w:t>
            </w:r>
          </w:p>
        </w:tc>
        <w:tc>
          <w:tcPr/>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Couleur noir </w:t>
            </w:r>
          </w:p>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Meilleur qualité </w:t>
            </w:r>
          </w:p>
        </w:tc>
        <w:tc>
          <w:tcPr/>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p w:rsidR="00000000" w:rsidDel="00000000" w:rsidP="00000000" w:rsidRDefault="00000000" w:rsidRPr="00000000" w14:paraId="0000002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02/01/23</w:t>
            </w:r>
          </w:p>
        </w:tc>
      </w:tr>
      <w:tr>
        <w:trPr>
          <w:cantSplit w:val="0"/>
          <w:trHeight w:val="1380" w:hRule="atLeast"/>
          <w:tblHeader w:val="0"/>
        </w:trPr>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Impression des T-shirt pour les bénéficiaires du projet </w:t>
            </w:r>
          </w:p>
        </w:tc>
        <w:tc>
          <w:tcPr/>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Meilleur qualité avec une variété de couleurs </w:t>
            </w:r>
          </w:p>
        </w:tc>
        <w:tc>
          <w:tcPr/>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02/01/23</w:t>
            </w:r>
          </w:p>
        </w:tc>
      </w:tr>
      <w:tr>
        <w:trPr>
          <w:cantSplit w:val="0"/>
          <w:trHeight w:val="758" w:hRule="atLeast"/>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up </w:t>
            </w:r>
          </w:p>
        </w:tc>
        <w:tc>
          <w:tcPr/>
          <w:p w:rsidR="00000000" w:rsidDel="00000000" w:rsidP="00000000" w:rsidRDefault="00000000" w:rsidRPr="00000000" w14:paraId="0000002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w:t>
            </w:r>
          </w:p>
        </w:tc>
        <w:tc>
          <w:tcPr/>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02/01/23</w:t>
            </w:r>
          </w:p>
        </w:tc>
      </w:tr>
      <w:tr>
        <w:trPr>
          <w:cantSplit w:val="0"/>
          <w:trHeight w:val="739" w:hRule="atLeast"/>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Bloc-notes + stylos </w:t>
            </w:r>
          </w:p>
        </w:tc>
        <w:tc>
          <w:tcPr/>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définir (Merci de proposer 3 offres pour 3 modèles différents)</w:t>
            </w:r>
          </w:p>
        </w:tc>
        <w:tc>
          <w:tcPr/>
          <w:p w:rsidR="00000000" w:rsidDel="00000000" w:rsidP="00000000" w:rsidRDefault="00000000" w:rsidRPr="00000000" w14:paraId="000000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p w:rsidR="00000000" w:rsidDel="00000000" w:rsidP="00000000" w:rsidRDefault="00000000" w:rsidRPr="00000000" w14:paraId="000000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02/01/23</w:t>
            </w:r>
          </w:p>
        </w:tc>
      </w:tr>
      <w:tr>
        <w:trPr>
          <w:cantSplit w:val="0"/>
          <w:trHeight w:val="518" w:hRule="atLeast"/>
          <w:tblHeader w:val="0"/>
        </w:trPr>
        <w:tc>
          <w:tcPr>
            <w:vMerge w:val="restart"/>
          </w:tcPr>
          <w:p w:rsidR="00000000" w:rsidDel="00000000" w:rsidP="00000000" w:rsidRDefault="00000000" w:rsidRPr="00000000" w14:paraId="000000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Cycle de renforcement des capacités destinés aux ambassadeurs de la démocratie </w:t>
            </w:r>
          </w:p>
        </w:tc>
        <w:tc>
          <w:tcPr/>
          <w:p w:rsidR="00000000" w:rsidDel="00000000" w:rsidP="00000000" w:rsidRDefault="00000000" w:rsidRPr="00000000" w14:paraId="0000003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up </w:t>
            </w:r>
          </w:p>
          <w:p w:rsidR="00000000" w:rsidDel="00000000" w:rsidP="00000000" w:rsidRDefault="00000000" w:rsidRPr="00000000" w14:paraId="00000038">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w:t>
            </w:r>
          </w:p>
        </w:tc>
        <w:tc>
          <w:tcPr/>
          <w:p w:rsidR="00000000" w:rsidDel="00000000" w:rsidP="00000000" w:rsidRDefault="00000000" w:rsidRPr="00000000" w14:paraId="000000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01/03/2023</w:t>
            </w:r>
          </w:p>
        </w:tc>
      </w:tr>
      <w:tr>
        <w:trPr>
          <w:cantSplit w:val="0"/>
          <w:trHeight w:val="1164" w:hRule="atLeast"/>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Bloc-notes +stylo </w:t>
            </w:r>
          </w:p>
        </w:tc>
        <w:tc>
          <w:tcPr/>
          <w:p w:rsidR="00000000" w:rsidDel="00000000" w:rsidP="00000000" w:rsidRDefault="00000000" w:rsidRPr="00000000" w14:paraId="0000003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définir (Merci de proposer 3 offres pour 3 modèles différents)</w:t>
            </w:r>
          </w:p>
        </w:tc>
        <w:tc>
          <w:tcPr/>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01/03/2023</w:t>
            </w:r>
          </w:p>
        </w:tc>
      </w:tr>
      <w:tr>
        <w:trPr>
          <w:cantSplit w:val="0"/>
          <w:trHeight w:val="1115" w:hRule="atLeast"/>
          <w:tblHeader w:val="0"/>
        </w:trPr>
        <w:tc>
          <w:tcPr/>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Renforcement des capacités de l’équipe de la radio </w:t>
            </w:r>
          </w:p>
        </w:tc>
        <w:tc>
          <w:tcPr/>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up </w:t>
            </w:r>
          </w:p>
        </w:tc>
        <w:tc>
          <w:tcPr/>
          <w:p w:rsidR="00000000" w:rsidDel="00000000" w:rsidP="00000000" w:rsidRDefault="00000000" w:rsidRPr="00000000" w14:paraId="000000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w:t>
            </w:r>
          </w:p>
        </w:tc>
        <w:tc>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tc>
        <w:tc>
          <w:tcPr/>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25/12/2022</w:t>
            </w:r>
          </w:p>
        </w:tc>
      </w:tr>
      <w:tr>
        <w:trPr>
          <w:cantSplit w:val="0"/>
          <w:trHeight w:val="505.95703125" w:hRule="atLeast"/>
          <w:tblHeader w:val="0"/>
        </w:trPr>
        <w:tc>
          <w:tcPr>
            <w:vMerge w:val="restart"/>
          </w:tcPr>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Organisation de quatre rencontres du COPIL</w:t>
            </w:r>
          </w:p>
        </w:tc>
        <w:tc>
          <w:tcPr>
            <w:vMerge w:val="restart"/>
          </w:tcPr>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Première rencontre du COPIL</w:t>
            </w:r>
          </w:p>
          <w:p w:rsidR="00000000" w:rsidDel="00000000" w:rsidP="00000000" w:rsidRDefault="00000000" w:rsidRPr="00000000" w14:paraId="0000004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 bloc note+stylo/RollUp</w:t>
            </w:r>
          </w:p>
        </w:tc>
        <w:tc>
          <w:tcPr/>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Bloc-notes + stylos (Merci de proposer 3 offres pour 3 modèles différents) </w:t>
            </w:r>
          </w:p>
        </w:tc>
        <w:tc>
          <w:tcPr/>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vMerge w:val="restart"/>
          </w:tcPr>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01/06/2023</w:t>
            </w:r>
          </w:p>
        </w:tc>
      </w:tr>
      <w:tr>
        <w:trPr>
          <w:cantSplit w:val="0"/>
          <w:trHeight w:val="505.95703125" w:hRule="atLeast"/>
          <w:tblHeader w:val="0"/>
        </w:trPr>
        <w:tc>
          <w:tcPr>
            <w:vMerge w:val="continue"/>
          </w:tcPr>
          <w:p w:rsidR="00000000" w:rsidDel="00000000" w:rsidP="00000000" w:rsidRDefault="00000000" w:rsidRPr="00000000" w14:paraId="0000004C">
            <w:pPr>
              <w:spacing w:after="0" w:before="0" w:line="240" w:lineRule="auto"/>
              <w:ind w:left="0" w:firstLine="0"/>
              <w:jc w:val="center"/>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4D">
            <w:pPr>
              <w:spacing w:after="0" w:before="0" w:line="240" w:lineRule="auto"/>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Standart</w:t>
            </w:r>
          </w:p>
        </w:tc>
        <w:tc>
          <w:tcPr/>
          <w:p w:rsidR="00000000" w:rsidDel="00000000" w:rsidP="00000000" w:rsidRDefault="00000000" w:rsidRPr="00000000" w14:paraId="0000004F">
            <w:pPr>
              <w:spacing w:after="0" w:before="0"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Merge w:val="continue"/>
          </w:tcPr>
          <w:p w:rsidR="00000000" w:rsidDel="00000000" w:rsidP="00000000" w:rsidRDefault="00000000" w:rsidRPr="00000000" w14:paraId="00000050">
            <w:pPr>
              <w:spacing w:after="0" w:before="0" w:line="240" w:lineRule="auto"/>
              <w:ind w:left="0" w:firstLine="0"/>
              <w:jc w:val="center"/>
              <w:rPr>
                <w:rFonts w:ascii="Times New Roman" w:cs="Times New Roman" w:eastAsia="Times New Roman" w:hAnsi="Times New Roman"/>
              </w:rPr>
            </w:pPr>
            <w:r w:rsidDel="00000000" w:rsidR="00000000" w:rsidRPr="00000000">
              <w:rPr>
                <w:rtl w:val="0"/>
              </w:rPr>
            </w:r>
          </w:p>
        </w:tc>
      </w:tr>
      <w:tr>
        <w:trPr>
          <w:cantSplit w:val="0"/>
          <w:trHeight w:val="876" w:hRule="atLeast"/>
          <w:tblHeader w:val="0"/>
        </w:trPr>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Deuxième rencontre du COPIL </w:t>
            </w:r>
          </w:p>
        </w:tc>
        <w:tc>
          <w:tcPr/>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Bloc-notes stylos (Merci de proposer 3 offres pour 3 modèles différents)</w:t>
            </w:r>
          </w:p>
        </w:tc>
        <w:tc>
          <w:tcPr/>
          <w:p w:rsidR="00000000" w:rsidDel="00000000" w:rsidP="00000000" w:rsidRDefault="00000000" w:rsidRPr="00000000" w14:paraId="0000005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p w:rsidR="00000000" w:rsidDel="00000000" w:rsidP="00000000" w:rsidRDefault="00000000" w:rsidRPr="00000000" w14:paraId="000000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01/09/2023</w:t>
            </w:r>
          </w:p>
        </w:tc>
      </w:tr>
      <w:tr>
        <w:trPr>
          <w:cantSplit w:val="0"/>
          <w:trHeight w:val="852" w:hRule="atLeast"/>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Troisième rencontre du COPIL </w:t>
            </w:r>
          </w:p>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Bloc-notes stylos (Merci de proposer 3 offres pour 3 modèles différents)</w:t>
            </w:r>
          </w:p>
        </w:tc>
        <w:tc>
          <w:tcPr/>
          <w:p w:rsidR="00000000" w:rsidDel="00000000" w:rsidP="00000000" w:rsidRDefault="00000000" w:rsidRPr="00000000" w14:paraId="000000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01/12/2023</w:t>
            </w:r>
          </w:p>
        </w:tc>
      </w:tr>
      <w:tr>
        <w:trPr>
          <w:cantSplit w:val="0"/>
          <w:trHeight w:val="1308"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Quatrième rencontre du COPIL</w:t>
            </w:r>
          </w:p>
        </w:tc>
        <w:tc>
          <w:tcPr/>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Bloc-notes stylos (Merci de proposer 3 offres pour 3 modèles différents)</w:t>
            </w:r>
          </w:p>
        </w:tc>
        <w:tc>
          <w:tcPr/>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p w:rsidR="00000000" w:rsidDel="00000000" w:rsidP="00000000" w:rsidRDefault="00000000" w:rsidRPr="00000000" w14:paraId="0000006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01/02/2024</w:t>
            </w:r>
          </w:p>
        </w:tc>
      </w:tr>
      <w:tr>
        <w:trPr>
          <w:cantSplit w:val="0"/>
          <w:trHeight w:val="1308"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Cérémonie de graduation: Programme des ambassadeurs de la démocratie</w:t>
            </w:r>
          </w:p>
        </w:tc>
        <w:tc>
          <w:tcPr/>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 visibilité: Bloc note +stylo personnalisé</w:t>
            </w:r>
          </w:p>
        </w:tc>
        <w:tc>
          <w:tcPr/>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Bloc-notes stylos (Merci de proposer 3 offres pour 3 modèles différents)</w:t>
            </w:r>
          </w:p>
        </w:tc>
        <w:tc>
          <w:tcPr/>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01/01/2021</w:t>
            </w:r>
          </w:p>
        </w:tc>
      </w:tr>
      <w:tr>
        <w:trPr>
          <w:cantSplit w:val="0"/>
          <w:trHeight w:val="652.5" w:hRule="atLeast"/>
          <w:tblHeader w:val="0"/>
        </w:trPr>
        <w:tc>
          <w:tcPr>
            <w:vMerge w:val="restart"/>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Cérémonie de clôture et capitalisation</w:t>
            </w:r>
          </w:p>
        </w:tc>
        <w:tc>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Rapport de capitalisation</w:t>
            </w:r>
          </w:p>
        </w:tc>
        <w:tc>
          <w:tcPr/>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Livret d’environ 45 pg</w:t>
            </w:r>
          </w:p>
        </w:tc>
        <w:tc>
          <w:tcPr/>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10/04/2024</w:t>
            </w:r>
          </w:p>
        </w:tc>
      </w:tr>
      <w:tr>
        <w:trPr>
          <w:cantSplit w:val="0"/>
          <w:trHeight w:val="652.5"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 Bloc note</w:t>
            </w:r>
          </w:p>
        </w:tc>
        <w:tc>
          <w:tcPr/>
          <w:p w:rsidR="00000000" w:rsidDel="00000000" w:rsidP="00000000" w:rsidRDefault="00000000" w:rsidRPr="00000000" w14:paraId="0000006D">
            <w:pPr>
              <w:spacing w:after="0" w:before="0"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 note + stylo personnalisé (Merci de proposer 3 offres pour 3 modèles différents)</w:t>
            </w:r>
          </w:p>
        </w:tc>
        <w:tc>
          <w:tcPr/>
          <w:p w:rsidR="00000000" w:rsidDel="00000000" w:rsidP="00000000" w:rsidRDefault="00000000" w:rsidRPr="00000000" w14:paraId="0000006E">
            <w:pPr>
              <w:spacing w:after="0" w:before="0"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p w:rsidR="00000000" w:rsidDel="00000000" w:rsidP="00000000" w:rsidRDefault="00000000" w:rsidRPr="00000000" w14:paraId="0000006F">
            <w:pPr>
              <w:spacing w:after="0" w:before="0"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30/04/2024</w:t>
            </w:r>
          </w:p>
        </w:tc>
      </w:tr>
    </w:tbl>
    <w:p w:rsidR="00000000" w:rsidDel="00000000" w:rsidP="00000000" w:rsidRDefault="00000000" w:rsidRPr="00000000" w14:paraId="00000070">
      <w:pPr>
        <w:numPr>
          <w:ilvl w:val="0"/>
          <w:numId w:val="2"/>
        </w:numPr>
        <w:shd w:fill="ffffff" w:val="clear"/>
        <w:spacing w:after="0" w:afterAutospacing="0"/>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Association blédii cherche un prestataire de service pour l’accompagner  tout au long la durée des activités.</w:t>
      </w:r>
    </w:p>
    <w:p w:rsidR="00000000" w:rsidDel="00000000" w:rsidP="00000000" w:rsidRDefault="00000000" w:rsidRPr="00000000" w14:paraId="00000071">
      <w:pPr>
        <w:numPr>
          <w:ilvl w:val="0"/>
          <w:numId w:val="2"/>
        </w:numPr>
        <w:shd w:fill="ffffff" w:val="clear"/>
        <w:spacing w:after="0" w:afterAutospacing="0"/>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l’appel d’offre est ouvert pour toutes les entreprises de service d’impression et tous prestataire qualifiés</w:t>
      </w:r>
    </w:p>
    <w:p w:rsidR="00000000" w:rsidDel="00000000" w:rsidP="00000000" w:rsidRDefault="00000000" w:rsidRPr="00000000" w14:paraId="00000072">
      <w:pPr>
        <w:numPr>
          <w:ilvl w:val="0"/>
          <w:numId w:val="2"/>
        </w:numPr>
        <w:shd w:fill="ffffff" w:val="clear"/>
        <w:spacing w:after="0" w:afterAutospacing="0"/>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 soumission doit être claire et détaillés et respecte les délais  </w:t>
      </w:r>
    </w:p>
    <w:p w:rsidR="00000000" w:rsidDel="00000000" w:rsidP="00000000" w:rsidRDefault="00000000" w:rsidRPr="00000000" w14:paraId="00000073">
      <w:pPr>
        <w:numPr>
          <w:ilvl w:val="0"/>
          <w:numId w:val="2"/>
        </w:numPr>
        <w:shd w:fill="ffffff" w:val="clear"/>
        <w:spacing w:after="0" w:afterAutospacing="0"/>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l’offre financière  doit être exprimée en Hors TVA et en TTC et comporter les détails nécessaires sur toutes les rubriques permettant une meilleure compréhension du montant total offert.</w:t>
      </w:r>
    </w:p>
    <w:p w:rsidR="00000000" w:rsidDel="00000000" w:rsidP="00000000" w:rsidRDefault="00000000" w:rsidRPr="00000000" w14:paraId="00000074">
      <w:pPr>
        <w:numPr>
          <w:ilvl w:val="0"/>
          <w:numId w:val="2"/>
        </w:numPr>
        <w:shd w:fill="ffffff" w:val="clea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 prix indiqué doit  couvrir tous les coûts liés à l’exécution du marché décrit (coûts d’impressions, coûts des supports imprimables, coûts de la livraison ).</w:t>
      </w:r>
    </w:p>
    <w:p w:rsidR="00000000" w:rsidDel="00000000" w:rsidP="00000000" w:rsidRDefault="00000000" w:rsidRPr="00000000" w14:paraId="00000075">
      <w:pPr>
        <w:shd w:fill="ffffff" w:val="clear"/>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NB</w:t>
      </w:r>
      <w:r w:rsidDel="00000000" w:rsidR="00000000" w:rsidRPr="00000000">
        <w:rPr>
          <w:rFonts w:ascii="Times New Roman" w:cs="Times New Roman" w:eastAsia="Times New Roman" w:hAnsi="Times New Roman"/>
          <w:b w:val="1"/>
          <w:sz w:val="26"/>
          <w:szCs w:val="26"/>
          <w:rtl w:val="0"/>
        </w:rPr>
        <w:t xml:space="preserve"> : les dates mentionnés dans le tableau sont les dates de début de chaque activité .cela signifie que les articles doivent être disponible avant ces dates </w:t>
      </w:r>
    </w:p>
    <w:p w:rsidR="00000000" w:rsidDel="00000000" w:rsidP="00000000" w:rsidRDefault="00000000" w:rsidRPr="00000000" w14:paraId="00000076">
      <w:pPr>
        <w:numPr>
          <w:ilvl w:val="0"/>
          <w:numId w:val="2"/>
        </w:numPr>
        <w:shd w:fill="ffffff" w:val="clear"/>
        <w:ind w:left="720" w:hanging="36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Merci de bien vouloir adresser les offres bien détaillées au plus tard le 18/12/2022 avant minuit,  à l’adresse email suivante : </w:t>
      </w:r>
    </w:p>
    <w:p w:rsidR="00000000" w:rsidDel="00000000" w:rsidP="00000000" w:rsidRDefault="00000000" w:rsidRPr="00000000" w14:paraId="00000077">
      <w:pPr>
        <w:shd w:fill="ffffff" w:val="clea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337ab7"/>
          <w:sz w:val="26"/>
          <w:szCs w:val="26"/>
          <w:rtl w:val="0"/>
        </w:rPr>
        <w:t xml:space="preserve">  </w:t>
      </w: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Association.bledii.info@gmail.com</w:t>
        </w:r>
      </w:hyperlink>
      <w:r w:rsidDel="00000000" w:rsidR="00000000" w:rsidRPr="00000000">
        <w:rPr>
          <w:rFonts w:ascii="Times New Roman" w:cs="Times New Roman" w:eastAsia="Times New Roman" w:hAnsi="Times New Roman"/>
          <w:b w:val="1"/>
          <w:i w:val="1"/>
          <w:color w:val="337ab7"/>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en gardant en cc </w:t>
      </w:r>
      <w:hyperlink r:id="rId7">
        <w:r w:rsidDel="00000000" w:rsidR="00000000" w:rsidRPr="00000000">
          <w:rPr>
            <w:rFonts w:ascii="Times New Roman" w:cs="Times New Roman" w:eastAsia="Times New Roman" w:hAnsi="Times New Roman"/>
            <w:b w:val="1"/>
            <w:i w:val="1"/>
            <w:color w:val="1155cc"/>
            <w:sz w:val="24"/>
            <w:szCs w:val="24"/>
            <w:u w:val="single"/>
            <w:rtl w:val="0"/>
          </w:rPr>
          <w:t xml:space="preserve">al.gasmi.naima@gmail.com</w:t>
        </w:r>
      </w:hyperlink>
      <w:r w:rsidDel="00000000" w:rsidR="00000000" w:rsidRPr="00000000">
        <w:rPr>
          <w:rFonts w:ascii="Times New Roman" w:cs="Times New Roman" w:eastAsia="Times New Roman" w:hAnsi="Times New Roman"/>
          <w:b w:val="1"/>
          <w:i w:val="1"/>
          <w:color w:val="337ab7"/>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rtl w:val="0"/>
        </w:rPr>
        <w:t xml:space="preserve">et</w:t>
      </w:r>
      <w:r w:rsidDel="00000000" w:rsidR="00000000" w:rsidRPr="00000000">
        <w:rPr>
          <w:rFonts w:ascii="Times New Roman" w:cs="Times New Roman" w:eastAsia="Times New Roman" w:hAnsi="Times New Roman"/>
          <w:b w:val="1"/>
          <w:color w:val="333333"/>
          <w:sz w:val="24"/>
          <w:szCs w:val="24"/>
          <w:rtl w:val="0"/>
        </w:rPr>
        <w:t xml:space="preserve"> </w:t>
      </w:r>
      <w:hyperlink r:id="rId8">
        <w:r w:rsidDel="00000000" w:rsidR="00000000" w:rsidRPr="00000000">
          <w:rPr>
            <w:rFonts w:ascii="Times New Roman" w:cs="Times New Roman" w:eastAsia="Times New Roman" w:hAnsi="Times New Roman"/>
            <w:b w:val="1"/>
            <w:i w:val="1"/>
            <w:color w:val="1155cc"/>
            <w:sz w:val="24"/>
            <w:szCs w:val="24"/>
            <w:u w:val="single"/>
            <w:rtl w:val="0"/>
          </w:rPr>
          <w:t xml:space="preserve">takialoui11@gmail.com</w:t>
        </w:r>
      </w:hyperlink>
      <w:r w:rsidDel="00000000" w:rsidR="00000000" w:rsidRPr="00000000">
        <w:rPr>
          <w:rFonts w:ascii="Times New Roman" w:cs="Times New Roman" w:eastAsia="Times New Roman" w:hAnsi="Times New Roman"/>
          <w:b w:val="1"/>
          <w:i w:val="1"/>
          <w:color w:val="337ab7"/>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w:t>
      </w:r>
      <w:r w:rsidDel="00000000" w:rsidR="00000000" w:rsidRPr="00000000">
        <w:rPr>
          <w:rFonts w:ascii="Times New Roman" w:cs="Times New Roman" w:eastAsia="Times New Roman" w:hAnsi="Times New Roman"/>
          <w:b w:val="1"/>
          <w:i w:val="1"/>
          <w:sz w:val="24"/>
          <w:szCs w:val="24"/>
          <w:rtl w:val="0"/>
        </w:rPr>
        <w:t xml:space="preserve">vec comme objet </w:t>
      </w:r>
      <w:r w:rsidDel="00000000" w:rsidR="00000000" w:rsidRPr="00000000">
        <w:rPr>
          <w:rFonts w:ascii="Times New Roman" w:cs="Times New Roman" w:eastAsia="Times New Roman" w:hAnsi="Times New Roman"/>
          <w:b w:val="1"/>
          <w:sz w:val="24"/>
          <w:szCs w:val="24"/>
          <w:rtl w:val="0"/>
        </w:rPr>
        <w:t xml:space="preserve">« Appel d’offre 03-2022/Service d’impression  »</w:t>
      </w:r>
    </w:p>
    <w:p w:rsidR="00000000" w:rsidDel="00000000" w:rsidP="00000000" w:rsidRDefault="00000000" w:rsidRPr="00000000" w14:paraId="00000078">
      <w:pPr>
        <w:shd w:fill="ffffff" w:val="clear"/>
        <w:rPr>
          <w:rFonts w:ascii="Times New Roman" w:cs="Times New Roman" w:eastAsia="Times New Roman" w:hAnsi="Times New Roman"/>
          <w:b w:val="1"/>
          <w:color w:val="333333"/>
          <w:sz w:val="26"/>
          <w:szCs w:val="26"/>
        </w:rPr>
      </w:pPr>
      <w:r w:rsidDel="00000000" w:rsidR="00000000" w:rsidRPr="00000000">
        <w:rPr>
          <w:rtl w:val="0"/>
        </w:rPr>
      </w:r>
    </w:p>
    <w:p w:rsidR="00000000" w:rsidDel="00000000" w:rsidP="00000000" w:rsidRDefault="00000000" w:rsidRPr="00000000" w14:paraId="00000079">
      <w:pPr>
        <w:rPr>
          <w:rFonts w:ascii="Bahnschrift" w:cs="Bahnschrift" w:eastAsia="Bahnschrift" w:hAnsi="Bahnschrift"/>
          <w:b w:val="1"/>
          <w:sz w:val="36"/>
          <w:szCs w:val="36"/>
        </w:rPr>
      </w:pPr>
      <w:r w:rsidDel="00000000" w:rsidR="00000000" w:rsidRPr="00000000">
        <w:rPr>
          <w:rtl w:val="0"/>
        </w:rPr>
      </w:r>
    </w:p>
    <w:sectPr>
      <w:headerReference r:id="rId9" w:type="default"/>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Bahnschrif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pPr>
    <w:r w:rsidDel="00000000" w:rsidR="00000000" w:rsidRPr="00000000">
      <w:rPr/>
      <w:drawing>
        <wp:inline distB="114300" distT="114300" distL="114300" distR="114300">
          <wp:extent cx="1724343" cy="524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343" cy="524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ssociation.bledii.info@gmail.com" TargetMode="External"/><Relationship Id="rId7" Type="http://schemas.openxmlformats.org/officeDocument/2006/relationships/hyperlink" Target="mailto:al.gasmi.naima@gmail.com" TargetMode="External"/><Relationship Id="rId8" Type="http://schemas.openxmlformats.org/officeDocument/2006/relationships/hyperlink" Target="mailto:takialoui1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