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07E" w14:textId="602E0487" w:rsidR="006F5FD0" w:rsidRPr="00B33EE6" w:rsidRDefault="006F5FD0">
      <w:pPr>
        <w:jc w:val="center"/>
        <w:rPr>
          <w:rStyle w:val="lev"/>
          <w:sz w:val="28"/>
          <w:szCs w:val="28"/>
        </w:rPr>
      </w:pPr>
      <w:r>
        <w:rPr>
          <w:b/>
          <w:sz w:val="28"/>
          <w:szCs w:val="28"/>
        </w:rPr>
        <w:t xml:space="preserve">AVIS DE MARCHÉ </w:t>
      </w:r>
    </w:p>
    <w:p w14:paraId="1E3CC1C3" w14:textId="41853052" w:rsidR="00571687" w:rsidRPr="00B9352A" w:rsidRDefault="00452F78" w:rsidP="00452F78">
      <w:pPr>
        <w:ind w:left="709" w:hanging="349"/>
        <w:jc w:val="center"/>
        <w:outlineLvl w:val="0"/>
        <w:rPr>
          <w:rStyle w:val="lev"/>
          <w:sz w:val="22"/>
          <w:szCs w:val="22"/>
        </w:rPr>
      </w:pPr>
      <w:r>
        <w:rPr>
          <w:b/>
          <w:bCs/>
          <w:sz w:val="23"/>
          <w:szCs w:val="23"/>
        </w:rPr>
        <w:t xml:space="preserve">Service, Etude </w:t>
      </w:r>
      <w:r w:rsidRPr="00452F78">
        <w:rPr>
          <w:b/>
          <w:bCs/>
          <w:sz w:val="23"/>
          <w:szCs w:val="23"/>
        </w:rPr>
        <w:t>dessalement</w:t>
      </w:r>
      <w:r>
        <w:rPr>
          <w:b/>
          <w:bCs/>
          <w:sz w:val="23"/>
          <w:szCs w:val="23"/>
        </w:rPr>
        <w:t>, Tunisie</w:t>
      </w:r>
    </w:p>
    <w:p w14:paraId="1BE20B1E" w14:textId="77777777" w:rsidR="006F5FD0" w:rsidRPr="00B33EE6" w:rsidRDefault="007727F3" w:rsidP="00584BF4">
      <w:pPr>
        <w:ind w:left="709" w:hanging="349"/>
        <w:outlineLvl w:val="0"/>
        <w:rPr>
          <w:sz w:val="22"/>
          <w:szCs w:val="22"/>
        </w:rPr>
      </w:pPr>
      <w:r>
        <w:rPr>
          <w:rStyle w:val="lev"/>
          <w:sz w:val="22"/>
          <w:szCs w:val="22"/>
        </w:rPr>
        <w:t>1.</w:t>
      </w:r>
      <w:r>
        <w:rPr>
          <w:rStyle w:val="lev"/>
          <w:sz w:val="22"/>
          <w:szCs w:val="22"/>
        </w:rPr>
        <w:tab/>
        <w:t>Référence</w:t>
      </w:r>
    </w:p>
    <w:p w14:paraId="634FD1ED" w14:textId="0E0B08D6" w:rsidR="00134662" w:rsidRDefault="00452F78" w:rsidP="00134662">
      <w:pPr>
        <w:ind w:left="709" w:hanging="349"/>
        <w:outlineLvl w:val="0"/>
        <w:rPr>
          <w:snapToGrid/>
          <w:sz w:val="22"/>
          <w:szCs w:val="22"/>
        </w:rPr>
      </w:pPr>
      <w:r>
        <w:rPr>
          <w:sz w:val="22"/>
          <w:szCs w:val="22"/>
        </w:rPr>
        <w:t>15</w:t>
      </w:r>
      <w:r w:rsidR="00134662">
        <w:rPr>
          <w:sz w:val="22"/>
          <w:szCs w:val="22"/>
        </w:rPr>
        <w:t>/2022/ICU/</w:t>
      </w:r>
      <w:r>
        <w:rPr>
          <w:sz w:val="22"/>
          <w:szCs w:val="22"/>
        </w:rPr>
        <w:t>WISPER</w:t>
      </w:r>
    </w:p>
    <w:p w14:paraId="7A3797D8" w14:textId="77777777" w:rsidR="006F5FD0" w:rsidRPr="00571695" w:rsidRDefault="007727F3" w:rsidP="00584BF4">
      <w:pPr>
        <w:ind w:left="709" w:hanging="349"/>
        <w:outlineLvl w:val="0"/>
        <w:rPr>
          <w:sz w:val="22"/>
          <w:szCs w:val="22"/>
        </w:rPr>
      </w:pPr>
      <w:r w:rsidRPr="00571695">
        <w:rPr>
          <w:rStyle w:val="lev"/>
          <w:sz w:val="22"/>
          <w:szCs w:val="22"/>
        </w:rPr>
        <w:t>2.</w:t>
      </w:r>
      <w:r w:rsidRPr="00571695">
        <w:rPr>
          <w:rStyle w:val="lev"/>
          <w:sz w:val="22"/>
          <w:szCs w:val="22"/>
        </w:rPr>
        <w:tab/>
        <w:t>Procédure</w:t>
      </w:r>
    </w:p>
    <w:p w14:paraId="41C9370C" w14:textId="751DA07C" w:rsidR="006F5FD0" w:rsidRPr="00571695" w:rsidRDefault="00134662" w:rsidP="00134662">
      <w:pPr>
        <w:pStyle w:val="Blockquote"/>
        <w:ind w:left="0"/>
        <w:jc w:val="both"/>
        <w:rPr>
          <w:sz w:val="22"/>
          <w:szCs w:val="22"/>
        </w:rPr>
      </w:pPr>
      <w:r w:rsidRPr="00571695">
        <w:rPr>
          <w:sz w:val="22"/>
          <w:szCs w:val="22"/>
        </w:rPr>
        <w:t xml:space="preserve">   </w:t>
      </w:r>
      <w:r w:rsidR="00B152E4">
        <w:rPr>
          <w:sz w:val="22"/>
          <w:szCs w:val="22"/>
        </w:rPr>
        <w:t xml:space="preserve">Procédure simplifiée </w:t>
      </w:r>
    </w:p>
    <w:p w14:paraId="5F51B1AE" w14:textId="77777777" w:rsidR="00971962" w:rsidRPr="00984367" w:rsidRDefault="006F5FD0" w:rsidP="00971962">
      <w:pPr>
        <w:ind w:left="709" w:hanging="349"/>
        <w:outlineLvl w:val="0"/>
        <w:rPr>
          <w:b/>
          <w:sz w:val="22"/>
          <w:szCs w:val="22"/>
          <w:lang w:val="en-US"/>
        </w:rPr>
      </w:pPr>
      <w:r w:rsidRPr="00984367">
        <w:rPr>
          <w:rStyle w:val="lev"/>
          <w:sz w:val="22"/>
          <w:szCs w:val="22"/>
          <w:lang w:val="en-US"/>
        </w:rPr>
        <w:t xml:space="preserve">3. </w:t>
      </w:r>
      <w:r w:rsidRPr="00984367">
        <w:rPr>
          <w:rStyle w:val="lev"/>
          <w:sz w:val="22"/>
          <w:szCs w:val="22"/>
          <w:lang w:val="en-US"/>
        </w:rPr>
        <w:tab/>
      </w:r>
      <w:proofErr w:type="spellStart"/>
      <w:r w:rsidRPr="00984367">
        <w:rPr>
          <w:rStyle w:val="lev"/>
          <w:sz w:val="22"/>
          <w:szCs w:val="22"/>
          <w:lang w:val="en-US"/>
        </w:rPr>
        <w:t>Intitulé</w:t>
      </w:r>
      <w:proofErr w:type="spellEnd"/>
      <w:r w:rsidRPr="00984367">
        <w:rPr>
          <w:rStyle w:val="lev"/>
          <w:sz w:val="22"/>
          <w:szCs w:val="22"/>
          <w:lang w:val="en-US"/>
        </w:rPr>
        <w:t xml:space="preserve"> du </w:t>
      </w:r>
      <w:proofErr w:type="spellStart"/>
      <w:r w:rsidRPr="00984367">
        <w:rPr>
          <w:rStyle w:val="lev"/>
          <w:sz w:val="22"/>
          <w:szCs w:val="22"/>
          <w:lang w:val="en-US"/>
        </w:rPr>
        <w:t>programme</w:t>
      </w:r>
      <w:proofErr w:type="spellEnd"/>
    </w:p>
    <w:p w14:paraId="25DBAC7D" w14:textId="77777777" w:rsidR="00452F78" w:rsidRPr="00993C83" w:rsidRDefault="00452F78" w:rsidP="00452F78">
      <w:pPr>
        <w:pStyle w:val="PRAGHeading2"/>
        <w:numPr>
          <w:ilvl w:val="0"/>
          <w:numId w:val="0"/>
        </w:numPr>
        <w:ind w:left="357" w:right="357"/>
        <w:rPr>
          <w:color w:val="000000"/>
          <w:sz w:val="22"/>
          <w:szCs w:val="22"/>
          <w:shd w:val="clear" w:color="auto" w:fill="FFFFFF"/>
          <w:lang w:val="en-US"/>
        </w:rPr>
      </w:pPr>
      <w:r w:rsidRPr="00993C83">
        <w:rPr>
          <w:color w:val="000000"/>
          <w:sz w:val="22"/>
          <w:szCs w:val="22"/>
          <w:shd w:val="clear" w:color="auto" w:fill="FFFFFF"/>
          <w:lang w:val="en-US"/>
        </w:rPr>
        <w:t>WISPER- Water-efficient Innovative Solutions Portfolio for Enhancing Resilience.</w:t>
      </w:r>
    </w:p>
    <w:p w14:paraId="797EC4DC" w14:textId="77777777" w:rsidR="006F5FD0" w:rsidRPr="00984367" w:rsidRDefault="006F5FD0" w:rsidP="00584BF4">
      <w:pPr>
        <w:ind w:left="709" w:hanging="349"/>
        <w:outlineLvl w:val="0"/>
        <w:rPr>
          <w:sz w:val="22"/>
          <w:szCs w:val="22"/>
          <w:lang w:val="en-US"/>
        </w:rPr>
      </w:pPr>
      <w:r w:rsidRPr="00452F78">
        <w:rPr>
          <w:rStyle w:val="lev"/>
          <w:sz w:val="22"/>
          <w:szCs w:val="22"/>
          <w:lang w:val="en-US"/>
        </w:rPr>
        <w:t xml:space="preserve">4. </w:t>
      </w:r>
      <w:r w:rsidRPr="00452F78">
        <w:rPr>
          <w:rStyle w:val="lev"/>
          <w:sz w:val="22"/>
          <w:szCs w:val="22"/>
          <w:lang w:val="en-US"/>
        </w:rPr>
        <w:tab/>
      </w:r>
      <w:proofErr w:type="spellStart"/>
      <w:r w:rsidRPr="00984367">
        <w:rPr>
          <w:rStyle w:val="lev"/>
          <w:sz w:val="22"/>
          <w:szCs w:val="22"/>
          <w:lang w:val="en-US"/>
        </w:rPr>
        <w:t>Financement</w:t>
      </w:r>
      <w:proofErr w:type="spellEnd"/>
    </w:p>
    <w:p w14:paraId="42035124" w14:textId="3AEA1617" w:rsidR="00452F78" w:rsidRPr="00993C83" w:rsidRDefault="00452F78" w:rsidP="00452F78">
      <w:pPr>
        <w:pStyle w:val="PRAGHeading2"/>
        <w:numPr>
          <w:ilvl w:val="0"/>
          <w:numId w:val="0"/>
        </w:numPr>
        <w:ind w:left="357" w:right="357"/>
        <w:rPr>
          <w:lang w:val="en-US"/>
        </w:rPr>
      </w:pPr>
      <w:r w:rsidRPr="00993C83">
        <w:rPr>
          <w:sz w:val="20"/>
          <w:lang w:val="en-US"/>
        </w:rPr>
        <w:t>WISPER/EUROPEAID/DH/ACT/MULTI</w:t>
      </w:r>
    </w:p>
    <w:p w14:paraId="0F532635" w14:textId="144C9FEE" w:rsidR="00502217" w:rsidRPr="00452F78" w:rsidRDefault="00502217" w:rsidP="00B13A28">
      <w:pPr>
        <w:pStyle w:val="Blockquote"/>
        <w:rPr>
          <w:sz w:val="22"/>
          <w:szCs w:val="22"/>
          <w:lang w:val="en-US" w:bidi="fr-FR"/>
        </w:rPr>
      </w:pPr>
    </w:p>
    <w:p w14:paraId="03ED8384" w14:textId="77777777" w:rsidR="006F5FD0" w:rsidRPr="00B33EE6" w:rsidRDefault="006F5FD0" w:rsidP="00584BF4">
      <w:pPr>
        <w:ind w:left="709" w:hanging="349"/>
        <w:outlineLvl w:val="0"/>
        <w:rPr>
          <w:sz w:val="22"/>
          <w:szCs w:val="22"/>
        </w:rPr>
      </w:pPr>
      <w:r w:rsidRPr="00984367">
        <w:rPr>
          <w:rStyle w:val="lev"/>
          <w:sz w:val="22"/>
          <w:szCs w:val="22"/>
        </w:rPr>
        <w:t xml:space="preserve">5. </w:t>
      </w:r>
      <w:r w:rsidRPr="00984367">
        <w:rPr>
          <w:rStyle w:val="lev"/>
          <w:sz w:val="22"/>
          <w:szCs w:val="22"/>
        </w:rPr>
        <w:tab/>
      </w:r>
      <w:r>
        <w:rPr>
          <w:rStyle w:val="lev"/>
          <w:sz w:val="22"/>
          <w:szCs w:val="22"/>
        </w:rPr>
        <w:t>Pouvoir adjudicateur</w:t>
      </w:r>
    </w:p>
    <w:p w14:paraId="7873851A" w14:textId="77777777" w:rsidR="00895B3B" w:rsidRDefault="00895B3B" w:rsidP="00895B3B">
      <w:pPr>
        <w:rPr>
          <w:rStyle w:val="lev"/>
          <w:sz w:val="22"/>
          <w:szCs w:val="22"/>
        </w:rPr>
      </w:pPr>
      <w:bookmarkStart w:id="0" w:name="_Hlk96419573"/>
      <w:r w:rsidRPr="000F0937">
        <w:rPr>
          <w:rStyle w:val="lev"/>
          <w:sz w:val="22"/>
          <w:szCs w:val="22"/>
        </w:rPr>
        <w:t xml:space="preserve">Institut pour la Coopération Universitaire- ICU </w:t>
      </w:r>
      <w:proofErr w:type="spellStart"/>
      <w:r w:rsidRPr="000F0937">
        <w:rPr>
          <w:rStyle w:val="lev"/>
          <w:sz w:val="22"/>
          <w:szCs w:val="22"/>
        </w:rPr>
        <w:t>Onlus</w:t>
      </w:r>
      <w:proofErr w:type="spellEnd"/>
    </w:p>
    <w:bookmarkEnd w:id="0"/>
    <w:p w14:paraId="2259BEAD" w14:textId="1BD93FDB" w:rsidR="006F5FD0" w:rsidRDefault="006F5FD0" w:rsidP="00895B3B">
      <w:pPr>
        <w:ind w:left="357" w:right="357"/>
        <w:jc w:val="both"/>
        <w:rPr>
          <w:rStyle w:val="Accentuation"/>
          <w:i w:val="0"/>
          <w:sz w:val="22"/>
          <w:szCs w:val="22"/>
        </w:rPr>
      </w:pPr>
    </w:p>
    <w:p w14:paraId="67F4A905" w14:textId="77777777" w:rsidR="006F5FD0" w:rsidRPr="00B33EE6" w:rsidRDefault="00000000">
      <w:pPr>
        <w:rPr>
          <w:sz w:val="22"/>
          <w:szCs w:val="22"/>
        </w:rPr>
      </w:pPr>
      <w:r>
        <w:rPr>
          <w:snapToGrid/>
          <w:sz w:val="22"/>
          <w:szCs w:val="22"/>
        </w:rPr>
        <w:pict w14:anchorId="589D319E">
          <v:line id="_x0000_s2051" style="position:absolute;z-index:1" from="0,12pt" to="468pt,12.05pt" o:allowincell="f" strokecolor="#d4d4d4" strokeweight="1.75pt">
            <v:shadow on="t" origin=",32385f" offset="0,-1pt"/>
          </v:line>
        </w:pict>
      </w:r>
    </w:p>
    <w:p w14:paraId="30050B2B" w14:textId="77777777" w:rsidR="006F5FD0" w:rsidRPr="00B33EE6" w:rsidRDefault="006F5FD0" w:rsidP="00D517A4">
      <w:pPr>
        <w:jc w:val="center"/>
        <w:rPr>
          <w:sz w:val="28"/>
          <w:szCs w:val="28"/>
        </w:rPr>
      </w:pPr>
      <w:r>
        <w:rPr>
          <w:rStyle w:val="lev"/>
          <w:sz w:val="28"/>
          <w:szCs w:val="28"/>
        </w:rPr>
        <w:t>SPÉCIFICATIONS DU MARCHÉ</w:t>
      </w:r>
    </w:p>
    <w:p w14:paraId="4C8A4F1B" w14:textId="77777777" w:rsidR="006F5FD0" w:rsidRPr="00B33EE6" w:rsidRDefault="006F5FD0" w:rsidP="00584BF4">
      <w:pPr>
        <w:ind w:left="709" w:hanging="349"/>
        <w:outlineLvl w:val="0"/>
        <w:rPr>
          <w:sz w:val="22"/>
          <w:szCs w:val="22"/>
        </w:rPr>
      </w:pPr>
      <w:r>
        <w:rPr>
          <w:rStyle w:val="lev"/>
          <w:sz w:val="22"/>
          <w:szCs w:val="22"/>
        </w:rPr>
        <w:t xml:space="preserve">6. </w:t>
      </w:r>
      <w:r>
        <w:rPr>
          <w:rStyle w:val="lev"/>
          <w:sz w:val="22"/>
          <w:szCs w:val="22"/>
        </w:rPr>
        <w:tab/>
        <w:t>Type de marché</w:t>
      </w:r>
    </w:p>
    <w:p w14:paraId="71099A85" w14:textId="46AC1954" w:rsidR="006F5FD0" w:rsidRPr="00B33EE6" w:rsidRDefault="008A1184">
      <w:pPr>
        <w:pStyle w:val="Blockquote"/>
        <w:jc w:val="both"/>
        <w:rPr>
          <w:i/>
          <w:sz w:val="22"/>
          <w:szCs w:val="22"/>
        </w:rPr>
      </w:pPr>
      <w:r>
        <w:rPr>
          <w:rStyle w:val="Accentuation"/>
          <w:i w:val="0"/>
          <w:sz w:val="22"/>
          <w:szCs w:val="22"/>
        </w:rPr>
        <w:t xml:space="preserve"> </w:t>
      </w:r>
      <w:proofErr w:type="gramStart"/>
      <w:r w:rsidRPr="00895B3B">
        <w:rPr>
          <w:rStyle w:val="Accentuation"/>
          <w:i w:val="0"/>
          <w:sz w:val="22"/>
          <w:szCs w:val="22"/>
        </w:rPr>
        <w:t>prix</w:t>
      </w:r>
      <w:proofErr w:type="gramEnd"/>
      <w:r w:rsidRPr="00895B3B">
        <w:rPr>
          <w:rStyle w:val="Accentuation"/>
          <w:i w:val="0"/>
          <w:sz w:val="22"/>
          <w:szCs w:val="22"/>
        </w:rPr>
        <w:t xml:space="preserve"> unitaire</w:t>
      </w:r>
    </w:p>
    <w:p w14:paraId="1879C6BF" w14:textId="77777777" w:rsidR="006F5FD0" w:rsidRPr="00B33EE6" w:rsidRDefault="006F5FD0" w:rsidP="00584BF4">
      <w:pPr>
        <w:ind w:left="709" w:hanging="352"/>
        <w:outlineLvl w:val="0"/>
        <w:rPr>
          <w:sz w:val="22"/>
          <w:szCs w:val="22"/>
        </w:rPr>
      </w:pPr>
      <w:r>
        <w:rPr>
          <w:rStyle w:val="lev"/>
          <w:sz w:val="22"/>
          <w:szCs w:val="22"/>
        </w:rPr>
        <w:t xml:space="preserve">7. </w:t>
      </w:r>
      <w:r>
        <w:rPr>
          <w:rStyle w:val="lev"/>
          <w:sz w:val="22"/>
          <w:szCs w:val="22"/>
        </w:rPr>
        <w:tab/>
        <w:t>Description du marché</w:t>
      </w:r>
    </w:p>
    <w:p w14:paraId="26B2AC09" w14:textId="77777777" w:rsidR="00452F78" w:rsidRPr="00452F78" w:rsidRDefault="00452F78" w:rsidP="00452F78">
      <w:pPr>
        <w:ind w:left="709" w:hanging="349"/>
        <w:outlineLvl w:val="0"/>
        <w:rPr>
          <w:sz w:val="22"/>
          <w:szCs w:val="22"/>
        </w:rPr>
      </w:pPr>
      <w:r w:rsidRPr="00452F78">
        <w:rPr>
          <w:sz w:val="22"/>
          <w:szCs w:val="22"/>
        </w:rPr>
        <w:t xml:space="preserve">Elaboration d’une étude scientifique (non seulement bibliographique) sur les possibilités de réutilisation et de l’évacuation des résidus générés par le processus de dessalement de l’eau. L’étude scientifique inclut une expérimentation des différentes solutions technologiques, physico-chimiques et biologiques pour l'élimination des sels et des saumures provenant du processus de dessalement de l'eau et qui ont un impact énorme sur l'environnement. La meilleure solution innovante sera testée à petit échelle, au sein d’un laboratoire de recherche et à l’aide d’un prototype. </w:t>
      </w:r>
    </w:p>
    <w:p w14:paraId="5C47F439" w14:textId="77777777" w:rsidR="00452F78" w:rsidRDefault="00452F78" w:rsidP="00452F78">
      <w:pPr>
        <w:ind w:left="709" w:hanging="349"/>
        <w:outlineLvl w:val="0"/>
        <w:rPr>
          <w:sz w:val="22"/>
          <w:szCs w:val="22"/>
        </w:rPr>
      </w:pPr>
      <w:r w:rsidRPr="00452F78">
        <w:rPr>
          <w:sz w:val="22"/>
          <w:szCs w:val="22"/>
        </w:rPr>
        <w:t>Grâce à cette étude expérimentale, nous tenterons de trouver des solutions technologiques et commerciales pour la réutilisation et/ou l'élimination des résidus/brins issus des processus de dessalement de l'eau.</w:t>
      </w:r>
    </w:p>
    <w:p w14:paraId="75E79BC7" w14:textId="24FEC13C" w:rsidR="006F5FD0" w:rsidRPr="00B33EE6" w:rsidRDefault="006F5FD0" w:rsidP="00452F78">
      <w:pPr>
        <w:ind w:left="709" w:hanging="349"/>
        <w:outlineLvl w:val="0"/>
        <w:rPr>
          <w:sz w:val="22"/>
          <w:szCs w:val="22"/>
        </w:rPr>
      </w:pPr>
      <w:r>
        <w:rPr>
          <w:rStyle w:val="lev"/>
          <w:sz w:val="22"/>
          <w:szCs w:val="22"/>
        </w:rPr>
        <w:t xml:space="preserve">8. </w:t>
      </w:r>
      <w:r>
        <w:rPr>
          <w:rStyle w:val="lev"/>
          <w:sz w:val="22"/>
          <w:szCs w:val="22"/>
        </w:rPr>
        <w:tab/>
        <w:t>Nombre et intitulés des lots</w:t>
      </w:r>
    </w:p>
    <w:p w14:paraId="51502A56" w14:textId="41D4BAB6" w:rsidR="00E9047D" w:rsidRDefault="00364564" w:rsidP="00584BF4">
      <w:pPr>
        <w:ind w:left="709" w:hanging="349"/>
        <w:outlineLvl w:val="0"/>
        <w:rPr>
          <w:rStyle w:val="Accentuation"/>
          <w:i w:val="0"/>
          <w:sz w:val="22"/>
          <w:szCs w:val="22"/>
        </w:rPr>
      </w:pPr>
      <w:r w:rsidRPr="00CD6156">
        <w:rPr>
          <w:rStyle w:val="Accentuation"/>
          <w:i w:val="0"/>
          <w:sz w:val="22"/>
          <w:szCs w:val="22"/>
        </w:rPr>
        <w:lastRenderedPageBreak/>
        <w:t>Le présent marché est composé d</w:t>
      </w:r>
      <w:r w:rsidR="00EF304E" w:rsidRPr="00CD6156">
        <w:rPr>
          <w:rStyle w:val="Accentuation"/>
          <w:i w:val="0"/>
          <w:sz w:val="22"/>
          <w:szCs w:val="22"/>
        </w:rPr>
        <w:t>’</w:t>
      </w:r>
      <w:r w:rsidRPr="00CD6156">
        <w:rPr>
          <w:rStyle w:val="Accentuation"/>
          <w:i w:val="0"/>
          <w:sz w:val="22"/>
          <w:szCs w:val="22"/>
        </w:rPr>
        <w:t>un seul lot</w:t>
      </w:r>
    </w:p>
    <w:p w14:paraId="190BC2AB" w14:textId="0E601462" w:rsidR="00F70686" w:rsidRPr="00F70686" w:rsidRDefault="00F70686" w:rsidP="00584BF4">
      <w:pPr>
        <w:ind w:left="709" w:hanging="349"/>
        <w:outlineLvl w:val="0"/>
        <w:rPr>
          <w:rStyle w:val="Accentuation"/>
          <w:b/>
          <w:bCs/>
          <w:i w:val="0"/>
          <w:sz w:val="22"/>
          <w:szCs w:val="22"/>
        </w:rPr>
      </w:pPr>
      <w:r w:rsidRPr="00F70686">
        <w:rPr>
          <w:rStyle w:val="Accentuation"/>
          <w:b/>
          <w:bCs/>
          <w:i w:val="0"/>
          <w:sz w:val="22"/>
          <w:szCs w:val="22"/>
        </w:rPr>
        <w:t>9.   Budget Maximal</w:t>
      </w:r>
    </w:p>
    <w:p w14:paraId="23859745" w14:textId="20031128" w:rsidR="00F70686" w:rsidRPr="00B33EE6" w:rsidRDefault="00C558F4" w:rsidP="00584BF4">
      <w:pPr>
        <w:ind w:left="709" w:hanging="349"/>
        <w:outlineLvl w:val="0"/>
        <w:rPr>
          <w:rStyle w:val="Accentuation"/>
          <w:i w:val="0"/>
          <w:sz w:val="22"/>
          <w:szCs w:val="22"/>
        </w:rPr>
      </w:pPr>
      <w:r w:rsidRPr="00C558F4">
        <w:rPr>
          <w:rStyle w:val="Accentuation"/>
          <w:i w:val="0"/>
          <w:sz w:val="22"/>
          <w:szCs w:val="22"/>
        </w:rPr>
        <w:t>4</w:t>
      </w:r>
      <w:r w:rsidR="00B13A28" w:rsidRPr="00C558F4">
        <w:rPr>
          <w:rStyle w:val="Accentuation"/>
          <w:i w:val="0"/>
          <w:sz w:val="22"/>
          <w:szCs w:val="22"/>
        </w:rPr>
        <w:t>0000 TND</w:t>
      </w:r>
      <w:r w:rsidR="00984367">
        <w:rPr>
          <w:rStyle w:val="Accentuation"/>
          <w:i w:val="0"/>
          <w:sz w:val="22"/>
          <w:szCs w:val="22"/>
        </w:rPr>
        <w:t xml:space="preserve"> quarante mille dinars tunisiens </w:t>
      </w:r>
    </w:p>
    <w:p w14:paraId="6C843D95" w14:textId="77777777" w:rsidR="006F5FD0" w:rsidRPr="00B33EE6" w:rsidRDefault="00000000">
      <w:pPr>
        <w:pStyle w:val="Blockquote"/>
        <w:jc w:val="both"/>
        <w:rPr>
          <w:sz w:val="22"/>
          <w:szCs w:val="22"/>
        </w:rPr>
      </w:pPr>
      <w:r>
        <w:rPr>
          <w:snapToGrid/>
          <w:sz w:val="22"/>
          <w:szCs w:val="22"/>
        </w:rPr>
        <w:pict w14:anchorId="21854D6C">
          <v:line id="_x0000_s2052" style="position:absolute;left:0;text-align:left;z-index:2" from="-1.05pt,17.55pt" to="466.95pt,17.6pt" o:allowincell="f" strokecolor="#d4d4d4" strokeweight="1.75pt">
            <v:shadow on="t" origin=",32385f" offset="0,-1pt"/>
          </v:line>
        </w:pict>
      </w:r>
    </w:p>
    <w:p w14:paraId="283B6821" w14:textId="77777777" w:rsidR="006F5FD0" w:rsidRPr="00B33EE6" w:rsidRDefault="006F5FD0" w:rsidP="00D517A4">
      <w:pPr>
        <w:jc w:val="center"/>
        <w:rPr>
          <w:sz w:val="28"/>
          <w:szCs w:val="28"/>
        </w:rPr>
      </w:pPr>
      <w:r>
        <w:rPr>
          <w:rStyle w:val="lev"/>
          <w:sz w:val="28"/>
          <w:szCs w:val="28"/>
        </w:rPr>
        <w:t>CONDITIONS DE PARTICIPATION</w:t>
      </w:r>
    </w:p>
    <w:p w14:paraId="2CB5FCF7" w14:textId="4EFF6DAD" w:rsidR="00B9793F" w:rsidRDefault="00B9793F" w:rsidP="008660AD">
      <w:pPr>
        <w:pStyle w:val="Notedebasdepage"/>
        <w:ind w:firstLine="426"/>
        <w:rPr>
          <w:rStyle w:val="lev"/>
          <w:sz w:val="22"/>
          <w:szCs w:val="22"/>
        </w:rPr>
      </w:pPr>
      <w:r>
        <w:rPr>
          <w:rStyle w:val="lev"/>
          <w:sz w:val="22"/>
          <w:szCs w:val="22"/>
        </w:rPr>
        <w:t>10. Base juridique, éligibilité et règles d’origine</w:t>
      </w:r>
    </w:p>
    <w:p w14:paraId="381F6A2D" w14:textId="77777777" w:rsidR="00326B16" w:rsidRPr="00EF304E" w:rsidRDefault="00326B16" w:rsidP="008660AD">
      <w:pPr>
        <w:pStyle w:val="Notedebasdepage"/>
        <w:ind w:firstLine="426"/>
        <w:rPr>
          <w:rStyle w:val="lev"/>
          <w:sz w:val="22"/>
          <w:szCs w:val="22"/>
          <w:lang w:val="fr-BE"/>
        </w:rPr>
      </w:pPr>
    </w:p>
    <w:p w14:paraId="666FC8F8" w14:textId="77777777" w:rsidR="00B9793F" w:rsidRPr="00CD6156" w:rsidRDefault="00B9793F" w:rsidP="00B9793F">
      <w:pPr>
        <w:pStyle w:val="paragraph"/>
        <w:spacing w:before="0" w:beforeAutospacing="0" w:after="0" w:afterAutospacing="0"/>
        <w:ind w:left="426"/>
        <w:jc w:val="both"/>
        <w:textAlignment w:val="baseline"/>
        <w:rPr>
          <w:rStyle w:val="eop"/>
          <w:sz w:val="22"/>
          <w:szCs w:val="22"/>
        </w:rPr>
      </w:pPr>
      <w:r w:rsidRPr="00CD6156">
        <w:rPr>
          <w:rStyle w:val="normaltextrun"/>
          <w:sz w:val="22"/>
          <w:szCs w:val="22"/>
        </w:rPr>
        <w:t xml:space="preserve">La base juridique de cette procédure est </w:t>
      </w:r>
      <w:r w:rsidRPr="00CD6156">
        <w:rPr>
          <w:rStyle w:val="eop"/>
          <w:sz w:val="22"/>
          <w:szCs w:val="22"/>
        </w:rPr>
        <w:t>l’annexe IV de l’accord de partenariat entre les membres du groupe des États d’Afrique, des Caraïbes et du Pacifique, d’une part, et la Communauté européenne et ses États membres, d’autre part, signé à Cotonou le 23 juin 2000 tel que modifié à Luxembourg le 25 juin 2005 et à Ouagadougou le 22 juin 2010. Il est fait référence à l’annexe IV telle que révisée par la décision nº 1/2014 du Conseil des ministres ACP-UE du 20 juin 2014.</w:t>
      </w:r>
    </w:p>
    <w:p w14:paraId="697DB020" w14:textId="77777777" w:rsidR="00B9793F" w:rsidRPr="00CD6156" w:rsidRDefault="00B9793F" w:rsidP="00B9793F">
      <w:pPr>
        <w:pStyle w:val="paragraph"/>
        <w:spacing w:before="0" w:beforeAutospacing="0" w:after="0" w:afterAutospacing="0"/>
        <w:ind w:left="426"/>
        <w:jc w:val="both"/>
        <w:textAlignment w:val="baseline"/>
        <w:rPr>
          <w:rFonts w:ascii="Segoe UI" w:hAnsi="Segoe UI" w:cs="Segoe UI"/>
          <w:sz w:val="22"/>
          <w:szCs w:val="22"/>
          <w:lang w:val="fr-BE"/>
        </w:rPr>
      </w:pPr>
    </w:p>
    <w:p w14:paraId="15DABA42" w14:textId="39B3B7C1" w:rsidR="00B9793F" w:rsidRPr="00CD6156" w:rsidRDefault="00B9793F" w:rsidP="00243969">
      <w:pPr>
        <w:pStyle w:val="paragraph"/>
        <w:spacing w:before="0" w:beforeAutospacing="0" w:after="0" w:afterAutospacing="0"/>
        <w:ind w:left="426"/>
        <w:textAlignment w:val="baseline"/>
        <w:rPr>
          <w:sz w:val="22"/>
          <w:szCs w:val="22"/>
          <w:shd w:val="clear" w:color="auto" w:fill="C0C0C0"/>
        </w:rPr>
      </w:pPr>
      <w:r w:rsidRPr="00CD6156">
        <w:rPr>
          <w:rStyle w:val="normaltextrun"/>
          <w:sz w:val="22"/>
          <w:szCs w:val="22"/>
        </w:rPr>
        <w:t>La participation à la procédure est ouverte à égalité de conditions aux personnes morales et physiques (qu’elles participent à titre individuel ou dans le cadre d’un groupement —consortium — de candidats/soumissionnaires) qui sont établies dans l’un des États membres de l’Union européenne, dans l’un des États ACP, ou dans l</w:t>
      </w:r>
      <w:r w:rsidR="00EF304E" w:rsidRPr="00CD6156">
        <w:rPr>
          <w:rStyle w:val="normaltextrun"/>
          <w:sz w:val="22"/>
          <w:szCs w:val="22"/>
        </w:rPr>
        <w:t>’</w:t>
      </w:r>
      <w:r w:rsidRPr="00CD6156">
        <w:rPr>
          <w:rStyle w:val="normaltextrun"/>
          <w:sz w:val="22"/>
          <w:szCs w:val="22"/>
        </w:rPr>
        <w:t>un des pays ou territoires autorisés par l’accord de partenariat ACP-CE au titre duquel le marché est financé.</w:t>
      </w:r>
      <w:r w:rsidRPr="00CD6156">
        <w:rPr>
          <w:rStyle w:val="normaltextrun"/>
          <w:sz w:val="22"/>
          <w:szCs w:val="22"/>
          <w:shd w:val="clear" w:color="auto" w:fill="C0C0C0"/>
        </w:rPr>
        <w:t> </w:t>
      </w:r>
      <w:r w:rsidRPr="00CD6156">
        <w:rPr>
          <w:rStyle w:val="normaltextrun"/>
          <w:sz w:val="22"/>
          <w:szCs w:val="22"/>
          <w:shd w:val="clear" w:color="auto" w:fill="C0C0C0"/>
        </w:rPr>
        <w:br/>
      </w:r>
      <w:r w:rsidRPr="00CD6156">
        <w:rPr>
          <w:rStyle w:val="normaltextrun"/>
          <w:sz w:val="22"/>
          <w:szCs w:val="22"/>
          <w:shd w:val="clear" w:color="auto" w:fill="C0C0C0"/>
        </w:rPr>
        <w:br/>
      </w:r>
      <w:r w:rsidRPr="00CD6156">
        <w:rPr>
          <w:rStyle w:val="normaltextrun"/>
          <w:sz w:val="22"/>
          <w:szCs w:val="22"/>
        </w:rPr>
        <w:t>La participation est également ouverte aux organisations internationales. </w:t>
      </w:r>
      <w:r w:rsidRPr="00CD6156">
        <w:rPr>
          <w:rStyle w:val="eop"/>
          <w:sz w:val="22"/>
          <w:szCs w:val="22"/>
        </w:rPr>
        <w:t> </w:t>
      </w:r>
    </w:p>
    <w:p w14:paraId="21D2BECF" w14:textId="77777777" w:rsidR="00B9793F" w:rsidRPr="008660AD" w:rsidRDefault="00B9793F" w:rsidP="00243969">
      <w:pPr>
        <w:outlineLvl w:val="0"/>
        <w:rPr>
          <w:rStyle w:val="lev"/>
          <w:sz w:val="22"/>
          <w:szCs w:val="22"/>
        </w:rPr>
      </w:pPr>
    </w:p>
    <w:p w14:paraId="63522FC5" w14:textId="77777777" w:rsidR="006F5FD0" w:rsidRPr="00B33EE6" w:rsidRDefault="006F5FD0" w:rsidP="00584BF4">
      <w:pPr>
        <w:ind w:left="709" w:hanging="349"/>
        <w:outlineLvl w:val="0"/>
        <w:rPr>
          <w:sz w:val="22"/>
          <w:szCs w:val="22"/>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Pr>
          <w:rStyle w:val="lev"/>
          <w:sz w:val="22"/>
          <w:szCs w:val="22"/>
        </w:rPr>
        <w:t xml:space="preserve">11. </w:t>
      </w:r>
      <w:r>
        <w:rPr>
          <w:rStyle w:val="lev"/>
          <w:sz w:val="22"/>
          <w:szCs w:val="22"/>
        </w:rPr>
        <w:tab/>
        <w:t>Nombre d’offres</w:t>
      </w:r>
    </w:p>
    <w:p w14:paraId="62FF8F53" w14:textId="77777777" w:rsidR="006F5FD0" w:rsidRPr="00B33EE6" w:rsidRDefault="006F5FD0">
      <w:pPr>
        <w:pStyle w:val="Blockquote"/>
        <w:jc w:val="both"/>
        <w:rPr>
          <w:sz w:val="22"/>
          <w:szCs w:val="22"/>
        </w:rPr>
      </w:pPr>
      <w:r>
        <w:rPr>
          <w:sz w:val="22"/>
          <w:szCs w:val="22"/>
        </w:rPr>
        <w:t>Une personne physique ou morale ne peut pas soumettre plus d’une offre, quelle que soit la forme de sa participation (en tant qu’entité légale individuelle ou en tant que chef de file ou membre d’un consortium soumettant une offre).  Si une personne physique ou morale soumet plus d’une offre, toutes les offres auxquelles cette personne participe seront rejetées.</w:t>
      </w:r>
    </w:p>
    <w:p w14:paraId="6CBC2AF9" w14:textId="77777777" w:rsidR="001A66C2" w:rsidRPr="003319C5" w:rsidRDefault="001A66C2" w:rsidP="008660AD">
      <w:pPr>
        <w:widowControl/>
        <w:snapToGrid w:val="0"/>
        <w:ind w:left="360" w:right="26"/>
        <w:jc w:val="both"/>
        <w:rPr>
          <w:rFonts w:eastAsia="Calibri"/>
          <w:i/>
          <w:iCs/>
          <w:snapToGrid/>
          <w:sz w:val="22"/>
          <w:szCs w:val="22"/>
        </w:rPr>
      </w:pPr>
      <w:r>
        <w:rPr>
          <w:sz w:val="22"/>
          <w:szCs w:val="22"/>
        </w:rPr>
        <w:t xml:space="preserve">Tout soumissionnaire peut indiquer dans son offre qu’il consentira une remise au cas où son offre serait retenue pour plusieurs lots. </w:t>
      </w:r>
    </w:p>
    <w:p w14:paraId="60A454E0" w14:textId="77777777" w:rsidR="001A66C2" w:rsidRPr="00EF304E" w:rsidRDefault="001A66C2" w:rsidP="007727F3">
      <w:pPr>
        <w:pStyle w:val="Blockquote"/>
        <w:jc w:val="both"/>
        <w:rPr>
          <w:i/>
          <w:sz w:val="22"/>
          <w:szCs w:val="22"/>
          <w:lang w:val="fr-BE"/>
        </w:rPr>
      </w:pPr>
    </w:p>
    <w:p w14:paraId="7B54A5E6" w14:textId="77777777" w:rsidR="006F5FD0" w:rsidRPr="00B33EE6" w:rsidRDefault="006F5FD0" w:rsidP="00584BF4">
      <w:pPr>
        <w:ind w:left="709" w:hanging="349"/>
        <w:outlineLvl w:val="0"/>
        <w:rPr>
          <w:sz w:val="22"/>
          <w:szCs w:val="22"/>
        </w:rPr>
      </w:pPr>
      <w:r>
        <w:rPr>
          <w:rStyle w:val="lev"/>
          <w:sz w:val="22"/>
          <w:szCs w:val="22"/>
        </w:rPr>
        <w:t xml:space="preserve">12. </w:t>
      </w:r>
      <w:r>
        <w:rPr>
          <w:rStyle w:val="lev"/>
          <w:sz w:val="22"/>
          <w:szCs w:val="22"/>
        </w:rPr>
        <w:tab/>
        <w:t>Motifs d’exclusion</w:t>
      </w:r>
    </w:p>
    <w:p w14:paraId="796D557F" w14:textId="77777777" w:rsidR="006F5FD0" w:rsidRDefault="006F5FD0">
      <w:pPr>
        <w:pStyle w:val="Blockquote"/>
        <w:jc w:val="both"/>
        <w:rPr>
          <w:sz w:val="22"/>
          <w:szCs w:val="22"/>
        </w:rPr>
      </w:pPr>
      <w:r>
        <w:rPr>
          <w:sz w:val="22"/>
          <w:szCs w:val="22"/>
        </w:rPr>
        <w:t xml:space="preserve">Dans le cadre de l’offre, les soumissionnaires doivent présenter une déclaration signée (incluse dans le bordereau de soumission) par laquelle ils attestent qu’ils ne se trouvent dans aucune des situations d’exclusion visées dans la section 2.6.10.1. </w:t>
      </w:r>
      <w:proofErr w:type="gramStart"/>
      <w:r>
        <w:rPr>
          <w:sz w:val="22"/>
          <w:szCs w:val="22"/>
        </w:rPr>
        <w:t>du</w:t>
      </w:r>
      <w:proofErr w:type="gramEnd"/>
      <w:r>
        <w:rPr>
          <w:sz w:val="22"/>
          <w:szCs w:val="22"/>
        </w:rPr>
        <w:t xml:space="preserve"> PRAG. </w:t>
      </w:r>
    </w:p>
    <w:p w14:paraId="7275ED88" w14:textId="77777777" w:rsidR="0039147E" w:rsidRPr="00B33EE6" w:rsidRDefault="00C03AF5">
      <w:pPr>
        <w:pStyle w:val="Blockquote"/>
        <w:jc w:val="both"/>
        <w:rPr>
          <w:sz w:val="22"/>
          <w:szCs w:val="22"/>
        </w:rPr>
      </w:pPr>
      <w:r>
        <w:rPr>
          <w:sz w:val="22"/>
          <w:szCs w:val="22"/>
        </w:rPr>
        <w:t xml:space="preserve">Les soumissionnaires figurant sur les listes des personnes, groupes et entités faisant l’objet de mesures restrictives de l’UE (voir section 2.4. </w:t>
      </w:r>
      <w:proofErr w:type="gramStart"/>
      <w:r>
        <w:rPr>
          <w:sz w:val="22"/>
          <w:szCs w:val="22"/>
        </w:rPr>
        <w:t>du</w:t>
      </w:r>
      <w:proofErr w:type="gramEnd"/>
      <w:r>
        <w:rPr>
          <w:sz w:val="22"/>
          <w:szCs w:val="22"/>
        </w:rPr>
        <w:t xml:space="preserve"> PRAG) au moment de la décision d’attribution ne peuvent se voir attribuer le marché. </w:t>
      </w:r>
    </w:p>
    <w:p w14:paraId="3126791C" w14:textId="77777777" w:rsidR="006F5FD0" w:rsidRPr="00B33EE6" w:rsidRDefault="006F5FD0" w:rsidP="00584BF4">
      <w:pPr>
        <w:ind w:left="709" w:hanging="349"/>
        <w:outlineLvl w:val="0"/>
        <w:rPr>
          <w:sz w:val="22"/>
          <w:szCs w:val="22"/>
        </w:rPr>
      </w:pPr>
      <w:r>
        <w:rPr>
          <w:rStyle w:val="lev"/>
          <w:sz w:val="22"/>
          <w:szCs w:val="22"/>
        </w:rPr>
        <w:lastRenderedPageBreak/>
        <w:t xml:space="preserve">13. </w:t>
      </w:r>
      <w:r>
        <w:rPr>
          <w:rStyle w:val="lev"/>
          <w:sz w:val="22"/>
          <w:szCs w:val="22"/>
        </w:rPr>
        <w:tab/>
        <w:t>Sous-traitance</w:t>
      </w:r>
    </w:p>
    <w:p w14:paraId="2C010702" w14:textId="2690E391" w:rsidR="00E9047D" w:rsidRDefault="006D6080" w:rsidP="00584BF4">
      <w:pPr>
        <w:ind w:left="709" w:hanging="349"/>
        <w:outlineLvl w:val="0"/>
        <w:rPr>
          <w:rStyle w:val="Accentuation"/>
          <w:i w:val="0"/>
          <w:sz w:val="22"/>
          <w:szCs w:val="22"/>
        </w:rPr>
      </w:pPr>
      <w:r>
        <w:rPr>
          <w:rStyle w:val="Accentuation"/>
          <w:i w:val="0"/>
          <w:sz w:val="22"/>
          <w:szCs w:val="22"/>
        </w:rPr>
        <w:t>Le recours à la sous-traitance est autorisé.</w:t>
      </w:r>
    </w:p>
    <w:p w14:paraId="3E76976B" w14:textId="77777777" w:rsidR="006F5FD0" w:rsidRPr="00B33EE6" w:rsidRDefault="00000000">
      <w:pPr>
        <w:keepNext/>
        <w:jc w:val="center"/>
        <w:rPr>
          <w:sz w:val="28"/>
          <w:szCs w:val="28"/>
        </w:rPr>
      </w:pPr>
      <w:r>
        <w:rPr>
          <w:snapToGrid/>
          <w:sz w:val="22"/>
          <w:szCs w:val="22"/>
        </w:rPr>
        <w:pict w14:anchorId="11F7E59B">
          <v:line id="_x0000_s2053" style="position:absolute;left:0;text-align:left;z-index:3" from="1.5pt,2.05pt" to="469.5pt,2.1pt" o:allowincell="f" strokecolor="#d4d4d4" strokeweight="1.75pt">
            <v:shadow on="t" origin=",32385f" offset="0,-1pt"/>
          </v:line>
        </w:pict>
      </w:r>
      <w:r w:rsidR="008660AD">
        <w:rPr>
          <w:rStyle w:val="lev"/>
          <w:sz w:val="28"/>
          <w:szCs w:val="28"/>
        </w:rPr>
        <w:t>CALENDRIER PRÉVISIONNEL</w:t>
      </w:r>
    </w:p>
    <w:p w14:paraId="669BA67B" w14:textId="77777777" w:rsidR="006F5FD0" w:rsidRPr="00B33EE6" w:rsidRDefault="006F5FD0" w:rsidP="00571687">
      <w:pPr>
        <w:ind w:left="709" w:hanging="349"/>
        <w:outlineLvl w:val="0"/>
        <w:rPr>
          <w:sz w:val="22"/>
          <w:szCs w:val="22"/>
        </w:rPr>
      </w:pPr>
      <w:r>
        <w:rPr>
          <w:rStyle w:val="lev"/>
          <w:sz w:val="22"/>
          <w:szCs w:val="22"/>
        </w:rPr>
        <w:t xml:space="preserve">14. </w:t>
      </w:r>
      <w:r>
        <w:rPr>
          <w:rStyle w:val="lev"/>
          <w:sz w:val="22"/>
          <w:szCs w:val="22"/>
        </w:rPr>
        <w:tab/>
        <w:t>Date prévue pour le commencement de l’exécution du marché</w:t>
      </w:r>
    </w:p>
    <w:p w14:paraId="7C4EA8E0" w14:textId="0811A5E4" w:rsidR="006F5FD0" w:rsidRPr="00B33EE6" w:rsidRDefault="00452F78" w:rsidP="00840DC2">
      <w:pPr>
        <w:pStyle w:val="Blockquote"/>
        <w:jc w:val="both"/>
        <w:rPr>
          <w:i/>
          <w:sz w:val="22"/>
          <w:szCs w:val="22"/>
        </w:rPr>
      </w:pPr>
      <w:r>
        <w:rPr>
          <w:rStyle w:val="Accentuation"/>
          <w:i w:val="0"/>
          <w:sz w:val="22"/>
          <w:szCs w:val="22"/>
        </w:rPr>
        <w:t>JAN</w:t>
      </w:r>
      <w:r w:rsidR="00E57DF7">
        <w:rPr>
          <w:rStyle w:val="Accentuation"/>
          <w:i w:val="0"/>
          <w:sz w:val="22"/>
          <w:szCs w:val="22"/>
        </w:rPr>
        <w:t xml:space="preserve"> 202</w:t>
      </w:r>
      <w:r>
        <w:rPr>
          <w:rStyle w:val="Accentuation"/>
          <w:i w:val="0"/>
          <w:sz w:val="22"/>
          <w:szCs w:val="22"/>
        </w:rPr>
        <w:t>3</w:t>
      </w:r>
    </w:p>
    <w:p w14:paraId="70B1A4AA" w14:textId="77777777" w:rsidR="006F5FD0" w:rsidRPr="00B33EE6" w:rsidRDefault="005639EC" w:rsidP="00571687">
      <w:pPr>
        <w:ind w:left="709" w:hanging="349"/>
        <w:outlineLvl w:val="0"/>
        <w:rPr>
          <w:sz w:val="22"/>
          <w:szCs w:val="22"/>
        </w:rPr>
      </w:pPr>
      <w:r>
        <w:rPr>
          <w:rStyle w:val="lev"/>
          <w:sz w:val="22"/>
          <w:szCs w:val="22"/>
        </w:rPr>
        <w:t xml:space="preserve">15. </w:t>
      </w:r>
      <w:r>
        <w:rPr>
          <w:rStyle w:val="lev"/>
          <w:sz w:val="22"/>
          <w:szCs w:val="22"/>
        </w:rPr>
        <w:tab/>
        <w:t xml:space="preserve">Période de mise en œuvre des tâches </w:t>
      </w:r>
    </w:p>
    <w:p w14:paraId="6A07015F" w14:textId="130ADDBF" w:rsidR="006F5FD0" w:rsidRPr="00B33EE6" w:rsidRDefault="00B9352A" w:rsidP="00571687">
      <w:pPr>
        <w:pStyle w:val="Blockquote"/>
        <w:jc w:val="both"/>
        <w:rPr>
          <w:i/>
          <w:sz w:val="22"/>
          <w:szCs w:val="22"/>
        </w:rPr>
      </w:pPr>
      <w:r>
        <w:rPr>
          <w:rStyle w:val="Accentuation"/>
          <w:i w:val="0"/>
          <w:sz w:val="22"/>
          <w:szCs w:val="22"/>
        </w:rPr>
        <w:t>JAN</w:t>
      </w:r>
      <w:r w:rsidR="000037D5" w:rsidRPr="00571695">
        <w:rPr>
          <w:rStyle w:val="Accentuation"/>
          <w:i w:val="0"/>
          <w:sz w:val="22"/>
          <w:szCs w:val="22"/>
        </w:rPr>
        <w:t xml:space="preserve"> </w:t>
      </w:r>
      <w:r w:rsidR="00CD6156" w:rsidRPr="00571695">
        <w:rPr>
          <w:rStyle w:val="Accentuation"/>
          <w:i w:val="0"/>
          <w:sz w:val="22"/>
          <w:szCs w:val="22"/>
        </w:rPr>
        <w:t>202</w:t>
      </w:r>
      <w:r>
        <w:rPr>
          <w:rStyle w:val="Accentuation"/>
          <w:i w:val="0"/>
          <w:sz w:val="22"/>
          <w:szCs w:val="22"/>
        </w:rPr>
        <w:t>3</w:t>
      </w:r>
      <w:r w:rsidR="001941DC">
        <w:rPr>
          <w:rStyle w:val="Accentuation"/>
          <w:i w:val="0"/>
          <w:sz w:val="22"/>
          <w:szCs w:val="22"/>
        </w:rPr>
        <w:t xml:space="preserve"> – </w:t>
      </w:r>
      <w:r w:rsidR="00452F78">
        <w:rPr>
          <w:rStyle w:val="Accentuation"/>
          <w:i w:val="0"/>
          <w:sz w:val="22"/>
          <w:szCs w:val="22"/>
        </w:rPr>
        <w:t xml:space="preserve">JUILLET </w:t>
      </w:r>
      <w:r w:rsidR="00134662" w:rsidRPr="00571695">
        <w:rPr>
          <w:rStyle w:val="Accentuation"/>
          <w:i w:val="0"/>
          <w:sz w:val="22"/>
          <w:szCs w:val="22"/>
        </w:rPr>
        <w:t>2023</w:t>
      </w:r>
    </w:p>
    <w:p w14:paraId="29CC7DD8" w14:textId="77777777" w:rsidR="006F5FD0" w:rsidRPr="00B33EE6" w:rsidRDefault="00000000">
      <w:pPr>
        <w:rPr>
          <w:sz w:val="22"/>
          <w:szCs w:val="22"/>
        </w:rPr>
      </w:pPr>
      <w:r>
        <w:rPr>
          <w:snapToGrid/>
          <w:sz w:val="22"/>
          <w:szCs w:val="22"/>
        </w:rPr>
        <w:pict w14:anchorId="6E3015B7">
          <v:line id="_x0000_s2054" style="position:absolute;z-index:4" from="0,12pt" to="468pt,12.05pt" o:allowincell="f" strokecolor="#d4d4d4" strokeweight="1.75pt">
            <v:shadow on="t" origin=",32385f" offset="0,-1pt"/>
          </v:line>
        </w:pict>
      </w:r>
    </w:p>
    <w:p w14:paraId="25048343" w14:textId="77777777" w:rsidR="006F5FD0" w:rsidRPr="00B33EE6" w:rsidRDefault="006F5FD0">
      <w:pPr>
        <w:jc w:val="center"/>
        <w:rPr>
          <w:sz w:val="28"/>
          <w:szCs w:val="28"/>
        </w:rPr>
      </w:pPr>
      <w:r>
        <w:rPr>
          <w:rStyle w:val="lev"/>
          <w:sz w:val="28"/>
          <w:szCs w:val="28"/>
        </w:rPr>
        <w:t>CRITÈRES DE SÉLECTION ET D’ATTRIBUTION</w:t>
      </w:r>
    </w:p>
    <w:p w14:paraId="392C793B" w14:textId="2D2CD701" w:rsidR="006F5FD0" w:rsidRDefault="005639EC" w:rsidP="00584BF4">
      <w:pPr>
        <w:ind w:left="709" w:hanging="349"/>
        <w:outlineLvl w:val="0"/>
        <w:rPr>
          <w:rStyle w:val="lev"/>
          <w:sz w:val="22"/>
          <w:szCs w:val="22"/>
        </w:rPr>
      </w:pPr>
      <w:r>
        <w:rPr>
          <w:rStyle w:val="lev"/>
          <w:sz w:val="22"/>
          <w:szCs w:val="22"/>
        </w:rPr>
        <w:t xml:space="preserve">16. </w:t>
      </w:r>
      <w:r>
        <w:rPr>
          <w:rStyle w:val="lev"/>
          <w:sz w:val="22"/>
          <w:szCs w:val="22"/>
        </w:rPr>
        <w:tab/>
        <w:t>Critères de sélection</w:t>
      </w:r>
    </w:p>
    <w:p w14:paraId="7CAD1126" w14:textId="77777777" w:rsidR="00831982" w:rsidRPr="00AE0634" w:rsidRDefault="00831982" w:rsidP="00831982">
      <w:pPr>
        <w:widowControl/>
        <w:spacing w:before="240" w:after="0"/>
        <w:ind w:left="426"/>
        <w:jc w:val="both"/>
        <w:rPr>
          <w:sz w:val="22"/>
          <w:szCs w:val="22"/>
        </w:rPr>
      </w:pPr>
      <w:r>
        <w:rPr>
          <w:sz w:val="22"/>
          <w:szCs w:val="22"/>
        </w:rPr>
        <w:t>Entités pourvoyeuses de capacités</w:t>
      </w:r>
    </w:p>
    <w:p w14:paraId="1677E155" w14:textId="31F9E081" w:rsidR="00831982" w:rsidRPr="00AE0634" w:rsidRDefault="00831982" w:rsidP="00831982">
      <w:pPr>
        <w:widowControl/>
        <w:spacing w:before="240" w:after="0"/>
        <w:ind w:left="426"/>
        <w:jc w:val="both"/>
        <w:rPr>
          <w:sz w:val="22"/>
          <w:szCs w:val="22"/>
        </w:rPr>
      </w:pPr>
      <w:r>
        <w:rPr>
          <w:sz w:val="22"/>
          <w:szCs w:val="22"/>
        </w:rPr>
        <w:t>Un opérateur économique (c’est-à-dire un candidat ou un soumissionnaire) peut, le cas échéant et pour un marché déterminé, avoir recours aux capacités d’autres entités, quelle que soit la nature juridique des liens qui l</w:t>
      </w:r>
      <w:r w:rsidR="00EF304E">
        <w:rPr>
          <w:sz w:val="22"/>
          <w:szCs w:val="22"/>
        </w:rPr>
        <w:t>’</w:t>
      </w:r>
      <w:r>
        <w:rPr>
          <w:sz w:val="22"/>
          <w:szCs w:val="22"/>
        </w:rPr>
        <w:t xml:space="preserve">unissent à ces entités. Si l’opérateur économique s’appuie sur d’autres entités, il doit alors prouver au pouvoir adjudicateur qu’il disposera des ressources nécessaires pour exécuter le marché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w:t>
      </w:r>
      <w:r>
        <w:rPr>
          <w:b/>
          <w:bCs/>
          <w:sz w:val="22"/>
          <w:szCs w:val="22"/>
        </w:rPr>
        <w:t>En outre, les informations relatives à ces entités tierces au regard des critères de sélection applicables devront figurer dans un document séparé</w:t>
      </w:r>
      <w:r>
        <w:rPr>
          <w:sz w:val="22"/>
          <w:szCs w:val="22"/>
        </w:rPr>
        <w:t>. La preuve de leur capacité devra également être fournie à la demande du pouvoir adjudicateur.</w:t>
      </w:r>
    </w:p>
    <w:p w14:paraId="100C3D8B" w14:textId="77777777" w:rsidR="00831982" w:rsidRPr="00AE0634" w:rsidRDefault="00831982" w:rsidP="00831982">
      <w:pPr>
        <w:widowControl/>
        <w:spacing w:before="240" w:after="0"/>
        <w:ind w:left="426"/>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40A1B1CC" w14:textId="77777777" w:rsidR="00831982" w:rsidRDefault="00831982" w:rsidP="00831982">
      <w:pPr>
        <w:widowControl/>
        <w:spacing w:before="240" w:after="0"/>
        <w:ind w:left="426"/>
        <w:jc w:val="both"/>
        <w:rPr>
          <w:sz w:val="22"/>
          <w:szCs w:val="22"/>
          <w:highlight w:val="yellow"/>
        </w:rPr>
      </w:pPr>
      <w:r>
        <w:rPr>
          <w:sz w:val="22"/>
          <w:szCs w:val="22"/>
        </w:rPr>
        <w:t>En ce qui concerne les critères économiques et financiers, les entités aux capacités desquelles l’opérateur économique a recours deviennent conjointement et solidairement responsables de l’exécution du marché.</w:t>
      </w:r>
    </w:p>
    <w:p w14:paraId="2C410C11" w14:textId="77777777" w:rsidR="00831982" w:rsidRPr="00EF304E" w:rsidRDefault="00831982" w:rsidP="00584BF4">
      <w:pPr>
        <w:ind w:left="709" w:hanging="349"/>
        <w:outlineLvl w:val="0"/>
        <w:rPr>
          <w:sz w:val="22"/>
          <w:szCs w:val="22"/>
          <w:lang w:val="fr-BE"/>
        </w:rPr>
      </w:pPr>
    </w:p>
    <w:p w14:paraId="0D716E4E" w14:textId="09857B85" w:rsidR="006F5FD0" w:rsidRPr="00B33EE6" w:rsidRDefault="006F5FD0">
      <w:pPr>
        <w:pStyle w:val="Blockquote"/>
        <w:jc w:val="both"/>
        <w:rPr>
          <w:sz w:val="22"/>
          <w:szCs w:val="22"/>
        </w:rPr>
      </w:pPr>
      <w:r>
        <w:rPr>
          <w:sz w:val="22"/>
          <w:szCs w:val="22"/>
        </w:rPr>
        <w:t>Les critères de sélection suivants seront appliqués aux soumissionnaires. Si une offre est soumise par un consortium, ces critères de sélection s’appliqueront au consortium dans son ensemble, sauf disposition contraire. Les critères de sélection ne s’appliqueront pas aux personnes physiques et aux sociétés unipersonnelles lorsqu’elles participent en tant que sous-traitants.</w:t>
      </w:r>
    </w:p>
    <w:p w14:paraId="6DA0B8A9" w14:textId="77777777" w:rsidR="00615E53" w:rsidRDefault="00615E53" w:rsidP="00615E53">
      <w:pPr>
        <w:pStyle w:val="Blockquote"/>
        <w:numPr>
          <w:ilvl w:val="0"/>
          <w:numId w:val="45"/>
        </w:numPr>
        <w:ind w:right="357"/>
        <w:jc w:val="both"/>
        <w:rPr>
          <w:sz w:val="22"/>
          <w:szCs w:val="22"/>
        </w:rPr>
      </w:pPr>
      <w:r>
        <w:rPr>
          <w:b/>
          <w:bCs/>
          <w:sz w:val="22"/>
          <w:szCs w:val="22"/>
          <w:u w:val="single"/>
        </w:rPr>
        <w:t>Capacité économique et financière du soumissionnaire</w:t>
      </w:r>
      <w:r>
        <w:rPr>
          <w:sz w:val="22"/>
          <w:szCs w:val="22"/>
        </w:rPr>
        <w:t xml:space="preserve"> (évaluée sur la base des données fournies au point 3 du bordereau de soumission). Si le soumissionnaire est un organisme </w:t>
      </w:r>
      <w:r>
        <w:rPr>
          <w:sz w:val="22"/>
          <w:szCs w:val="22"/>
        </w:rPr>
        <w:lastRenderedPageBreak/>
        <w:t>public, des informations équivalentes doivent être fournies. La période de référence qui sera prise en compte correspond aux trois derniers exercices financiers clos.</w:t>
      </w:r>
    </w:p>
    <w:p w14:paraId="49D92C1F" w14:textId="24A7B513" w:rsidR="00615E53" w:rsidRPr="00B5350C" w:rsidRDefault="00615E53" w:rsidP="00615E53">
      <w:pPr>
        <w:pStyle w:val="Blockquote"/>
        <w:ind w:left="357" w:right="357"/>
        <w:jc w:val="both"/>
        <w:rPr>
          <w:sz w:val="22"/>
          <w:szCs w:val="22"/>
        </w:rPr>
      </w:pPr>
      <w:r w:rsidRPr="00B5350C">
        <w:rPr>
          <w:sz w:val="22"/>
          <w:szCs w:val="22"/>
        </w:rPr>
        <w:t>Les critères de sélection pour chaque soumissionnaire sont les suivant</w:t>
      </w:r>
    </w:p>
    <w:p w14:paraId="49BBBF5D" w14:textId="77777777" w:rsidR="00F605E0" w:rsidRPr="00B5350C" w:rsidRDefault="00F605E0" w:rsidP="00F605E0">
      <w:pPr>
        <w:pStyle w:val="Blockquote"/>
        <w:numPr>
          <w:ilvl w:val="0"/>
          <w:numId w:val="36"/>
        </w:numPr>
        <w:tabs>
          <w:tab w:val="clear" w:pos="360"/>
          <w:tab w:val="num" w:pos="720"/>
        </w:tabs>
        <w:ind w:left="720"/>
        <w:jc w:val="both"/>
        <w:rPr>
          <w:b/>
          <w:sz w:val="22"/>
          <w:szCs w:val="22"/>
        </w:rPr>
      </w:pPr>
      <w:proofErr w:type="gramStart"/>
      <w:r w:rsidRPr="00B5350C">
        <w:rPr>
          <w:sz w:val="22"/>
          <w:szCs w:val="22"/>
        </w:rPr>
        <w:t>le</w:t>
      </w:r>
      <w:proofErr w:type="gramEnd"/>
      <w:r w:rsidRPr="00B5350C">
        <w:rPr>
          <w:sz w:val="22"/>
          <w:szCs w:val="22"/>
        </w:rPr>
        <w:t xml:space="preserve"> chiffre d’affaires annuel moyen du soumissionnaire doit être supérieur au budget annualisé maximal alloué au marché</w:t>
      </w:r>
    </w:p>
    <w:p w14:paraId="0038A2CB" w14:textId="77777777" w:rsidR="00615E53" w:rsidRPr="00B33EE6" w:rsidRDefault="00615E53" w:rsidP="00615E53">
      <w:pPr>
        <w:pStyle w:val="Blockquote"/>
        <w:ind w:left="641" w:right="357" w:hanging="284"/>
        <w:jc w:val="both"/>
        <w:rPr>
          <w:sz w:val="22"/>
          <w:szCs w:val="22"/>
        </w:rPr>
      </w:pPr>
      <w:r>
        <w:rPr>
          <w:b/>
          <w:sz w:val="22"/>
          <w:szCs w:val="22"/>
          <w:u w:val="single"/>
        </w:rPr>
        <w:t>2)</w:t>
      </w:r>
      <w:r>
        <w:rPr>
          <w:sz w:val="22"/>
          <w:szCs w:val="22"/>
          <w:u w:val="single"/>
        </w:rPr>
        <w:tab/>
      </w:r>
      <w:r>
        <w:rPr>
          <w:b/>
          <w:bCs/>
          <w:sz w:val="22"/>
          <w:szCs w:val="22"/>
          <w:u w:val="single"/>
        </w:rPr>
        <w:t>Capacité professionnelle du soumissionnaire</w:t>
      </w:r>
      <w:r>
        <w:rPr>
          <w:sz w:val="22"/>
          <w:szCs w:val="22"/>
        </w:rPr>
        <w:t xml:space="preserve"> (évaluée sur la base des données fournies au point 4 du bordereau de soumission).</w:t>
      </w:r>
    </w:p>
    <w:p w14:paraId="17C9F999" w14:textId="77777777" w:rsidR="00615E53" w:rsidRPr="00B33EE6" w:rsidRDefault="00615E53" w:rsidP="00615E53">
      <w:pPr>
        <w:pStyle w:val="Blockquote"/>
        <w:ind w:right="357" w:hanging="3"/>
        <w:jc w:val="both"/>
        <w:rPr>
          <w:sz w:val="22"/>
          <w:szCs w:val="22"/>
        </w:rPr>
      </w:pPr>
      <w:r>
        <w:rPr>
          <w:sz w:val="22"/>
          <w:szCs w:val="22"/>
        </w:rPr>
        <w:t>La période de référence qui sera prise en considération correspond aux trois derniers exercices précédant la date limite de soumission.</w:t>
      </w:r>
    </w:p>
    <w:p w14:paraId="3A7930BC" w14:textId="58147AB0" w:rsidR="00615E53" w:rsidRPr="00B5350C" w:rsidRDefault="00615E53" w:rsidP="00615E53">
      <w:pPr>
        <w:pStyle w:val="Blockquote"/>
        <w:numPr>
          <w:ilvl w:val="0"/>
          <w:numId w:val="34"/>
        </w:numPr>
        <w:tabs>
          <w:tab w:val="clear" w:pos="360"/>
          <w:tab w:val="num" w:pos="720"/>
        </w:tabs>
        <w:ind w:left="720"/>
        <w:jc w:val="both"/>
        <w:rPr>
          <w:sz w:val="22"/>
          <w:szCs w:val="22"/>
        </w:rPr>
      </w:pPr>
      <w:proofErr w:type="gramStart"/>
      <w:r w:rsidRPr="00B5350C">
        <w:rPr>
          <w:sz w:val="22"/>
          <w:szCs w:val="22"/>
        </w:rPr>
        <w:t>le</w:t>
      </w:r>
      <w:proofErr w:type="gramEnd"/>
      <w:r w:rsidRPr="00B5350C">
        <w:rPr>
          <w:sz w:val="22"/>
          <w:szCs w:val="22"/>
        </w:rPr>
        <w:t xml:space="preserve"> candidat/soumissionnaire est titulaire d’un certificat d’aptitude professionnelle correspondant aux besoins du présent marché </w:t>
      </w:r>
      <w:r w:rsidR="00452F78">
        <w:rPr>
          <w:sz w:val="22"/>
          <w:szCs w:val="22"/>
        </w:rPr>
        <w:t>(VOIR TERMES DE REFERENCE</w:t>
      </w:r>
      <w:r w:rsidR="00B9352A">
        <w:rPr>
          <w:sz w:val="22"/>
          <w:szCs w:val="22"/>
        </w:rPr>
        <w:t>)</w:t>
      </w:r>
      <w:r w:rsidRPr="00B5350C">
        <w:rPr>
          <w:sz w:val="22"/>
          <w:szCs w:val="22"/>
        </w:rPr>
        <w:t>;</w:t>
      </w:r>
    </w:p>
    <w:p w14:paraId="564F6F73" w14:textId="77777777" w:rsidR="00615E53" w:rsidRPr="00B33EE6" w:rsidRDefault="00615E53" w:rsidP="00615E53">
      <w:pPr>
        <w:pStyle w:val="Blockquote"/>
        <w:ind w:left="720" w:right="357" w:hanging="360"/>
        <w:jc w:val="both"/>
        <w:rPr>
          <w:sz w:val="22"/>
          <w:szCs w:val="22"/>
        </w:rPr>
      </w:pPr>
      <w:r>
        <w:rPr>
          <w:b/>
          <w:sz w:val="22"/>
          <w:szCs w:val="22"/>
          <w:u w:val="single"/>
        </w:rPr>
        <w:t>3)</w:t>
      </w:r>
      <w:r>
        <w:rPr>
          <w:b/>
          <w:sz w:val="22"/>
          <w:szCs w:val="22"/>
          <w:u w:val="single"/>
        </w:rPr>
        <w:tab/>
        <w:t>Capacité technique du soumissionnaire</w:t>
      </w:r>
      <w:r>
        <w:rPr>
          <w:sz w:val="22"/>
          <w:szCs w:val="22"/>
        </w:rPr>
        <w:t xml:space="preserve"> (sur la base des données fournies aux points 5 et 6 du bordereau de soumission). La période de référence qui sera prise en compte correspond </w:t>
      </w:r>
      <w:r w:rsidRPr="00B5350C">
        <w:rPr>
          <w:sz w:val="22"/>
          <w:szCs w:val="22"/>
        </w:rPr>
        <w:t>aux [trois derniers exercices] précédant la date limite de soumission.</w:t>
      </w:r>
    </w:p>
    <w:p w14:paraId="407361F3" w14:textId="3DD2ED53" w:rsidR="00615E53" w:rsidRPr="002B522B" w:rsidRDefault="00615E53" w:rsidP="002B522B">
      <w:pPr>
        <w:pStyle w:val="Default"/>
        <w:jc w:val="both"/>
        <w:rPr>
          <w:sz w:val="23"/>
          <w:szCs w:val="23"/>
          <w:u w:val="single"/>
        </w:rPr>
      </w:pPr>
      <w:proofErr w:type="gramStart"/>
      <w:r w:rsidRPr="00B5350C">
        <w:rPr>
          <w:sz w:val="22"/>
          <w:szCs w:val="22"/>
        </w:rPr>
        <w:t>le</w:t>
      </w:r>
      <w:proofErr w:type="gramEnd"/>
      <w:r w:rsidRPr="00B5350C">
        <w:rPr>
          <w:sz w:val="22"/>
          <w:szCs w:val="22"/>
        </w:rPr>
        <w:t xml:space="preserve"> soumissionnaire a livré des </w:t>
      </w:r>
      <w:r w:rsidR="00F70686">
        <w:rPr>
          <w:sz w:val="22"/>
          <w:szCs w:val="22"/>
        </w:rPr>
        <w:t>service</w:t>
      </w:r>
      <w:r w:rsidRPr="00B5350C">
        <w:rPr>
          <w:sz w:val="22"/>
          <w:szCs w:val="22"/>
        </w:rPr>
        <w:t xml:space="preserve"> dans le cadre d’au moins &lt;</w:t>
      </w:r>
      <w:r w:rsidR="00452F78">
        <w:rPr>
          <w:sz w:val="22"/>
          <w:szCs w:val="22"/>
        </w:rPr>
        <w:t>1</w:t>
      </w:r>
      <w:r w:rsidRPr="00B5350C">
        <w:rPr>
          <w:sz w:val="22"/>
          <w:szCs w:val="22"/>
        </w:rPr>
        <w:t>&gt; marché[s] dont le budget était au moins équivalent à celui du présent marché dans &lt;</w:t>
      </w:r>
      <w:bookmarkStart w:id="15" w:name="_Hlk117513293"/>
      <w:r w:rsidR="00452F78" w:rsidRPr="00452F78">
        <w:rPr>
          <w:b/>
          <w:bCs/>
          <w:sz w:val="23"/>
          <w:szCs w:val="23"/>
        </w:rPr>
        <w:t xml:space="preserve"> </w:t>
      </w:r>
      <w:r w:rsidR="00452F78">
        <w:rPr>
          <w:b/>
          <w:bCs/>
          <w:sz w:val="23"/>
          <w:szCs w:val="23"/>
        </w:rPr>
        <w:t xml:space="preserve">Etude </w:t>
      </w:r>
      <w:r w:rsidR="00452F78" w:rsidRPr="00452F78">
        <w:rPr>
          <w:b/>
          <w:bCs/>
          <w:sz w:val="23"/>
          <w:szCs w:val="23"/>
        </w:rPr>
        <w:t>dessalement</w:t>
      </w:r>
      <w:r w:rsidR="00452F78" w:rsidRPr="00B5350C">
        <w:rPr>
          <w:sz w:val="22"/>
          <w:szCs w:val="22"/>
        </w:rPr>
        <w:t xml:space="preserve"> </w:t>
      </w:r>
      <w:r w:rsidR="00C87EF5" w:rsidRPr="00B5350C">
        <w:rPr>
          <w:sz w:val="22"/>
          <w:szCs w:val="22"/>
        </w:rPr>
        <w:t>&gt;</w:t>
      </w:r>
      <w:r w:rsidR="002B522B">
        <w:rPr>
          <w:b/>
          <w:bCs/>
          <w:sz w:val="23"/>
          <w:szCs w:val="23"/>
          <w:u w:val="single"/>
        </w:rPr>
        <w:t xml:space="preserve"> </w:t>
      </w:r>
      <w:bookmarkEnd w:id="15"/>
      <w:r w:rsidRPr="00B5350C">
        <w:rPr>
          <w:sz w:val="22"/>
          <w:szCs w:val="22"/>
        </w:rPr>
        <w:t xml:space="preserve"> qui [a] [ont] été exécuté(s) à n’importe quel moment au cours de la période suivante: &lt;derniers </w:t>
      </w:r>
      <w:r w:rsidR="00452F78">
        <w:rPr>
          <w:sz w:val="22"/>
          <w:szCs w:val="22"/>
        </w:rPr>
        <w:t>3</w:t>
      </w:r>
      <w:r w:rsidRPr="00B5350C">
        <w:rPr>
          <w:sz w:val="22"/>
          <w:szCs w:val="22"/>
        </w:rPr>
        <w:t xml:space="preserve"> ans&gt;.</w:t>
      </w:r>
    </w:p>
    <w:p w14:paraId="67053663" w14:textId="77777777" w:rsidR="00CB2A5B" w:rsidRDefault="00CB2A5B" w:rsidP="008660AD">
      <w:pPr>
        <w:pStyle w:val="Blockquote"/>
        <w:tabs>
          <w:tab w:val="left" w:pos="284"/>
        </w:tabs>
        <w:jc w:val="both"/>
        <w:rPr>
          <w:sz w:val="22"/>
          <w:szCs w:val="22"/>
        </w:rPr>
      </w:pPr>
      <w:r>
        <w:rPr>
          <w:sz w:val="22"/>
          <w:szCs w:val="22"/>
        </w:rPr>
        <w:t>Cela signifie que le marché auquel le soumissionnaire se réfère peut avoir commencé à tout moment au cours de la période indiquée, mais ne doit pas nécessairement avoir été mené à son terme durant cette période, ni avoir été exécuté pendant toute la période concernée. Les soumissionnaires peuvent se référer soit à des marchés de fournitures menés à leur terme pendant la période de référence (bien qu’entamés avant cette période) soit à des marchés de fournitures non encore menés à leur terme. Seule la partie qui a été menée à bien pendant la période de référence sera prise en considération. La bonne réalisation de cette partie devra être étayée par des pièces justificatives (déclaration ou attestation émanant de l’entité qui a attribué le marché, preuve de paiement), avec indication du montant correspondant. Si le marché de fournitures a été mis en œuvre par le soumissionnaire dans le cadre d’un consortium, les pièces justificatives devront faire clairement état de la part (en pourcentage) que le soumissionnaire a menée à bien. Si des critères de sélection relatifs à la pertinence de l’expérience sont appliqués, les pièces justificatives devront également contenir une description de la nature des fournitures livrées.</w:t>
      </w:r>
    </w:p>
    <w:p w14:paraId="15683C0B" w14:textId="77777777" w:rsidR="00781603" w:rsidRPr="008660AD" w:rsidRDefault="00781603" w:rsidP="008660AD">
      <w:pPr>
        <w:pStyle w:val="Blockquote"/>
        <w:spacing w:before="0"/>
        <w:ind w:right="357"/>
        <w:jc w:val="both"/>
        <w:rPr>
          <w:sz w:val="22"/>
          <w:szCs w:val="22"/>
        </w:rPr>
      </w:pPr>
    </w:p>
    <w:p w14:paraId="51B1F72F" w14:textId="77777777" w:rsidR="004F00C7" w:rsidRPr="00B33EE6" w:rsidRDefault="004F00C7" w:rsidP="008660AD">
      <w:pPr>
        <w:pStyle w:val="Blockquote"/>
        <w:ind w:left="0"/>
        <w:jc w:val="both"/>
        <w:rPr>
          <w:sz w:val="22"/>
          <w:szCs w:val="22"/>
        </w:rPr>
      </w:pPr>
      <w:r>
        <w:rPr>
          <w:sz w:val="22"/>
          <w:szCs w:val="22"/>
        </w:rPr>
        <w:t>Une expérience antérieure qui se serait soldée par une rupture du contrat et une résiliation par le pouvoir adjudicateur ne peut pas être utilisée comme référence. Cela vaut également pour l’expérience antérieure des experts requis dans le cadre d’un marché de services à prix unitaires.</w:t>
      </w:r>
    </w:p>
    <w:p w14:paraId="36FE5E2E" w14:textId="77777777" w:rsidR="006F5FD0" w:rsidRPr="00B33EE6" w:rsidRDefault="00994EA3" w:rsidP="00584BF4">
      <w:pPr>
        <w:ind w:left="709" w:hanging="349"/>
        <w:outlineLvl w:val="0"/>
        <w:rPr>
          <w:sz w:val="22"/>
          <w:szCs w:val="22"/>
        </w:rPr>
      </w:pPr>
      <w:r>
        <w:rPr>
          <w:rStyle w:val="lev"/>
          <w:sz w:val="22"/>
          <w:szCs w:val="22"/>
        </w:rPr>
        <w:t xml:space="preserve">17. </w:t>
      </w:r>
      <w:r>
        <w:rPr>
          <w:rStyle w:val="lev"/>
          <w:sz w:val="22"/>
          <w:szCs w:val="22"/>
        </w:rPr>
        <w:tab/>
        <w:t>Critère d’attribution</w:t>
      </w:r>
    </w:p>
    <w:p w14:paraId="1F8A27B2" w14:textId="77777777" w:rsidR="00F70686" w:rsidRPr="00F70686" w:rsidRDefault="00F70686" w:rsidP="00F70686">
      <w:pPr>
        <w:ind w:left="709" w:hanging="349"/>
        <w:outlineLvl w:val="0"/>
        <w:rPr>
          <w:sz w:val="22"/>
          <w:szCs w:val="22"/>
        </w:rPr>
      </w:pPr>
      <w:r w:rsidRPr="00F70686">
        <w:rPr>
          <w:sz w:val="22"/>
          <w:szCs w:val="22"/>
        </w:rPr>
        <w:t>Meilleur rapport qualité-prix.</w:t>
      </w:r>
    </w:p>
    <w:p w14:paraId="793B56EE" w14:textId="77777777" w:rsidR="006F5FD0" w:rsidRPr="00B33EE6" w:rsidRDefault="00000000">
      <w:pPr>
        <w:rPr>
          <w:sz w:val="22"/>
          <w:szCs w:val="22"/>
        </w:rPr>
      </w:pPr>
      <w:r>
        <w:rPr>
          <w:snapToGrid/>
          <w:sz w:val="22"/>
          <w:szCs w:val="22"/>
        </w:rPr>
        <w:pict w14:anchorId="45BE0657">
          <v:line id="_x0000_s2055" style="position:absolute;z-index:5" from="0,12pt" to="468pt,12.05pt" o:allowincell="f" strokecolor="#d4d4d4" strokeweight="1.75pt">
            <v:shadow on="t" origin=",32385f" offset="0,-1pt"/>
          </v:line>
        </w:pict>
      </w:r>
    </w:p>
    <w:p w14:paraId="7482CE23" w14:textId="77777777" w:rsidR="006F5FD0" w:rsidRPr="00B33EE6" w:rsidRDefault="00994EA3">
      <w:pPr>
        <w:keepNext/>
        <w:jc w:val="center"/>
        <w:rPr>
          <w:sz w:val="28"/>
          <w:szCs w:val="28"/>
        </w:rPr>
      </w:pPr>
      <w:r>
        <w:rPr>
          <w:rStyle w:val="lev"/>
          <w:sz w:val="28"/>
          <w:szCs w:val="28"/>
        </w:rPr>
        <w:lastRenderedPageBreak/>
        <w:t>SOUMISSION À APPEL D’OFFRES</w:t>
      </w:r>
    </w:p>
    <w:p w14:paraId="592B0149" w14:textId="613ABA0E" w:rsidR="006F5FD0" w:rsidRDefault="00994EA3" w:rsidP="00584BF4">
      <w:pPr>
        <w:keepNext/>
        <w:ind w:left="709" w:hanging="352"/>
        <w:outlineLvl w:val="0"/>
        <w:rPr>
          <w:rStyle w:val="lev"/>
          <w:sz w:val="22"/>
          <w:szCs w:val="22"/>
        </w:rPr>
      </w:pPr>
      <w:r>
        <w:rPr>
          <w:rStyle w:val="lev"/>
          <w:sz w:val="22"/>
          <w:szCs w:val="22"/>
        </w:rPr>
        <w:t xml:space="preserve">18. </w:t>
      </w:r>
      <w:r>
        <w:rPr>
          <w:rStyle w:val="lev"/>
          <w:sz w:val="22"/>
          <w:szCs w:val="22"/>
        </w:rPr>
        <w:tab/>
        <w:t>Date limite pour la soumission des offres</w:t>
      </w:r>
    </w:p>
    <w:p w14:paraId="1CAFDAB6" w14:textId="77777777" w:rsidR="00984367" w:rsidRPr="00984367" w:rsidRDefault="00984367" w:rsidP="00984367">
      <w:pPr>
        <w:keepNext/>
        <w:ind w:left="709" w:hanging="352"/>
        <w:outlineLvl w:val="0"/>
        <w:rPr>
          <w:sz w:val="22"/>
          <w:szCs w:val="22"/>
        </w:rPr>
      </w:pPr>
      <w:r w:rsidRPr="00984367">
        <w:rPr>
          <w:sz w:val="22"/>
          <w:szCs w:val="22"/>
        </w:rPr>
        <w:t xml:space="preserve">Le dossier d’appel d’offres peut être obtenu en envoyant un mail à l’adresse </w:t>
      </w:r>
      <w:proofErr w:type="gramStart"/>
      <w:r w:rsidRPr="00984367">
        <w:rPr>
          <w:sz w:val="22"/>
          <w:szCs w:val="22"/>
        </w:rPr>
        <w:t>suivante:</w:t>
      </w:r>
      <w:proofErr w:type="gramEnd"/>
      <w:r w:rsidRPr="00984367">
        <w:rPr>
          <w:sz w:val="22"/>
          <w:szCs w:val="22"/>
        </w:rPr>
        <w:t xml:space="preserve"> </w:t>
      </w:r>
    </w:p>
    <w:p w14:paraId="25008D52" w14:textId="54AC45F3" w:rsidR="00984367" w:rsidRPr="00B33EE6" w:rsidRDefault="00984367" w:rsidP="00984367">
      <w:pPr>
        <w:keepNext/>
        <w:ind w:left="709" w:hanging="352"/>
        <w:outlineLvl w:val="0"/>
        <w:rPr>
          <w:sz w:val="22"/>
          <w:szCs w:val="22"/>
        </w:rPr>
      </w:pPr>
      <w:hyperlink r:id="rId11" w:history="1">
        <w:r w:rsidRPr="00AB3506">
          <w:rPr>
            <w:rStyle w:val="Lienhypertexte"/>
            <w:sz w:val="22"/>
            <w:szCs w:val="22"/>
          </w:rPr>
          <w:t>paolo.prina@icu.it</w:t>
        </w:r>
      </w:hyperlink>
      <w:r>
        <w:rPr>
          <w:sz w:val="22"/>
          <w:szCs w:val="22"/>
        </w:rPr>
        <w:t xml:space="preserve"> </w:t>
      </w:r>
    </w:p>
    <w:p w14:paraId="61DD2F00" w14:textId="2B57341F" w:rsidR="006F5FD0" w:rsidRPr="00B33EE6" w:rsidRDefault="00994EA3" w:rsidP="00840DC2">
      <w:pPr>
        <w:pStyle w:val="Blockquote"/>
        <w:jc w:val="both"/>
        <w:rPr>
          <w:i/>
          <w:sz w:val="22"/>
          <w:szCs w:val="22"/>
        </w:rPr>
      </w:pPr>
      <w:r>
        <w:rPr>
          <w:rStyle w:val="Accentuation"/>
          <w:i w:val="0"/>
          <w:sz w:val="22"/>
          <w:szCs w:val="22"/>
        </w:rPr>
        <w:t xml:space="preserve">La date limite pour la soumission des offres est </w:t>
      </w:r>
      <w:r w:rsidR="00E57DF7">
        <w:rPr>
          <w:rStyle w:val="Accentuation"/>
          <w:i w:val="0"/>
          <w:sz w:val="22"/>
          <w:szCs w:val="22"/>
        </w:rPr>
        <w:t xml:space="preserve">le </w:t>
      </w:r>
      <w:r w:rsidR="00B9352A">
        <w:rPr>
          <w:rStyle w:val="Accentuation"/>
          <w:i w:val="0"/>
          <w:sz w:val="22"/>
          <w:szCs w:val="22"/>
        </w:rPr>
        <w:t>3</w:t>
      </w:r>
      <w:r w:rsidR="00452F78">
        <w:rPr>
          <w:rStyle w:val="Accentuation"/>
          <w:i w:val="0"/>
          <w:sz w:val="22"/>
          <w:szCs w:val="22"/>
        </w:rPr>
        <w:t>0</w:t>
      </w:r>
      <w:r w:rsidR="001941DC">
        <w:rPr>
          <w:rStyle w:val="Accentuation"/>
          <w:i w:val="0"/>
          <w:sz w:val="22"/>
          <w:szCs w:val="22"/>
        </w:rPr>
        <w:t xml:space="preserve"> </w:t>
      </w:r>
      <w:r w:rsidR="00452F78">
        <w:rPr>
          <w:rStyle w:val="Accentuation"/>
          <w:i w:val="0"/>
          <w:sz w:val="22"/>
          <w:szCs w:val="22"/>
        </w:rPr>
        <w:t>DECEMBRE</w:t>
      </w:r>
      <w:r w:rsidR="001941DC">
        <w:rPr>
          <w:rStyle w:val="Accentuation"/>
          <w:i w:val="0"/>
          <w:sz w:val="22"/>
          <w:szCs w:val="22"/>
        </w:rPr>
        <w:t xml:space="preserve"> </w:t>
      </w:r>
      <w:r w:rsidR="00E57DF7" w:rsidRPr="00571695">
        <w:rPr>
          <w:rStyle w:val="Accentuation"/>
          <w:i w:val="0"/>
          <w:sz w:val="22"/>
          <w:szCs w:val="22"/>
        </w:rPr>
        <w:t>2022 à 16h00</w:t>
      </w:r>
    </w:p>
    <w:p w14:paraId="7D60F8E6" w14:textId="77777777" w:rsidR="006F5FD0" w:rsidRPr="00B33EE6" w:rsidRDefault="00994EA3" w:rsidP="00584BF4">
      <w:pPr>
        <w:ind w:left="709" w:hanging="349"/>
        <w:outlineLvl w:val="0"/>
        <w:rPr>
          <w:sz w:val="22"/>
          <w:szCs w:val="22"/>
        </w:rPr>
      </w:pPr>
      <w:r>
        <w:rPr>
          <w:rStyle w:val="lev"/>
          <w:sz w:val="22"/>
          <w:szCs w:val="22"/>
        </w:rPr>
        <w:t xml:space="preserve">19. </w:t>
      </w:r>
      <w:r>
        <w:rPr>
          <w:rStyle w:val="lev"/>
          <w:sz w:val="22"/>
          <w:szCs w:val="22"/>
        </w:rPr>
        <w:tab/>
        <w:t>Présentation des offres et renseignements à fournir</w:t>
      </w:r>
    </w:p>
    <w:p w14:paraId="0C3990F6" w14:textId="7F402B76" w:rsidR="006F5FD0" w:rsidRPr="00B33EE6" w:rsidRDefault="00994EA3" w:rsidP="00235A71">
      <w:pPr>
        <w:pStyle w:val="Blockquote"/>
        <w:jc w:val="both"/>
        <w:rPr>
          <w:sz w:val="22"/>
          <w:szCs w:val="22"/>
        </w:rPr>
      </w:pPr>
      <w:r>
        <w:rPr>
          <w:rStyle w:val="lev"/>
          <w:b w:val="0"/>
          <w:sz w:val="22"/>
          <w:szCs w:val="22"/>
        </w:rPr>
        <w:t>Les offres doivent être soumises à l’aide du bordereau type de soumission.</w:t>
      </w:r>
      <w:r>
        <w:rPr>
          <w:sz w:val="22"/>
          <w:szCs w:val="22"/>
        </w:rPr>
        <w:t xml:space="preserve"> </w:t>
      </w:r>
    </w:p>
    <w:p w14:paraId="177AD528" w14:textId="180C67E2" w:rsidR="004D5EDB" w:rsidRPr="00B33EE6" w:rsidRDefault="004D5EDB" w:rsidP="00B33EE6">
      <w:pPr>
        <w:pStyle w:val="Blockquote"/>
        <w:jc w:val="both"/>
        <w:rPr>
          <w:sz w:val="22"/>
          <w:szCs w:val="22"/>
        </w:rPr>
      </w:pPr>
      <w:r>
        <w:rPr>
          <w:sz w:val="22"/>
          <w:szCs w:val="22"/>
        </w:rPr>
        <w:t>L’offre doit être accompagnée d’une déclaration sur l’honneur relative aux critères d’exclusion et de sélection établie au moyen du modèle disponible sur l</w:t>
      </w:r>
      <w:r w:rsidR="00EF304E">
        <w:rPr>
          <w:sz w:val="22"/>
          <w:szCs w:val="22"/>
        </w:rPr>
        <w:t>’</w:t>
      </w:r>
      <w:r>
        <w:rPr>
          <w:sz w:val="22"/>
          <w:szCs w:val="22"/>
        </w:rPr>
        <w:t xml:space="preserve">internet à l’adresse </w:t>
      </w:r>
      <w:proofErr w:type="gramStart"/>
      <w:r>
        <w:rPr>
          <w:sz w:val="22"/>
          <w:szCs w:val="22"/>
        </w:rPr>
        <w:t>suivante:</w:t>
      </w:r>
      <w:proofErr w:type="gramEnd"/>
    </w:p>
    <w:p w14:paraId="5E502450" w14:textId="77777777" w:rsidR="004D5EDB" w:rsidRPr="00B33EE6" w:rsidRDefault="00000000" w:rsidP="004D5EDB">
      <w:pPr>
        <w:pStyle w:val="Blockquote"/>
        <w:jc w:val="both"/>
        <w:rPr>
          <w:sz w:val="22"/>
          <w:szCs w:val="22"/>
        </w:rPr>
      </w:pPr>
      <w:hyperlink r:id="rId12" w:history="1">
        <w:r w:rsidR="008660AD">
          <w:rPr>
            <w:rStyle w:val="Lienhypertexte"/>
            <w:sz w:val="22"/>
            <w:szCs w:val="22"/>
          </w:rPr>
          <w:t>http://ec.europa.eu/europeaid/prag/annexes.do?chapterTitleCode=A</w:t>
        </w:r>
      </w:hyperlink>
      <w:r w:rsidR="008660AD">
        <w:rPr>
          <w:sz w:val="22"/>
          <w:szCs w:val="22"/>
        </w:rPr>
        <w:t xml:space="preserve"> </w:t>
      </w:r>
    </w:p>
    <w:p w14:paraId="438E0786" w14:textId="48C89B03" w:rsidR="006F5FD0" w:rsidRPr="00B33EE6" w:rsidRDefault="006F5FD0">
      <w:pPr>
        <w:pStyle w:val="Blockquote"/>
        <w:jc w:val="both"/>
        <w:rPr>
          <w:sz w:val="22"/>
          <w:szCs w:val="22"/>
        </w:rPr>
      </w:pPr>
      <w:r>
        <w:rPr>
          <w:sz w:val="22"/>
          <w:szCs w:val="22"/>
        </w:rPr>
        <w:t>Aucun autre document (brochure, lettre,</w:t>
      </w:r>
      <w:r w:rsidR="00EF304E">
        <w:rPr>
          <w:sz w:val="22"/>
          <w:szCs w:val="22"/>
        </w:rPr>
        <w:t> </w:t>
      </w:r>
      <w:r>
        <w:rPr>
          <w:sz w:val="22"/>
          <w:szCs w:val="22"/>
        </w:rPr>
        <w:t>etc.) joint à l’offre ne sera pris en considération.</w:t>
      </w:r>
    </w:p>
    <w:p w14:paraId="3AC38030" w14:textId="77777777" w:rsidR="006F5FD0" w:rsidRPr="00B33EE6" w:rsidRDefault="006F5FD0" w:rsidP="00584BF4">
      <w:pPr>
        <w:ind w:left="709" w:hanging="349"/>
        <w:outlineLvl w:val="0"/>
        <w:rPr>
          <w:sz w:val="22"/>
          <w:szCs w:val="22"/>
        </w:rPr>
      </w:pPr>
      <w:r>
        <w:rPr>
          <w:rStyle w:val="lev"/>
          <w:sz w:val="22"/>
          <w:szCs w:val="22"/>
        </w:rPr>
        <w:t xml:space="preserve">20. </w:t>
      </w:r>
      <w:r>
        <w:rPr>
          <w:rStyle w:val="lev"/>
          <w:sz w:val="22"/>
          <w:szCs w:val="22"/>
        </w:rPr>
        <w:tab/>
        <w:t>Modalités de soumission des offres</w:t>
      </w:r>
    </w:p>
    <w:p w14:paraId="7919897A" w14:textId="5BD0520A" w:rsidR="006F5FD0" w:rsidRPr="00B33EE6" w:rsidRDefault="006714ED" w:rsidP="00C147B2">
      <w:pPr>
        <w:pStyle w:val="Blockquote"/>
        <w:jc w:val="both"/>
        <w:rPr>
          <w:sz w:val="22"/>
          <w:szCs w:val="22"/>
        </w:rPr>
      </w:pPr>
      <w:r>
        <w:rPr>
          <w:sz w:val="22"/>
          <w:szCs w:val="22"/>
        </w:rPr>
        <w:t xml:space="preserve">Les offres doivent être rédigées en français et soumises, par les moyens indiqués au point 10 des instructions aux soumissionnaires, exclusivement au pouvoir adjudicateur.  </w:t>
      </w:r>
    </w:p>
    <w:p w14:paraId="63BBF791" w14:textId="77777777" w:rsidR="00EF03C9" w:rsidRPr="00B33EE6" w:rsidRDefault="006714ED">
      <w:pPr>
        <w:pStyle w:val="Blockquote"/>
        <w:jc w:val="both"/>
        <w:rPr>
          <w:rStyle w:val="lev"/>
          <w:b w:val="0"/>
          <w:sz w:val="22"/>
          <w:szCs w:val="22"/>
        </w:rPr>
      </w:pPr>
      <w:r>
        <w:rPr>
          <w:rStyle w:val="lev"/>
          <w:b w:val="0"/>
          <w:sz w:val="22"/>
          <w:szCs w:val="22"/>
        </w:rPr>
        <w:t>Les offres soumises par d’autres moyens ne seront pas prises en considération.</w:t>
      </w:r>
    </w:p>
    <w:p w14:paraId="3D156565" w14:textId="77777777" w:rsidR="00502BBF" w:rsidRDefault="00502BBF" w:rsidP="00B33EE6">
      <w:pPr>
        <w:pStyle w:val="Blockquote"/>
        <w:jc w:val="both"/>
        <w:rPr>
          <w:sz w:val="22"/>
          <w:szCs w:val="22"/>
        </w:rPr>
      </w:pPr>
      <w:r>
        <w:rPr>
          <w:sz w:val="22"/>
          <w:szCs w:val="22"/>
        </w:rPr>
        <w:t>En soumettant une offre, les soumissionnaires acceptent d’être informés de l’issue de la procédure par voie électronique.</w:t>
      </w:r>
    </w:p>
    <w:p w14:paraId="3260EF77" w14:textId="77777777" w:rsidR="00840DC2" w:rsidRPr="00B33EE6" w:rsidRDefault="00840DC2" w:rsidP="00B33EE6">
      <w:pPr>
        <w:pStyle w:val="Blockquote"/>
        <w:jc w:val="both"/>
        <w:rPr>
          <w:rStyle w:val="lev"/>
          <w:b w:val="0"/>
          <w:sz w:val="22"/>
          <w:szCs w:val="22"/>
        </w:rPr>
      </w:pPr>
    </w:p>
    <w:p w14:paraId="78DFA6DC" w14:textId="77777777" w:rsidR="003262FC" w:rsidRPr="00B33EE6" w:rsidRDefault="003262FC" w:rsidP="00584BF4">
      <w:pPr>
        <w:ind w:left="709" w:hanging="349"/>
        <w:outlineLvl w:val="0"/>
        <w:rPr>
          <w:b/>
          <w:sz w:val="22"/>
          <w:szCs w:val="22"/>
        </w:rPr>
      </w:pPr>
      <w:r>
        <w:rPr>
          <w:rStyle w:val="lev"/>
          <w:sz w:val="22"/>
          <w:szCs w:val="22"/>
        </w:rPr>
        <w:t>21.</w:t>
      </w:r>
      <w:r>
        <w:rPr>
          <w:rStyle w:val="lev"/>
          <w:sz w:val="22"/>
          <w:szCs w:val="22"/>
        </w:rPr>
        <w:tab/>
        <w:t>Modification ou retrait des offres</w:t>
      </w:r>
    </w:p>
    <w:p w14:paraId="37113797" w14:textId="77777777" w:rsidR="003262FC" w:rsidRPr="00B33EE6" w:rsidRDefault="006714ED" w:rsidP="003262FC">
      <w:pPr>
        <w:pStyle w:val="Blockquote"/>
        <w:jc w:val="both"/>
        <w:rPr>
          <w:sz w:val="22"/>
          <w:szCs w:val="22"/>
        </w:rPr>
      </w:pPr>
      <w:r>
        <w:rPr>
          <w:sz w:val="22"/>
          <w:szCs w:val="22"/>
        </w:rPr>
        <w:t>Les soumissionnaires peuvent modifier ou retirer leur offre par notification écrite avant la date limite de soumission des offres. Aucune offre ne pourra être modifiée après cette date limite.</w:t>
      </w:r>
    </w:p>
    <w:p w14:paraId="2A8E6476" w14:textId="36DD3BEA" w:rsidR="003262FC" w:rsidRPr="00B33EE6" w:rsidRDefault="003262FC" w:rsidP="00EF03C9">
      <w:pPr>
        <w:pStyle w:val="Blockquote"/>
        <w:jc w:val="both"/>
        <w:rPr>
          <w:sz w:val="22"/>
          <w:szCs w:val="22"/>
        </w:rPr>
      </w:pPr>
      <w:r>
        <w:rPr>
          <w:sz w:val="22"/>
          <w:szCs w:val="22"/>
        </w:rPr>
        <w:t xml:space="preserve">Toute notification de modification ou de retrait doit être établie et soumise conformément au point 15 des instructions aux soumissionnaires. </w:t>
      </w:r>
    </w:p>
    <w:p w14:paraId="33B0DD15" w14:textId="77777777" w:rsidR="006F5FD0" w:rsidRPr="00B33EE6" w:rsidRDefault="003262FC" w:rsidP="00A171EA">
      <w:pPr>
        <w:keepNext/>
        <w:ind w:left="709" w:hanging="352"/>
        <w:outlineLvl w:val="0"/>
        <w:rPr>
          <w:sz w:val="22"/>
          <w:szCs w:val="22"/>
        </w:rPr>
      </w:pPr>
      <w:r>
        <w:rPr>
          <w:rStyle w:val="lev"/>
          <w:sz w:val="22"/>
          <w:szCs w:val="22"/>
        </w:rPr>
        <w:t xml:space="preserve">22. </w:t>
      </w:r>
      <w:r>
        <w:rPr>
          <w:rStyle w:val="lev"/>
          <w:sz w:val="22"/>
          <w:szCs w:val="22"/>
        </w:rPr>
        <w:tab/>
        <w:t>Langue de travail</w:t>
      </w:r>
    </w:p>
    <w:p w14:paraId="231E3CC8" w14:textId="77777777" w:rsidR="006F5FD0" w:rsidRPr="00B33EE6" w:rsidRDefault="006F5FD0">
      <w:pPr>
        <w:pStyle w:val="Blockquote"/>
        <w:jc w:val="both"/>
        <w:rPr>
          <w:i/>
          <w:sz w:val="22"/>
          <w:szCs w:val="22"/>
        </w:rPr>
      </w:pPr>
      <w:r>
        <w:rPr>
          <w:rStyle w:val="Accentuation"/>
          <w:i w:val="0"/>
          <w:sz w:val="22"/>
          <w:szCs w:val="22"/>
        </w:rPr>
        <w:t xml:space="preserve">Le français sera utilisé dans toute communication écrite relative au présent appel d’offres et au présent marché.  </w:t>
      </w:r>
    </w:p>
    <w:p w14:paraId="38DC66B2" w14:textId="6C262863" w:rsidR="00E9047D" w:rsidRPr="00F9055E" w:rsidRDefault="00326B16" w:rsidP="00E9047D">
      <w:pPr>
        <w:pStyle w:val="Blockquote"/>
        <w:jc w:val="both"/>
        <w:rPr>
          <w:b/>
          <w:sz w:val="22"/>
          <w:szCs w:val="22"/>
        </w:rPr>
      </w:pPr>
      <w:r>
        <w:rPr>
          <w:b/>
          <w:sz w:val="22"/>
          <w:szCs w:val="22"/>
        </w:rPr>
        <w:t>23. Informations complémentaires</w:t>
      </w:r>
    </w:p>
    <w:p w14:paraId="7A5C8404" w14:textId="65041B19" w:rsidR="00AF412E" w:rsidRPr="008660AD" w:rsidRDefault="00AF412E" w:rsidP="00E57DF7">
      <w:pPr>
        <w:widowControl/>
        <w:snapToGrid w:val="0"/>
        <w:spacing w:after="0"/>
        <w:ind w:left="284" w:right="360"/>
        <w:jc w:val="both"/>
        <w:rPr>
          <w:sz w:val="22"/>
          <w:szCs w:val="22"/>
        </w:rPr>
      </w:pPr>
      <w:r>
        <w:rPr>
          <w:sz w:val="22"/>
          <w:szCs w:val="22"/>
        </w:rPr>
        <w:t xml:space="preserve">Les données financières que le candidat doit fournir dans le formulaire type de candidature doivent être exprimées </w:t>
      </w:r>
      <w:r w:rsidRPr="00BF729F">
        <w:rPr>
          <w:sz w:val="22"/>
          <w:szCs w:val="22"/>
        </w:rPr>
        <w:t xml:space="preserve">en </w:t>
      </w:r>
      <w:r w:rsidR="00F605E0" w:rsidRPr="00BF729F">
        <w:rPr>
          <w:sz w:val="22"/>
          <w:szCs w:val="22"/>
        </w:rPr>
        <w:t>TND</w:t>
      </w:r>
      <w:r w:rsidR="00E57DF7">
        <w:rPr>
          <w:sz w:val="22"/>
          <w:szCs w:val="22"/>
        </w:rPr>
        <w:t>.</w:t>
      </w:r>
    </w:p>
    <w:p w14:paraId="2AC4BD41" w14:textId="77777777" w:rsidR="007F6AA9" w:rsidRPr="00EF304E" w:rsidRDefault="007F6AA9" w:rsidP="00235A71">
      <w:pPr>
        <w:pStyle w:val="Blockquote"/>
        <w:jc w:val="both"/>
        <w:rPr>
          <w:sz w:val="22"/>
          <w:szCs w:val="22"/>
          <w:lang w:val="fr-BE"/>
        </w:rPr>
      </w:pPr>
    </w:p>
    <w:sectPr w:rsidR="007F6AA9" w:rsidRPr="00EF304E" w:rsidSect="00E147D3">
      <w:headerReference w:type="default" r:id="rId13"/>
      <w:footerReference w:type="default" r:id="rId14"/>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19C0" w14:textId="77777777" w:rsidR="0061370B" w:rsidRDefault="0061370B">
      <w:r>
        <w:separator/>
      </w:r>
    </w:p>
  </w:endnote>
  <w:endnote w:type="continuationSeparator" w:id="0">
    <w:p w14:paraId="5800AD16" w14:textId="77777777" w:rsidR="0061370B" w:rsidRDefault="0061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A12" w14:textId="625EE626" w:rsidR="00EF0A8C" w:rsidRPr="00B33EE6" w:rsidRDefault="000B14E4" w:rsidP="00F9055E">
    <w:pPr>
      <w:pStyle w:val="Pieddepage"/>
      <w:tabs>
        <w:tab w:val="clear" w:pos="4320"/>
        <w:tab w:val="clear" w:pos="8640"/>
        <w:tab w:val="right" w:pos="9214"/>
      </w:tabs>
      <w:spacing w:before="120" w:after="0"/>
      <w:rPr>
        <w:b/>
        <w:sz w:val="20"/>
      </w:rPr>
    </w:pPr>
    <w:r>
      <w:rPr>
        <w:sz w:val="18"/>
        <w:szCs w:val="18"/>
      </w:rPr>
      <w:tab/>
      <w:t>Page </w:t>
    </w:r>
    <w:r w:rsidR="00EF0A8C" w:rsidRPr="00B33EE6">
      <w:rPr>
        <w:rStyle w:val="Numrodepage"/>
        <w:sz w:val="18"/>
        <w:szCs w:val="18"/>
      </w:rPr>
      <w:fldChar w:fldCharType="begin"/>
    </w:r>
    <w:r w:rsidR="00EF0A8C" w:rsidRPr="00B33EE6">
      <w:rPr>
        <w:rStyle w:val="Numrodepage"/>
        <w:sz w:val="18"/>
        <w:szCs w:val="18"/>
      </w:rPr>
      <w:instrText xml:space="preserve"> PAGE </w:instrText>
    </w:r>
    <w:r w:rsidR="00EF0A8C" w:rsidRPr="00B33EE6">
      <w:rPr>
        <w:rStyle w:val="Numrodepage"/>
        <w:sz w:val="18"/>
        <w:szCs w:val="18"/>
      </w:rPr>
      <w:fldChar w:fldCharType="separate"/>
    </w:r>
    <w:r w:rsidR="00655960">
      <w:rPr>
        <w:rStyle w:val="Numrodepage"/>
        <w:noProof/>
        <w:sz w:val="18"/>
        <w:szCs w:val="18"/>
      </w:rPr>
      <w:t>4</w:t>
    </w:r>
    <w:r w:rsidR="00EF0A8C" w:rsidRPr="00B33EE6">
      <w:rPr>
        <w:rStyle w:val="Numrodepage"/>
        <w:sz w:val="18"/>
        <w:szCs w:val="18"/>
      </w:rPr>
      <w:fldChar w:fldCharType="end"/>
    </w:r>
    <w:r>
      <w:rPr>
        <w:rStyle w:val="Numrodepage"/>
        <w:sz w:val="18"/>
        <w:szCs w:val="18"/>
      </w:rPr>
      <w:t xml:space="preserve"> sur </w:t>
    </w:r>
    <w:r w:rsidR="00B33EE6" w:rsidRPr="00B33EE6">
      <w:rPr>
        <w:rStyle w:val="Numrodepage"/>
        <w:sz w:val="18"/>
        <w:szCs w:val="18"/>
      </w:rPr>
      <w:fldChar w:fldCharType="begin"/>
    </w:r>
    <w:r w:rsidR="00B33EE6" w:rsidRPr="00B33EE6">
      <w:rPr>
        <w:rStyle w:val="Numrodepage"/>
        <w:sz w:val="18"/>
        <w:szCs w:val="18"/>
      </w:rPr>
      <w:instrText xml:space="preserve"> NUMPAGES   \* MERGEFORMAT </w:instrText>
    </w:r>
    <w:r w:rsidR="00B33EE6" w:rsidRPr="00B33EE6">
      <w:rPr>
        <w:rStyle w:val="Numrodepage"/>
        <w:sz w:val="18"/>
        <w:szCs w:val="18"/>
      </w:rPr>
      <w:fldChar w:fldCharType="separate"/>
    </w:r>
    <w:r w:rsidR="00655960">
      <w:rPr>
        <w:rStyle w:val="Numrodepage"/>
        <w:noProof/>
        <w:sz w:val="18"/>
        <w:szCs w:val="18"/>
      </w:rPr>
      <w:t>5</w:t>
    </w:r>
    <w:r w:rsidR="00B33EE6" w:rsidRPr="00B33EE6">
      <w:rPr>
        <w:rStyle w:val="Numrodepage"/>
        <w:sz w:val="18"/>
        <w:szCs w:val="18"/>
      </w:rPr>
      <w:fldChar w:fldCharType="end"/>
    </w:r>
  </w:p>
  <w:p w14:paraId="77551F46" w14:textId="626530C3" w:rsidR="00EF0A8C" w:rsidRPr="007669BF" w:rsidRDefault="00EF0A8C" w:rsidP="007727F3">
    <w:pPr>
      <w:pStyle w:val="Pieddepage"/>
      <w:spacing w:before="0" w:after="0"/>
    </w:pPr>
    <w:r w:rsidRPr="00B33EE6">
      <w:rPr>
        <w:sz w:val="18"/>
        <w:szCs w:val="18"/>
      </w:rPr>
      <w:fldChar w:fldCharType="begin"/>
    </w:r>
    <w:r w:rsidRPr="007669BF">
      <w:rPr>
        <w:sz w:val="18"/>
        <w:szCs w:val="18"/>
      </w:rPr>
      <w:instrText xml:space="preserve"> FILENAME </w:instrText>
    </w:r>
    <w:r w:rsidRPr="00B33EE6">
      <w:rPr>
        <w:sz w:val="18"/>
        <w:szCs w:val="18"/>
      </w:rPr>
      <w:fldChar w:fldCharType="separate"/>
    </w:r>
    <w:r w:rsidR="00147D22" w:rsidRPr="007669BF">
      <w:rPr>
        <w:noProof/>
        <w:sz w:val="18"/>
        <w:szCs w:val="18"/>
      </w:rPr>
      <w:t>c2_contractnotice_simp_neg_fr.docx</w:t>
    </w:r>
    <w:r w:rsidRPr="00B33EE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A666" w14:textId="77777777" w:rsidR="0061370B" w:rsidRDefault="0061370B">
      <w:r>
        <w:separator/>
      </w:r>
    </w:p>
  </w:footnote>
  <w:footnote w:type="continuationSeparator" w:id="0">
    <w:p w14:paraId="6288132D" w14:textId="77777777" w:rsidR="0061370B" w:rsidRDefault="0061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2C16" w14:textId="173A0056" w:rsidR="00B95FF6" w:rsidRDefault="00B95FF6">
    <w:pPr>
      <w:pStyle w:val="En-tte"/>
    </w:pPr>
    <w:r>
      <w:rPr>
        <w:noProof/>
      </w:rPr>
      <w:pict w14:anchorId="4AB48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411.9pt;margin-top:4.25pt;width:94.5pt;height:5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square"/>
        </v:shape>
      </w:pict>
    </w:r>
    <w:r w:rsidRPr="00B95FF6">
      <w:rPr>
        <w:noProof/>
        <w:snapToGrid/>
        <w:sz w:val="20"/>
      </w:rPr>
      <w:pict w14:anchorId="3AFB1CA6">
        <v:shape id="Image 1" o:spid="_x0000_i1025" type="#_x0000_t75" alt="logo_ec_17_colors_300dpi" style="width:107.4pt;height:52.2pt;visibility:visible;mso-wrap-style:square">
          <v:imagedata r:id="rId2" o:title="logo_ec_17_colors_300dp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16cid:durableId="1978605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7738167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35411116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229438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87160340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63865108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131571705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68678377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44685376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63475532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28588863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28819614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370888227">
    <w:abstractNumId w:val="17"/>
  </w:num>
  <w:num w:numId="14" w16cid:durableId="352193789">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71195826">
    <w:abstractNumId w:val="13"/>
  </w:num>
  <w:num w:numId="16" w16cid:durableId="1077900269">
    <w:abstractNumId w:val="15"/>
  </w:num>
  <w:num w:numId="17" w16cid:durableId="377902582">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2121992547">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599335233">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786580734">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774599680">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424179440">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375302272">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33820916">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88686943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668405735">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046763004">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530650837">
    <w:abstractNumId w:val="27"/>
  </w:num>
  <w:num w:numId="29" w16cid:durableId="1439056854">
    <w:abstractNumId w:val="27"/>
  </w:num>
  <w:num w:numId="30" w16cid:durableId="1249731890">
    <w:abstractNumId w:val="27"/>
  </w:num>
  <w:num w:numId="31" w16cid:durableId="1187406115">
    <w:abstractNumId w:val="27"/>
  </w:num>
  <w:num w:numId="32" w16cid:durableId="5466490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876700174">
    <w:abstractNumId w:val="36"/>
  </w:num>
  <w:num w:numId="34" w16cid:durableId="965546007">
    <w:abstractNumId w:val="41"/>
  </w:num>
  <w:num w:numId="35" w16cid:durableId="1590430739">
    <w:abstractNumId w:val="35"/>
  </w:num>
  <w:num w:numId="36" w16cid:durableId="2135785174">
    <w:abstractNumId w:val="33"/>
  </w:num>
  <w:num w:numId="37" w16cid:durableId="722871050">
    <w:abstractNumId w:val="37"/>
  </w:num>
  <w:num w:numId="38" w16cid:durableId="367070989">
    <w:abstractNumId w:val="39"/>
  </w:num>
  <w:num w:numId="39" w16cid:durableId="2074696066">
    <w:abstractNumId w:val="43"/>
  </w:num>
  <w:num w:numId="40" w16cid:durableId="959142395">
    <w:abstractNumId w:val="44"/>
  </w:num>
  <w:num w:numId="41" w16cid:durableId="826281709">
    <w:abstractNumId w:val="40"/>
  </w:num>
  <w:num w:numId="42" w16cid:durableId="435176756">
    <w:abstractNumId w:val="42"/>
  </w:num>
  <w:num w:numId="43" w16cid:durableId="1049769729">
    <w:abstractNumId w:val="38"/>
  </w:num>
  <w:num w:numId="44" w16cid:durableId="862010956">
    <w:abstractNumId w:val="34"/>
  </w:num>
  <w:num w:numId="45" w16cid:durableId="192337344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en-IE" w:vendorID="64" w:dllVersion="0" w:nlCheck="1" w:checkStyle="0"/>
  <w:activeWritingStyle w:appName="MSWord" w:lang="it-IT"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37D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7A72"/>
    <w:rsid w:val="00095030"/>
    <w:rsid w:val="000A0D57"/>
    <w:rsid w:val="000A3758"/>
    <w:rsid w:val="000B14E4"/>
    <w:rsid w:val="000B693E"/>
    <w:rsid w:val="000B7C91"/>
    <w:rsid w:val="000C0272"/>
    <w:rsid w:val="000C1101"/>
    <w:rsid w:val="000C1522"/>
    <w:rsid w:val="000D1732"/>
    <w:rsid w:val="000D2BF1"/>
    <w:rsid w:val="000D3EBF"/>
    <w:rsid w:val="000E4709"/>
    <w:rsid w:val="000F0F6C"/>
    <w:rsid w:val="000F1340"/>
    <w:rsid w:val="000F5DEF"/>
    <w:rsid w:val="0010162C"/>
    <w:rsid w:val="00105302"/>
    <w:rsid w:val="0013314C"/>
    <w:rsid w:val="00134662"/>
    <w:rsid w:val="00142800"/>
    <w:rsid w:val="001429BC"/>
    <w:rsid w:val="0014405E"/>
    <w:rsid w:val="00145CFA"/>
    <w:rsid w:val="00147D22"/>
    <w:rsid w:val="00150687"/>
    <w:rsid w:val="001661F7"/>
    <w:rsid w:val="0017050C"/>
    <w:rsid w:val="00171F2E"/>
    <w:rsid w:val="00174E57"/>
    <w:rsid w:val="00180D47"/>
    <w:rsid w:val="00183CF6"/>
    <w:rsid w:val="001903F3"/>
    <w:rsid w:val="001941DC"/>
    <w:rsid w:val="001951FE"/>
    <w:rsid w:val="001A59BB"/>
    <w:rsid w:val="001A66C2"/>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43969"/>
    <w:rsid w:val="002575AA"/>
    <w:rsid w:val="00266EB9"/>
    <w:rsid w:val="002753AD"/>
    <w:rsid w:val="00292701"/>
    <w:rsid w:val="002B2145"/>
    <w:rsid w:val="002B522B"/>
    <w:rsid w:val="002D266E"/>
    <w:rsid w:val="002D4121"/>
    <w:rsid w:val="002E1B83"/>
    <w:rsid w:val="002E2635"/>
    <w:rsid w:val="002E7D33"/>
    <w:rsid w:val="002F0752"/>
    <w:rsid w:val="002F4E69"/>
    <w:rsid w:val="003045C3"/>
    <w:rsid w:val="00313F6B"/>
    <w:rsid w:val="00322D52"/>
    <w:rsid w:val="003232ED"/>
    <w:rsid w:val="00323BDD"/>
    <w:rsid w:val="003262FC"/>
    <w:rsid w:val="00326B16"/>
    <w:rsid w:val="00330261"/>
    <w:rsid w:val="003378F6"/>
    <w:rsid w:val="00342E7F"/>
    <w:rsid w:val="00347673"/>
    <w:rsid w:val="00347970"/>
    <w:rsid w:val="003574F5"/>
    <w:rsid w:val="00357E25"/>
    <w:rsid w:val="00362824"/>
    <w:rsid w:val="00364564"/>
    <w:rsid w:val="003670BA"/>
    <w:rsid w:val="003717BC"/>
    <w:rsid w:val="00381CA4"/>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2F78"/>
    <w:rsid w:val="0045494F"/>
    <w:rsid w:val="004567DF"/>
    <w:rsid w:val="00472630"/>
    <w:rsid w:val="00473883"/>
    <w:rsid w:val="00476D80"/>
    <w:rsid w:val="00480B5C"/>
    <w:rsid w:val="004850B4"/>
    <w:rsid w:val="004901C2"/>
    <w:rsid w:val="004957E5"/>
    <w:rsid w:val="004C21CC"/>
    <w:rsid w:val="004C49B2"/>
    <w:rsid w:val="004D031B"/>
    <w:rsid w:val="004D5EDB"/>
    <w:rsid w:val="004D7181"/>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28C0"/>
    <w:rsid w:val="005635F3"/>
    <w:rsid w:val="005639EC"/>
    <w:rsid w:val="00565A69"/>
    <w:rsid w:val="00571687"/>
    <w:rsid w:val="00571695"/>
    <w:rsid w:val="00572F15"/>
    <w:rsid w:val="00573F7A"/>
    <w:rsid w:val="00584BF4"/>
    <w:rsid w:val="00584D96"/>
    <w:rsid w:val="00590ADB"/>
    <w:rsid w:val="005A21DC"/>
    <w:rsid w:val="005B35A2"/>
    <w:rsid w:val="005B4F80"/>
    <w:rsid w:val="005B5E3C"/>
    <w:rsid w:val="005C71EF"/>
    <w:rsid w:val="005D41DD"/>
    <w:rsid w:val="005F776D"/>
    <w:rsid w:val="0060359F"/>
    <w:rsid w:val="0061336A"/>
    <w:rsid w:val="0061370B"/>
    <w:rsid w:val="00615E53"/>
    <w:rsid w:val="006309DE"/>
    <w:rsid w:val="00632BDC"/>
    <w:rsid w:val="0064390B"/>
    <w:rsid w:val="00655960"/>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4428F"/>
    <w:rsid w:val="007471C5"/>
    <w:rsid w:val="00750FF8"/>
    <w:rsid w:val="00753FC2"/>
    <w:rsid w:val="00756C38"/>
    <w:rsid w:val="00761673"/>
    <w:rsid w:val="00761893"/>
    <w:rsid w:val="007653F4"/>
    <w:rsid w:val="007669BF"/>
    <w:rsid w:val="00766EC7"/>
    <w:rsid w:val="00770822"/>
    <w:rsid w:val="00771F85"/>
    <w:rsid w:val="00771F97"/>
    <w:rsid w:val="007727F3"/>
    <w:rsid w:val="00780EAB"/>
    <w:rsid w:val="00781603"/>
    <w:rsid w:val="007874C8"/>
    <w:rsid w:val="00794A92"/>
    <w:rsid w:val="00796976"/>
    <w:rsid w:val="00796CC5"/>
    <w:rsid w:val="007A04AC"/>
    <w:rsid w:val="007A4037"/>
    <w:rsid w:val="007C352C"/>
    <w:rsid w:val="007D29D4"/>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0DC2"/>
    <w:rsid w:val="00846F87"/>
    <w:rsid w:val="00862885"/>
    <w:rsid w:val="008660AD"/>
    <w:rsid w:val="0087086B"/>
    <w:rsid w:val="00881C2D"/>
    <w:rsid w:val="00894E29"/>
    <w:rsid w:val="00895B3B"/>
    <w:rsid w:val="0089693D"/>
    <w:rsid w:val="008A1184"/>
    <w:rsid w:val="008A1514"/>
    <w:rsid w:val="008B0830"/>
    <w:rsid w:val="008B77CD"/>
    <w:rsid w:val="008C3178"/>
    <w:rsid w:val="008C4242"/>
    <w:rsid w:val="008C68A0"/>
    <w:rsid w:val="008D1243"/>
    <w:rsid w:val="008D3E45"/>
    <w:rsid w:val="008E2D12"/>
    <w:rsid w:val="008F294D"/>
    <w:rsid w:val="009017AA"/>
    <w:rsid w:val="00903EB8"/>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84367"/>
    <w:rsid w:val="00991002"/>
    <w:rsid w:val="00994EA3"/>
    <w:rsid w:val="009A21C6"/>
    <w:rsid w:val="009A38DE"/>
    <w:rsid w:val="009B06B5"/>
    <w:rsid w:val="009B5369"/>
    <w:rsid w:val="009B61D2"/>
    <w:rsid w:val="009B69BE"/>
    <w:rsid w:val="009E5BC1"/>
    <w:rsid w:val="009F0852"/>
    <w:rsid w:val="009F128B"/>
    <w:rsid w:val="009F5FB4"/>
    <w:rsid w:val="00A00BD5"/>
    <w:rsid w:val="00A021B5"/>
    <w:rsid w:val="00A02E6B"/>
    <w:rsid w:val="00A03055"/>
    <w:rsid w:val="00A046E7"/>
    <w:rsid w:val="00A04B00"/>
    <w:rsid w:val="00A11931"/>
    <w:rsid w:val="00A12588"/>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5440"/>
    <w:rsid w:val="00AA7641"/>
    <w:rsid w:val="00AA76E8"/>
    <w:rsid w:val="00AA7F22"/>
    <w:rsid w:val="00AB7F58"/>
    <w:rsid w:val="00AC0D0C"/>
    <w:rsid w:val="00AC4530"/>
    <w:rsid w:val="00AC7E0D"/>
    <w:rsid w:val="00AD1660"/>
    <w:rsid w:val="00AD1E4D"/>
    <w:rsid w:val="00AD618A"/>
    <w:rsid w:val="00AE1D8D"/>
    <w:rsid w:val="00AE4633"/>
    <w:rsid w:val="00AE5030"/>
    <w:rsid w:val="00AE6A5B"/>
    <w:rsid w:val="00AF0B6B"/>
    <w:rsid w:val="00AF412E"/>
    <w:rsid w:val="00AF7BB3"/>
    <w:rsid w:val="00B00363"/>
    <w:rsid w:val="00B063F9"/>
    <w:rsid w:val="00B06D60"/>
    <w:rsid w:val="00B112A1"/>
    <w:rsid w:val="00B13A28"/>
    <w:rsid w:val="00B14398"/>
    <w:rsid w:val="00B152E4"/>
    <w:rsid w:val="00B200AF"/>
    <w:rsid w:val="00B24DDD"/>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9352A"/>
    <w:rsid w:val="00B95FF6"/>
    <w:rsid w:val="00B9793F"/>
    <w:rsid w:val="00BA0765"/>
    <w:rsid w:val="00BA44A3"/>
    <w:rsid w:val="00BA7C3E"/>
    <w:rsid w:val="00BB2689"/>
    <w:rsid w:val="00BC353E"/>
    <w:rsid w:val="00BD65BA"/>
    <w:rsid w:val="00BD69EF"/>
    <w:rsid w:val="00BE08EC"/>
    <w:rsid w:val="00BE3544"/>
    <w:rsid w:val="00BE595A"/>
    <w:rsid w:val="00BE5F29"/>
    <w:rsid w:val="00BE783C"/>
    <w:rsid w:val="00BF729F"/>
    <w:rsid w:val="00C00D44"/>
    <w:rsid w:val="00C03AF5"/>
    <w:rsid w:val="00C04FCE"/>
    <w:rsid w:val="00C067C5"/>
    <w:rsid w:val="00C0772E"/>
    <w:rsid w:val="00C13A92"/>
    <w:rsid w:val="00C147B2"/>
    <w:rsid w:val="00C1500E"/>
    <w:rsid w:val="00C15A17"/>
    <w:rsid w:val="00C171B6"/>
    <w:rsid w:val="00C2011B"/>
    <w:rsid w:val="00C2062A"/>
    <w:rsid w:val="00C268D3"/>
    <w:rsid w:val="00C30183"/>
    <w:rsid w:val="00C316FC"/>
    <w:rsid w:val="00C3644F"/>
    <w:rsid w:val="00C36666"/>
    <w:rsid w:val="00C43AAC"/>
    <w:rsid w:val="00C44155"/>
    <w:rsid w:val="00C460D8"/>
    <w:rsid w:val="00C52B1A"/>
    <w:rsid w:val="00C558F4"/>
    <w:rsid w:val="00C61B8C"/>
    <w:rsid w:val="00C712DE"/>
    <w:rsid w:val="00C836E5"/>
    <w:rsid w:val="00C83C65"/>
    <w:rsid w:val="00C840D0"/>
    <w:rsid w:val="00C867B9"/>
    <w:rsid w:val="00C87EF5"/>
    <w:rsid w:val="00CA3B1B"/>
    <w:rsid w:val="00CB23E3"/>
    <w:rsid w:val="00CB2A5B"/>
    <w:rsid w:val="00CB759D"/>
    <w:rsid w:val="00CB7AAE"/>
    <w:rsid w:val="00CC0A41"/>
    <w:rsid w:val="00CC3BA0"/>
    <w:rsid w:val="00CC48C9"/>
    <w:rsid w:val="00CD6156"/>
    <w:rsid w:val="00CD765A"/>
    <w:rsid w:val="00CE49A1"/>
    <w:rsid w:val="00CF759C"/>
    <w:rsid w:val="00D00216"/>
    <w:rsid w:val="00D011CD"/>
    <w:rsid w:val="00D14A9D"/>
    <w:rsid w:val="00D17A30"/>
    <w:rsid w:val="00D225CC"/>
    <w:rsid w:val="00D22682"/>
    <w:rsid w:val="00D240C3"/>
    <w:rsid w:val="00D2786B"/>
    <w:rsid w:val="00D32849"/>
    <w:rsid w:val="00D33DD9"/>
    <w:rsid w:val="00D35F99"/>
    <w:rsid w:val="00D434A7"/>
    <w:rsid w:val="00D46724"/>
    <w:rsid w:val="00D517A4"/>
    <w:rsid w:val="00D51C7E"/>
    <w:rsid w:val="00D549F4"/>
    <w:rsid w:val="00D64101"/>
    <w:rsid w:val="00D73675"/>
    <w:rsid w:val="00D8773C"/>
    <w:rsid w:val="00D87D0A"/>
    <w:rsid w:val="00D93082"/>
    <w:rsid w:val="00D97139"/>
    <w:rsid w:val="00DA01A5"/>
    <w:rsid w:val="00DA0ABA"/>
    <w:rsid w:val="00DC0253"/>
    <w:rsid w:val="00DC4F70"/>
    <w:rsid w:val="00DC753D"/>
    <w:rsid w:val="00DD0CD4"/>
    <w:rsid w:val="00DE3C11"/>
    <w:rsid w:val="00DF04F0"/>
    <w:rsid w:val="00E00EE5"/>
    <w:rsid w:val="00E147D3"/>
    <w:rsid w:val="00E1782A"/>
    <w:rsid w:val="00E21BC3"/>
    <w:rsid w:val="00E23A94"/>
    <w:rsid w:val="00E30BB5"/>
    <w:rsid w:val="00E31447"/>
    <w:rsid w:val="00E422A2"/>
    <w:rsid w:val="00E5220B"/>
    <w:rsid w:val="00E57DF7"/>
    <w:rsid w:val="00E6172B"/>
    <w:rsid w:val="00E669EC"/>
    <w:rsid w:val="00E66A55"/>
    <w:rsid w:val="00E713DA"/>
    <w:rsid w:val="00E813B7"/>
    <w:rsid w:val="00E81C0B"/>
    <w:rsid w:val="00E82874"/>
    <w:rsid w:val="00E845AC"/>
    <w:rsid w:val="00E867FC"/>
    <w:rsid w:val="00E9047D"/>
    <w:rsid w:val="00EA399C"/>
    <w:rsid w:val="00EA7B74"/>
    <w:rsid w:val="00EB4C19"/>
    <w:rsid w:val="00EC1215"/>
    <w:rsid w:val="00EC7EB7"/>
    <w:rsid w:val="00ED5FA0"/>
    <w:rsid w:val="00EE0A07"/>
    <w:rsid w:val="00EE2ED8"/>
    <w:rsid w:val="00EE6E92"/>
    <w:rsid w:val="00EF03C9"/>
    <w:rsid w:val="00EF0A8C"/>
    <w:rsid w:val="00EF304E"/>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605E0"/>
    <w:rsid w:val="00F70686"/>
    <w:rsid w:val="00F76A8F"/>
    <w:rsid w:val="00F77C8A"/>
    <w:rsid w:val="00F86AA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paragraph" w:styleId="Titre2">
    <w:name w:val="heading 2"/>
    <w:basedOn w:val="Normal"/>
    <w:next w:val="Normal"/>
    <w:qFormat/>
    <w:rsid w:val="007D6292"/>
    <w:pPr>
      <w:keepNext/>
      <w:widowControl/>
      <w:spacing w:before="120" w:after="120"/>
      <w:outlineLvl w:val="1"/>
    </w:pPr>
    <w:rPr>
      <w:rFonts w:ascii="Arial" w:hAnsi="Arial"/>
      <w:sz w:val="20"/>
    </w:rPr>
  </w:style>
  <w:style w:type="paragraph" w:styleId="Titre4">
    <w:name w:val="heading 4"/>
    <w:basedOn w:val="Normal"/>
    <w:next w:val="Normal"/>
    <w:link w:val="Titre4Car"/>
    <w:semiHidden/>
    <w:unhideWhenUsed/>
    <w:qFormat/>
    <w:rsid w:val="009B5369"/>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uiPriority w:val="20"/>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rsid w:val="007F095B"/>
  </w:style>
  <w:style w:type="paragraph" w:styleId="Corpsdetexte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rPr>
  </w:style>
  <w:style w:type="paragraph" w:styleId="Notedebasdepage">
    <w:name w:val="footnote text"/>
    <w:basedOn w:val="Normal"/>
    <w:link w:val="NotedebasdepageCar"/>
    <w:uiPriority w:val="99"/>
    <w:rsid w:val="001951FE"/>
    <w:rPr>
      <w:sz w:val="20"/>
    </w:rPr>
  </w:style>
  <w:style w:type="character" w:styleId="Appelnotedebasdep">
    <w:name w:val="footnote reference"/>
    <w:uiPriority w:val="99"/>
    <w:qFormat/>
    <w:rsid w:val="001951FE"/>
    <w:rPr>
      <w:vertAlign w:val="superscript"/>
    </w:rPr>
  </w:style>
  <w:style w:type="character" w:customStyle="1" w:styleId="PieddepageCar">
    <w:name w:val="Pied de page Car"/>
    <w:link w:val="Pieddepage"/>
    <w:rsid w:val="007727F3"/>
    <w:rPr>
      <w:snapToGrid w:val="0"/>
      <w:sz w:val="24"/>
      <w:lang w:val="fr-FR" w:eastAsia="en-US"/>
    </w:rPr>
  </w:style>
  <w:style w:type="paragraph" w:styleId="Textedebulles">
    <w:name w:val="Balloon Text"/>
    <w:basedOn w:val="Normal"/>
    <w:link w:val="TextedebullesCar"/>
    <w:rsid w:val="00D240C3"/>
    <w:pPr>
      <w:spacing w:before="0" w:after="0"/>
    </w:pPr>
    <w:rPr>
      <w:rFonts w:ascii="Tahoma" w:hAnsi="Tahoma" w:cs="Tahoma"/>
      <w:sz w:val="16"/>
      <w:szCs w:val="16"/>
    </w:rPr>
  </w:style>
  <w:style w:type="character" w:customStyle="1" w:styleId="TextedebullesCar">
    <w:name w:val="Texte de bulles Car"/>
    <w:link w:val="Textedebulles"/>
    <w:rsid w:val="00D240C3"/>
    <w:rPr>
      <w:rFonts w:ascii="Tahoma" w:hAnsi="Tahoma" w:cs="Tahoma"/>
      <w:snapToGrid w:val="0"/>
      <w:sz w:val="16"/>
      <w:szCs w:val="16"/>
      <w:lang w:val="fr-FR" w:eastAsia="en-US"/>
    </w:rPr>
  </w:style>
  <w:style w:type="character" w:styleId="Marquedecommentaire">
    <w:name w:val="annotation reference"/>
    <w:rsid w:val="009B69BE"/>
    <w:rPr>
      <w:sz w:val="16"/>
      <w:szCs w:val="16"/>
    </w:rPr>
  </w:style>
  <w:style w:type="paragraph" w:styleId="Commentaire">
    <w:name w:val="annotation text"/>
    <w:basedOn w:val="Normal"/>
    <w:link w:val="CommentaireCar"/>
    <w:rsid w:val="009B69BE"/>
    <w:rPr>
      <w:sz w:val="20"/>
    </w:rPr>
  </w:style>
  <w:style w:type="character" w:customStyle="1" w:styleId="CommentaireCar">
    <w:name w:val="Commentaire Car"/>
    <w:link w:val="Commentaire"/>
    <w:rsid w:val="009B69BE"/>
    <w:rPr>
      <w:snapToGrid w:val="0"/>
      <w:lang w:val="fr-FR" w:eastAsia="en-US"/>
    </w:rPr>
  </w:style>
  <w:style w:type="paragraph" w:styleId="Objetducommentaire">
    <w:name w:val="annotation subject"/>
    <w:basedOn w:val="Commentaire"/>
    <w:next w:val="Commentaire"/>
    <w:link w:val="ObjetducommentaireCar"/>
    <w:rsid w:val="009B69BE"/>
    <w:rPr>
      <w:b/>
      <w:bCs/>
    </w:rPr>
  </w:style>
  <w:style w:type="character" w:customStyle="1" w:styleId="ObjetducommentaireCar">
    <w:name w:val="Objet du commentaire Car"/>
    <w:link w:val="Objetducommentaire"/>
    <w:rsid w:val="009B69BE"/>
    <w:rPr>
      <w:b/>
      <w:bCs/>
      <w:snapToGrid w:val="0"/>
      <w:lang w:val="fr-FR" w:eastAsia="en-US"/>
    </w:rPr>
  </w:style>
  <w:style w:type="paragraph" w:customStyle="1" w:styleId="PRAGHeading2">
    <w:name w:val="PRAG Heading 2"/>
    <w:basedOn w:val="Normal"/>
    <w:rsid w:val="00971962"/>
    <w:pPr>
      <w:numPr>
        <w:numId w:val="43"/>
      </w:numPr>
    </w:pPr>
  </w:style>
  <w:style w:type="paragraph" w:styleId="Sous-titre">
    <w:name w:val="Subtitle"/>
    <w:basedOn w:val="Normal"/>
    <w:link w:val="Sous-titreCar"/>
    <w:qFormat/>
    <w:rsid w:val="00A36F1C"/>
    <w:pPr>
      <w:widowControl/>
      <w:spacing w:before="0" w:after="0"/>
      <w:jc w:val="center"/>
    </w:pPr>
    <w:rPr>
      <w:b/>
      <w:snapToGrid/>
      <w:sz w:val="28"/>
      <w:lang w:eastAsia="en-GB"/>
    </w:rPr>
  </w:style>
  <w:style w:type="character" w:customStyle="1" w:styleId="Sous-titreCar">
    <w:name w:val="Sous-titre Car"/>
    <w:link w:val="Sous-titre"/>
    <w:rsid w:val="00A36F1C"/>
    <w:rPr>
      <w:b/>
      <w:sz w:val="28"/>
      <w:lang w:val="fr-FR"/>
    </w:rPr>
  </w:style>
  <w:style w:type="character" w:customStyle="1" w:styleId="NotedebasdepageCar">
    <w:name w:val="Note de bas de page Car"/>
    <w:link w:val="Notedebasdepage"/>
    <w:uiPriority w:val="99"/>
    <w:rsid w:val="00B9793F"/>
    <w:rPr>
      <w:snapToGrid w:val="0"/>
      <w:lang w:val="fr-FR"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eastAsia="fr-BE"/>
    </w:rPr>
  </w:style>
  <w:style w:type="character" w:customStyle="1" w:styleId="highlight">
    <w:name w:val="highlight"/>
    <w:rsid w:val="00B9793F"/>
    <w:rPr>
      <w:rFonts w:cs="Times New Roman"/>
    </w:rPr>
  </w:style>
  <w:style w:type="paragraph" w:styleId="Paragraphedeliste">
    <w:name w:val="List Paragraph"/>
    <w:basedOn w:val="Normal"/>
    <w:uiPriority w:val="34"/>
    <w:qFormat/>
    <w:rsid w:val="00B9793F"/>
    <w:pPr>
      <w:ind w:left="720"/>
    </w:pPr>
  </w:style>
  <w:style w:type="paragraph" w:styleId="Rvision">
    <w:name w:val="Revision"/>
    <w:hidden/>
    <w:uiPriority w:val="99"/>
    <w:semiHidden/>
    <w:rsid w:val="00D97139"/>
    <w:rPr>
      <w:snapToGrid w:val="0"/>
      <w:sz w:val="24"/>
      <w:lang w:eastAsia="en-US"/>
    </w:rPr>
  </w:style>
  <w:style w:type="character" w:customStyle="1" w:styleId="Titre4Car">
    <w:name w:val="Titre 4 Car"/>
    <w:link w:val="Titre4"/>
    <w:semiHidden/>
    <w:rsid w:val="009B5369"/>
    <w:rPr>
      <w:rFonts w:ascii="Calibri" w:eastAsia="Times New Roman" w:hAnsi="Calibri" w:cs="Times New Roman"/>
      <w:b/>
      <w:bCs/>
      <w:snapToGrid w:val="0"/>
      <w:sz w:val="28"/>
      <w:szCs w:val="28"/>
      <w:lang w:val="fr-FR" w:eastAsia="en-US"/>
    </w:rPr>
  </w:style>
  <w:style w:type="paragraph" w:customStyle="1" w:styleId="Default">
    <w:name w:val="Default"/>
    <w:rsid w:val="002B522B"/>
    <w:pPr>
      <w:autoSpaceDE w:val="0"/>
      <w:autoSpaceDN w:val="0"/>
      <w:adjustRightInd w:val="0"/>
    </w:pPr>
    <w:rPr>
      <w:color w:val="000000"/>
      <w:sz w:val="24"/>
      <w:szCs w:val="24"/>
    </w:rPr>
  </w:style>
  <w:style w:type="character" w:styleId="Mentionnonrsolue">
    <w:name w:val="Unresolved Mention"/>
    <w:uiPriority w:val="99"/>
    <w:semiHidden/>
    <w:unhideWhenUsed/>
    <w:rsid w:val="0098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3252">
      <w:bodyDiv w:val="1"/>
      <w:marLeft w:val="0"/>
      <w:marRight w:val="0"/>
      <w:marTop w:val="0"/>
      <w:marBottom w:val="0"/>
      <w:divBdr>
        <w:top w:val="none" w:sz="0" w:space="0" w:color="auto"/>
        <w:left w:val="none" w:sz="0" w:space="0" w:color="auto"/>
        <w:bottom w:val="none" w:sz="0" w:space="0" w:color="auto"/>
        <w:right w:val="none" w:sz="0" w:space="0" w:color="auto"/>
      </w:divBdr>
    </w:div>
    <w:div w:id="318534760">
      <w:bodyDiv w:val="1"/>
      <w:marLeft w:val="0"/>
      <w:marRight w:val="0"/>
      <w:marTop w:val="0"/>
      <w:marBottom w:val="0"/>
      <w:divBdr>
        <w:top w:val="none" w:sz="0" w:space="0" w:color="auto"/>
        <w:left w:val="none" w:sz="0" w:space="0" w:color="auto"/>
        <w:bottom w:val="none" w:sz="0" w:space="0" w:color="auto"/>
        <w:right w:val="none" w:sz="0" w:space="0" w:color="auto"/>
      </w:divBdr>
    </w:div>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31246546">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909118735">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208301805">
      <w:bodyDiv w:val="1"/>
      <w:marLeft w:val="0"/>
      <w:marRight w:val="0"/>
      <w:marTop w:val="0"/>
      <w:marBottom w:val="0"/>
      <w:divBdr>
        <w:top w:val="none" w:sz="0" w:space="0" w:color="auto"/>
        <w:left w:val="none" w:sz="0" w:space="0" w:color="auto"/>
        <w:bottom w:val="none" w:sz="0" w:space="0" w:color="auto"/>
        <w:right w:val="none" w:sz="0" w:space="0" w:color="auto"/>
      </w:divBdr>
    </w:div>
    <w:div w:id="1232544821">
      <w:bodyDiv w:val="1"/>
      <w:marLeft w:val="0"/>
      <w:marRight w:val="0"/>
      <w:marTop w:val="0"/>
      <w:marBottom w:val="0"/>
      <w:divBdr>
        <w:top w:val="none" w:sz="0" w:space="0" w:color="auto"/>
        <w:left w:val="none" w:sz="0" w:space="0" w:color="auto"/>
        <w:bottom w:val="none" w:sz="0" w:space="0" w:color="auto"/>
        <w:right w:val="none" w:sz="0" w:space="0" w:color="auto"/>
      </w:divBdr>
    </w:div>
    <w:div w:id="1505516043">
      <w:bodyDiv w:val="1"/>
      <w:marLeft w:val="0"/>
      <w:marRight w:val="0"/>
      <w:marTop w:val="0"/>
      <w:marBottom w:val="0"/>
      <w:divBdr>
        <w:top w:val="none" w:sz="0" w:space="0" w:color="auto"/>
        <w:left w:val="none" w:sz="0" w:space="0" w:color="auto"/>
        <w:bottom w:val="none" w:sz="0" w:space="0" w:color="auto"/>
        <w:right w:val="none" w:sz="0" w:space="0" w:color="auto"/>
      </w:divBdr>
    </w:div>
    <w:div w:id="1512723759">
      <w:bodyDiv w:val="1"/>
      <w:marLeft w:val="0"/>
      <w:marRight w:val="0"/>
      <w:marTop w:val="0"/>
      <w:marBottom w:val="0"/>
      <w:divBdr>
        <w:top w:val="none" w:sz="0" w:space="0" w:color="auto"/>
        <w:left w:val="none" w:sz="0" w:space="0" w:color="auto"/>
        <w:bottom w:val="none" w:sz="0" w:space="0" w:color="auto"/>
        <w:right w:val="none" w:sz="0" w:space="0" w:color="auto"/>
      </w:divBdr>
    </w:div>
    <w:div w:id="1624456859">
      <w:bodyDiv w:val="1"/>
      <w:marLeft w:val="0"/>
      <w:marRight w:val="0"/>
      <w:marTop w:val="0"/>
      <w:marBottom w:val="0"/>
      <w:divBdr>
        <w:top w:val="none" w:sz="0" w:space="0" w:color="auto"/>
        <w:left w:val="none" w:sz="0" w:space="0" w:color="auto"/>
        <w:bottom w:val="none" w:sz="0" w:space="0" w:color="auto"/>
        <w:right w:val="none" w:sz="0" w:space="0" w:color="auto"/>
      </w:divBdr>
    </w:div>
    <w:div w:id="2040424522">
      <w:bodyDiv w:val="1"/>
      <w:marLeft w:val="0"/>
      <w:marRight w:val="0"/>
      <w:marTop w:val="0"/>
      <w:marBottom w:val="0"/>
      <w:divBdr>
        <w:top w:val="none" w:sz="0" w:space="0" w:color="auto"/>
        <w:left w:val="none" w:sz="0" w:space="0" w:color="auto"/>
        <w:bottom w:val="none" w:sz="0" w:space="0" w:color="auto"/>
        <w:right w:val="none" w:sz="0" w:space="0" w:color="auto"/>
      </w:divBdr>
    </w:div>
    <w:div w:id="21136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o.prina@icu.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714C6-DAEB-4D7C-8AB9-2B11F7A6C588}">
  <ds:schemaRefs>
    <ds:schemaRef ds:uri="http://schemas.microsoft.com/sharepoint/v3/contenttype/forms"/>
  </ds:schemaRefs>
</ds:datastoreItem>
</file>

<file path=customXml/itemProps2.xml><?xml version="1.0" encoding="utf-8"?>
<ds:datastoreItem xmlns:ds="http://schemas.openxmlformats.org/officeDocument/2006/customXml" ds:itemID="{8913F442-3B27-48A9-8E77-DACF6C51A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BA829-49F0-4B46-AB3E-B1E8A9E398D7}">
  <ds:schemaRefs>
    <ds:schemaRef ds:uri="http://schemas.openxmlformats.org/officeDocument/2006/bibliography"/>
  </ds:schemaRefs>
</ds:datastoreItem>
</file>

<file path=customXml/itemProps4.xml><?xml version="1.0" encoding="utf-8"?>
<ds:datastoreItem xmlns:ds="http://schemas.openxmlformats.org/officeDocument/2006/customXml" ds:itemID="{8E27C65D-856C-488B-BBBF-B370EB83F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1637</Words>
  <Characters>9006</Characters>
  <Application>Microsoft Office Word</Application>
  <DocSecurity>0</DocSecurity>
  <Lines>75</Lines>
  <Paragraphs>21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Procurement notice for a service contract</vt:lpstr>
      <vt:lpstr>Procurement notice for a service contract</vt:lpstr>
      <vt:lpstr>Procurement notice for a service contract</vt:lpstr>
    </vt:vector>
  </TitlesOfParts>
  <Company>XXXXXXX</Company>
  <LinksUpToDate>false</LinksUpToDate>
  <CharactersWithSpaces>10622</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XXXXXXX</dc:creator>
  <cp:keywords/>
  <cp:lastModifiedBy>paoloprina paoloprina</cp:lastModifiedBy>
  <cp:revision>38</cp:revision>
  <cp:lastPrinted>2016-05-31T08:36:00Z</cp:lastPrinted>
  <dcterms:created xsi:type="dcterms:W3CDTF">2021-10-08T15:02:00Z</dcterms:created>
  <dcterms:modified xsi:type="dcterms:W3CDTF">2022-12-02T09:03:00Z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