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C68C" w14:textId="17B8F463" w:rsidR="6AEEFCD5" w:rsidRDefault="6AEEFCD5" w:rsidP="6AEEFCD5">
      <w:pPr>
        <w:spacing w:line="276" w:lineRule="auto"/>
        <w:jc w:val="both"/>
        <w:rPr>
          <w:rFonts w:ascii="Times New Roman" w:eastAsia="Times New Roman" w:hAnsi="Times New Roman" w:cs="Times New Roman"/>
          <w:b/>
          <w:bCs/>
          <w:color w:val="2E74B5" w:themeColor="accent5" w:themeShade="BF"/>
          <w:sz w:val="24"/>
          <w:szCs w:val="24"/>
        </w:rPr>
      </w:pPr>
    </w:p>
    <w:p w14:paraId="12E45572" w14:textId="09648FA5" w:rsidR="15B138FE" w:rsidRPr="000154FE" w:rsidRDefault="15B138FE" w:rsidP="6AEEFCD5">
      <w:pPr>
        <w:spacing w:line="276" w:lineRule="auto"/>
        <w:jc w:val="center"/>
        <w:rPr>
          <w:rFonts w:ascii="Times New Roman" w:eastAsia="Times New Roman" w:hAnsi="Times New Roman" w:cs="Times New Roman"/>
          <w:b/>
          <w:bCs/>
          <w:sz w:val="28"/>
          <w:szCs w:val="28"/>
          <w:lang w:val="fr-FR"/>
        </w:rPr>
      </w:pPr>
      <w:r w:rsidRPr="000154FE">
        <w:rPr>
          <w:rFonts w:ascii="Times New Roman" w:eastAsia="Times New Roman" w:hAnsi="Times New Roman" w:cs="Times New Roman"/>
          <w:b/>
          <w:bCs/>
          <w:sz w:val="28"/>
          <w:szCs w:val="28"/>
          <w:lang w:val="fr-FR"/>
        </w:rPr>
        <w:t xml:space="preserve">TERMES DE RÉFÉRENCE POUR L’ENGAGEMENT D’UN BUREAU DE CONSULTING POUR L’ADAPATATION D’OUTILS D’ACCOMPAGNEMENT DESTINES </w:t>
      </w:r>
      <w:r w:rsidR="398AF50A" w:rsidRPr="000154FE">
        <w:rPr>
          <w:rFonts w:ascii="Times New Roman" w:eastAsia="Times New Roman" w:hAnsi="Times New Roman" w:cs="Times New Roman"/>
          <w:b/>
          <w:bCs/>
          <w:sz w:val="28"/>
          <w:szCs w:val="28"/>
          <w:lang w:val="fr-FR"/>
        </w:rPr>
        <w:t>AUX STRUCTURES DE L’ECONOMIE SOCIALE ET SOLIDAIRE</w:t>
      </w:r>
    </w:p>
    <w:p w14:paraId="00D277EA" w14:textId="1A34490B" w:rsidR="15B138FE" w:rsidRPr="000154FE" w:rsidRDefault="15B138FE" w:rsidP="6AEEFCD5">
      <w:pPr>
        <w:spacing w:line="276" w:lineRule="auto"/>
        <w:jc w:val="center"/>
        <w:rPr>
          <w:lang w:val="fr-FR"/>
        </w:rPr>
      </w:pPr>
      <w:r w:rsidRPr="000154FE">
        <w:rPr>
          <w:rFonts w:ascii="Times New Roman" w:eastAsia="Times New Roman" w:hAnsi="Times New Roman" w:cs="Times New Roman"/>
          <w:sz w:val="28"/>
          <w:szCs w:val="28"/>
          <w:lang w:val="fr-FR"/>
        </w:rPr>
        <w:t xml:space="preserve"> </w:t>
      </w:r>
    </w:p>
    <w:tbl>
      <w:tblPr>
        <w:tblStyle w:val="TableGrid"/>
        <w:tblW w:w="0" w:type="auto"/>
        <w:tblLayout w:type="fixed"/>
        <w:tblLook w:val="01E0" w:firstRow="1" w:lastRow="1" w:firstColumn="1" w:lastColumn="1" w:noHBand="0" w:noVBand="0"/>
      </w:tblPr>
      <w:tblGrid>
        <w:gridCol w:w="1935"/>
        <w:gridCol w:w="7080"/>
      </w:tblGrid>
      <w:tr w:rsidR="6AEEFCD5" w14:paraId="120E9FB8" w14:textId="77777777" w:rsidTr="6AEEFCD5">
        <w:trPr>
          <w:trHeight w:val="450"/>
        </w:trPr>
        <w:tc>
          <w:tcPr>
            <w:tcW w:w="1935" w:type="dxa"/>
            <w:vMerge w:val="restart"/>
            <w:tcBorders>
              <w:top w:val="single" w:sz="8" w:space="0" w:color="auto"/>
              <w:left w:val="single" w:sz="8" w:space="0" w:color="auto"/>
              <w:bottom w:val="single" w:sz="8" w:space="0" w:color="auto"/>
              <w:right w:val="single" w:sz="8" w:space="0" w:color="auto"/>
            </w:tcBorders>
            <w:vAlign w:val="center"/>
          </w:tcPr>
          <w:p w14:paraId="061599E9" w14:textId="7A519AAA" w:rsidR="6AEEFCD5" w:rsidRDefault="6AEEFCD5" w:rsidP="6AEEFCD5">
            <w:pPr>
              <w:spacing w:line="276" w:lineRule="auto"/>
              <w:jc w:val="both"/>
            </w:pPr>
            <w:r w:rsidRPr="6AEEFCD5">
              <w:rPr>
                <w:rFonts w:ascii="Times New Roman" w:eastAsia="Times New Roman" w:hAnsi="Times New Roman" w:cs="Times New Roman"/>
                <w:b/>
                <w:bCs/>
                <w:sz w:val="24"/>
                <w:szCs w:val="24"/>
                <w:lang w:val="de-CH"/>
              </w:rPr>
              <w:t xml:space="preserve">Project </w:t>
            </w:r>
          </w:p>
        </w:tc>
        <w:tc>
          <w:tcPr>
            <w:tcW w:w="7080" w:type="dxa"/>
            <w:tcBorders>
              <w:top w:val="single" w:sz="8" w:space="0" w:color="auto"/>
              <w:left w:val="single" w:sz="8" w:space="0" w:color="auto"/>
              <w:bottom w:val="single" w:sz="8" w:space="0" w:color="auto"/>
              <w:right w:val="single" w:sz="8" w:space="0" w:color="auto"/>
            </w:tcBorders>
            <w:vAlign w:val="center"/>
          </w:tcPr>
          <w:p w14:paraId="017AC95A" w14:textId="385573D2" w:rsidR="6AEEFCD5" w:rsidRDefault="6AEEFCD5" w:rsidP="6AEEFCD5">
            <w:pPr>
              <w:spacing w:line="276" w:lineRule="auto"/>
              <w:jc w:val="both"/>
            </w:pPr>
            <w:r w:rsidRPr="6AEEFCD5">
              <w:rPr>
                <w:rFonts w:ascii="Times New Roman" w:eastAsia="Times New Roman" w:hAnsi="Times New Roman" w:cs="Times New Roman"/>
                <w:sz w:val="24"/>
                <w:szCs w:val="24"/>
              </w:rPr>
              <w:t>TUN/20/01/CAN (108014)</w:t>
            </w:r>
          </w:p>
        </w:tc>
      </w:tr>
      <w:tr w:rsidR="6AEEFCD5" w:rsidRPr="007B33D9" w14:paraId="1DB4932B" w14:textId="77777777" w:rsidTr="6AEEFCD5">
        <w:trPr>
          <w:trHeight w:val="165"/>
        </w:trPr>
        <w:tc>
          <w:tcPr>
            <w:tcW w:w="1935" w:type="dxa"/>
            <w:vMerge/>
            <w:tcBorders>
              <w:left w:val="single" w:sz="0" w:space="0" w:color="auto"/>
              <w:bottom w:val="single" w:sz="0" w:space="0" w:color="auto"/>
              <w:right w:val="single" w:sz="0" w:space="0" w:color="auto"/>
            </w:tcBorders>
            <w:vAlign w:val="center"/>
          </w:tcPr>
          <w:p w14:paraId="68D440C7" w14:textId="77777777" w:rsidR="00334BDB" w:rsidRDefault="00334BDB"/>
        </w:tc>
        <w:tc>
          <w:tcPr>
            <w:tcW w:w="7080" w:type="dxa"/>
            <w:tcBorders>
              <w:top w:val="single" w:sz="8" w:space="0" w:color="auto"/>
              <w:left w:val="nil"/>
              <w:bottom w:val="single" w:sz="8" w:space="0" w:color="auto"/>
              <w:right w:val="single" w:sz="8" w:space="0" w:color="auto"/>
            </w:tcBorders>
            <w:vAlign w:val="center"/>
          </w:tcPr>
          <w:p w14:paraId="68CBA8F2" w14:textId="54E177D5" w:rsidR="6AEEFCD5" w:rsidRPr="000154FE" w:rsidRDefault="6AEEFCD5" w:rsidP="6AEEFCD5">
            <w:pPr>
              <w:spacing w:line="276" w:lineRule="auto"/>
              <w:jc w:val="both"/>
              <w:rPr>
                <w:lang w:val="fr-FR"/>
              </w:rPr>
            </w:pPr>
            <w:r w:rsidRPr="6AEEFCD5">
              <w:rPr>
                <w:rFonts w:ascii="Times New Roman" w:eastAsia="Times New Roman" w:hAnsi="Times New Roman" w:cs="Times New Roman"/>
                <w:b/>
                <w:bCs/>
                <w:sz w:val="24"/>
                <w:szCs w:val="24"/>
                <w:lang w:val="de-CH"/>
              </w:rPr>
              <w:t>FORTERESS ; Renforcement de la résilience et de la promotion du travail décent des organisations féminines de l’économie sociale post COVID-19 en Tunisie</w:t>
            </w:r>
          </w:p>
        </w:tc>
      </w:tr>
      <w:tr w:rsidR="6AEEFCD5" w:rsidRPr="007B33D9" w14:paraId="367D6E74" w14:textId="77777777" w:rsidTr="6AEEFCD5">
        <w:trPr>
          <w:trHeight w:val="165"/>
        </w:trPr>
        <w:tc>
          <w:tcPr>
            <w:tcW w:w="1935" w:type="dxa"/>
            <w:tcBorders>
              <w:top w:val="nil"/>
              <w:left w:val="single" w:sz="8" w:space="0" w:color="auto"/>
              <w:bottom w:val="single" w:sz="8" w:space="0" w:color="auto"/>
              <w:right w:val="single" w:sz="8" w:space="0" w:color="auto"/>
            </w:tcBorders>
            <w:vAlign w:val="center"/>
          </w:tcPr>
          <w:p w14:paraId="302A2B94" w14:textId="2F80A836" w:rsidR="6AEEFCD5" w:rsidRDefault="6AEEFCD5" w:rsidP="6AEEFCD5">
            <w:pPr>
              <w:spacing w:line="276" w:lineRule="auto"/>
              <w:jc w:val="both"/>
            </w:pPr>
            <w:r w:rsidRPr="6AEEFCD5">
              <w:rPr>
                <w:rFonts w:ascii="Times New Roman" w:eastAsia="Times New Roman" w:hAnsi="Times New Roman" w:cs="Times New Roman"/>
                <w:b/>
                <w:bCs/>
                <w:sz w:val="24"/>
                <w:szCs w:val="24"/>
                <w:lang w:val="de-CH"/>
              </w:rPr>
              <w:t xml:space="preserve">Output </w:t>
            </w:r>
          </w:p>
        </w:tc>
        <w:tc>
          <w:tcPr>
            <w:tcW w:w="7080" w:type="dxa"/>
            <w:tcBorders>
              <w:top w:val="single" w:sz="8" w:space="0" w:color="auto"/>
              <w:left w:val="single" w:sz="8" w:space="0" w:color="auto"/>
              <w:bottom w:val="single" w:sz="8" w:space="0" w:color="auto"/>
              <w:right w:val="single" w:sz="8" w:space="0" w:color="auto"/>
            </w:tcBorders>
            <w:vAlign w:val="center"/>
          </w:tcPr>
          <w:p w14:paraId="368347CC" w14:textId="2802E490" w:rsidR="6AEEFCD5" w:rsidRPr="000154FE" w:rsidRDefault="6AEEFCD5" w:rsidP="6AEEFCD5">
            <w:pPr>
              <w:spacing w:line="276" w:lineRule="auto"/>
              <w:jc w:val="both"/>
              <w:rPr>
                <w:lang w:val="fr-FR"/>
              </w:rPr>
            </w:pPr>
            <w:r w:rsidRPr="6AEEFCD5">
              <w:rPr>
                <w:rFonts w:ascii="Times New Roman" w:eastAsia="Times New Roman" w:hAnsi="Times New Roman" w:cs="Times New Roman"/>
                <w:b/>
                <w:bCs/>
                <w:sz w:val="24"/>
                <w:szCs w:val="24"/>
                <w:lang w:val="de-CH"/>
              </w:rPr>
              <w:t xml:space="preserve">01.02 </w:t>
            </w:r>
            <w:r w:rsidRPr="6AEEFCD5">
              <w:rPr>
                <w:rFonts w:ascii="Times New Roman" w:eastAsia="Times New Roman" w:hAnsi="Times New Roman" w:cs="Times New Roman"/>
                <w:i/>
                <w:iCs/>
                <w:sz w:val="24"/>
                <w:szCs w:val="24"/>
                <w:lang w:val="de-CH"/>
              </w:rPr>
              <w:t>Développement des compétences managériales des organisations d’ESS féminines</w:t>
            </w:r>
          </w:p>
        </w:tc>
      </w:tr>
      <w:tr w:rsidR="6AEEFCD5" w:rsidRPr="007B33D9" w14:paraId="76B34DBB" w14:textId="77777777" w:rsidTr="6AEEFCD5">
        <w:trPr>
          <w:trHeight w:val="165"/>
        </w:trPr>
        <w:tc>
          <w:tcPr>
            <w:tcW w:w="1935" w:type="dxa"/>
            <w:tcBorders>
              <w:top w:val="single" w:sz="8" w:space="0" w:color="auto"/>
              <w:left w:val="single" w:sz="8" w:space="0" w:color="auto"/>
              <w:bottom w:val="single" w:sz="8" w:space="0" w:color="auto"/>
              <w:right w:val="single" w:sz="8" w:space="0" w:color="auto"/>
            </w:tcBorders>
            <w:vAlign w:val="center"/>
          </w:tcPr>
          <w:p w14:paraId="36287D0D" w14:textId="1A5E27E6" w:rsidR="6AEEFCD5" w:rsidRDefault="6AEEFCD5" w:rsidP="6AEEFCD5">
            <w:pPr>
              <w:spacing w:line="276" w:lineRule="auto"/>
              <w:jc w:val="both"/>
            </w:pPr>
            <w:r w:rsidRPr="6AEEFCD5">
              <w:rPr>
                <w:rFonts w:ascii="Times New Roman" w:eastAsia="Times New Roman" w:hAnsi="Times New Roman" w:cs="Times New Roman"/>
                <w:b/>
                <w:bCs/>
                <w:sz w:val="24"/>
                <w:szCs w:val="24"/>
                <w:lang w:val="de-CH"/>
              </w:rPr>
              <w:t>Activity</w:t>
            </w:r>
          </w:p>
        </w:tc>
        <w:tc>
          <w:tcPr>
            <w:tcW w:w="7080" w:type="dxa"/>
            <w:tcBorders>
              <w:top w:val="single" w:sz="8" w:space="0" w:color="auto"/>
              <w:left w:val="single" w:sz="8" w:space="0" w:color="auto"/>
              <w:bottom w:val="single" w:sz="8" w:space="0" w:color="auto"/>
              <w:right w:val="single" w:sz="8" w:space="0" w:color="auto"/>
            </w:tcBorders>
            <w:vAlign w:val="center"/>
          </w:tcPr>
          <w:p w14:paraId="0DCC40F4" w14:textId="6AA2A4D7" w:rsidR="6AEEFCD5" w:rsidRPr="000154FE" w:rsidRDefault="6AEEFCD5" w:rsidP="6AEEFCD5">
            <w:pPr>
              <w:spacing w:line="276" w:lineRule="auto"/>
              <w:jc w:val="both"/>
              <w:rPr>
                <w:lang w:val="fr-FR"/>
              </w:rPr>
            </w:pPr>
            <w:r w:rsidRPr="6AEEFCD5">
              <w:rPr>
                <w:rFonts w:ascii="Times New Roman" w:eastAsia="Times New Roman" w:hAnsi="Times New Roman" w:cs="Times New Roman"/>
                <w:b/>
                <w:bCs/>
                <w:i/>
                <w:iCs/>
                <w:sz w:val="24"/>
                <w:szCs w:val="24"/>
                <w:lang w:val="de-CH"/>
              </w:rPr>
              <w:t>01.02.01</w:t>
            </w:r>
            <w:r w:rsidRPr="6AEEFCD5">
              <w:rPr>
                <w:rFonts w:ascii="Times New Roman" w:eastAsia="Times New Roman" w:hAnsi="Times New Roman" w:cs="Times New Roman"/>
                <w:i/>
                <w:iCs/>
                <w:sz w:val="24"/>
                <w:szCs w:val="24"/>
                <w:lang w:val="de-CH"/>
              </w:rPr>
              <w:t xml:space="preserve"> Mettre en œuvre  des outils de management des organisations de l’ESS développés et les programme de formation</w:t>
            </w:r>
          </w:p>
        </w:tc>
      </w:tr>
    </w:tbl>
    <w:p w14:paraId="08C840F2" w14:textId="359588B1" w:rsidR="15B138FE" w:rsidRPr="000154FE" w:rsidRDefault="15B138FE" w:rsidP="6AEEFCD5">
      <w:pPr>
        <w:spacing w:line="276" w:lineRule="auto"/>
        <w:jc w:val="both"/>
        <w:rPr>
          <w:lang w:val="fr-FR"/>
        </w:rPr>
      </w:pPr>
      <w:r w:rsidRPr="000154FE">
        <w:rPr>
          <w:rFonts w:ascii="Times New Roman" w:eastAsia="Times New Roman" w:hAnsi="Times New Roman" w:cs="Times New Roman"/>
          <w:color w:val="FFFFFF" w:themeColor="background1"/>
          <w:sz w:val="24"/>
          <w:szCs w:val="24"/>
          <w:lang w:val="fr-FR"/>
        </w:rPr>
        <w:t xml:space="preserve"> </w:t>
      </w:r>
    </w:p>
    <w:p w14:paraId="0E0C6DD2" w14:textId="2951ED67"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w:t>
      </w:r>
    </w:p>
    <w:p w14:paraId="64DE925A" w14:textId="5EC91201"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 xml:space="preserve">Dans le cadre de son projet FORTER'ESS, le Bureau de l’OIT pour l’Algérie, la Libye, le Maroc, la Mauritanie, et la Tunisie basé, à Alger cherche à engager un bureau de formation professionnelle ou de deux </w:t>
      </w:r>
      <w:proofErr w:type="spellStart"/>
      <w:proofErr w:type="gramStart"/>
      <w:r w:rsidRPr="000154FE">
        <w:rPr>
          <w:rFonts w:ascii="Times New Roman" w:eastAsia="Times New Roman" w:hAnsi="Times New Roman" w:cs="Times New Roman"/>
          <w:sz w:val="24"/>
          <w:szCs w:val="24"/>
          <w:lang w:val="fr-FR"/>
        </w:rPr>
        <w:t>formateur.ice.s</w:t>
      </w:r>
      <w:proofErr w:type="spellEnd"/>
      <w:proofErr w:type="gramEnd"/>
      <w:r w:rsidRPr="000154FE">
        <w:rPr>
          <w:rFonts w:ascii="Times New Roman" w:eastAsia="Times New Roman" w:hAnsi="Times New Roman" w:cs="Times New Roman"/>
          <w:sz w:val="24"/>
          <w:szCs w:val="24"/>
          <w:lang w:val="fr-FR"/>
        </w:rPr>
        <w:t xml:space="preserve"> </w:t>
      </w:r>
      <w:proofErr w:type="spellStart"/>
      <w:r w:rsidRPr="000154FE">
        <w:rPr>
          <w:rFonts w:ascii="Times New Roman" w:eastAsia="Times New Roman" w:hAnsi="Times New Roman" w:cs="Times New Roman"/>
          <w:sz w:val="24"/>
          <w:szCs w:val="24"/>
          <w:lang w:val="fr-FR"/>
        </w:rPr>
        <w:t>specialisé.e.s</w:t>
      </w:r>
      <w:proofErr w:type="spellEnd"/>
      <w:r w:rsidRPr="000154FE">
        <w:rPr>
          <w:rFonts w:ascii="Times New Roman" w:eastAsia="Times New Roman" w:hAnsi="Times New Roman" w:cs="Times New Roman"/>
          <w:sz w:val="24"/>
          <w:szCs w:val="24"/>
          <w:lang w:val="fr-FR"/>
        </w:rPr>
        <w:t xml:space="preserve"> dans la gouvernance des organisations de l’économie sociale et solidaire, selon les termes de références ci-joint.</w:t>
      </w:r>
    </w:p>
    <w:p w14:paraId="168408B7" w14:textId="25F92BCE" w:rsidR="15B138FE" w:rsidRDefault="0030220F" w:rsidP="6AEEFCD5">
      <w:pPr>
        <w:pStyle w:val="ListParagraph"/>
        <w:numPr>
          <w:ilvl w:val="0"/>
          <w:numId w:val="2"/>
        </w:numPr>
        <w:spacing w:line="276" w:lineRule="auto"/>
        <w:rPr>
          <w:rFonts w:ascii="Calibri" w:eastAsia="Calibri" w:hAnsi="Calibri" w:cs="Calibri"/>
          <w:b/>
          <w:bCs/>
          <w:sz w:val="24"/>
          <w:szCs w:val="24"/>
          <w:u w:val="single"/>
          <w:lang w:val="en-US"/>
        </w:rPr>
      </w:pPr>
      <w:hyperlink r:id="rId5">
        <w:r w:rsidR="15B138FE" w:rsidRPr="007B33D9">
          <w:rPr>
            <w:b/>
            <w:bCs/>
            <w:sz w:val="24"/>
            <w:szCs w:val="24"/>
            <w:u w:val="single"/>
          </w:rPr>
          <w:t>CONTEXTE</w:t>
        </w:r>
      </w:hyperlink>
      <w:r w:rsidR="15B138FE" w:rsidRPr="007B33D9">
        <w:rPr>
          <w:rFonts w:ascii="Calibri" w:eastAsia="Calibri" w:hAnsi="Calibri" w:cs="Calibri"/>
          <w:b/>
          <w:bCs/>
          <w:sz w:val="24"/>
          <w:szCs w:val="24"/>
          <w:u w:val="single"/>
          <w:lang w:val="en-US"/>
        </w:rPr>
        <w:t xml:space="preserve"> DE L’A</w:t>
      </w:r>
      <w:r w:rsidR="15B138FE" w:rsidRPr="6AEEFCD5">
        <w:rPr>
          <w:rFonts w:ascii="Calibri" w:eastAsia="Calibri" w:hAnsi="Calibri" w:cs="Calibri"/>
          <w:b/>
          <w:bCs/>
          <w:sz w:val="24"/>
          <w:szCs w:val="24"/>
          <w:u w:val="single"/>
          <w:lang w:val="en-US"/>
        </w:rPr>
        <w:t>CTION:</w:t>
      </w:r>
    </w:p>
    <w:p w14:paraId="5E1DB857" w14:textId="48608EC8"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Le projet FORTER'ESS est le résultat d'un partenariat entre Affaires Mondiales Canada et l'Organisation internationale du Travail (OIT) qui œuvre en collaboration avec le gouvernement tunisien et les partenaires sociaux pour renforcer la résilience des organisations de l'économie sociale et solidaire (OESS) dirigées par des femmes et touchées par la crise de la COVID-19.</w:t>
      </w:r>
    </w:p>
    <w:p w14:paraId="69E8E0D4" w14:textId="3F50DAD7"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 xml:space="preserve">Ce projet de deux ans apportera un appui aux OESS dirigées par des femmes dans les gouvernorats de Béja, Jendouba et Le Kef. </w:t>
      </w:r>
    </w:p>
    <w:p w14:paraId="4B664063" w14:textId="466D7362"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 xml:space="preserve">Ce soutien se concentrera sur l'amélioration de la protection du lieu de travail et des conditions de travail des femmes entrepreneurs et des travailleuses des OESS afin de contrecarrer les impacts sociaux, économiques et sanitaires de la pandémie COVID-19. </w:t>
      </w:r>
    </w:p>
    <w:p w14:paraId="573E97F3" w14:textId="239FCD78"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lastRenderedPageBreak/>
        <w:t>FORTER'ESS contribuera également à l'établissement d'un écosystème d'économie sociale et solidaire (ESS) inclusif et équitable en Tunisie, qui encourage la participation accrue des femmes dans le secteur.</w:t>
      </w:r>
    </w:p>
    <w:p w14:paraId="47756A80" w14:textId="734375BC"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Plus concrètement, le projet bénéficiera directement à 200 femmes, travaillant avec 22 OESS dirigées par des femmes, dont la majorité ont moins de trois ans d’existence et n'ont pas encore atteint un stade de développement qui leur permet de résister aux conséquences économiques de la pandémie de COVID-19. En plus de fournir une formation en gestion et en leadership, FORTER'ESS travaillera avec chaque organisation participante pour concevoir des plans de résilience et de développement sur mesure qui visent à rendre ces entreprises plus durables et plus résistantes aux chocs externes telle que cette pandémie. Les OESS féminines sont dans la majorité installées dans les zones rurales et se composent essentiellement de groupements de développement agricole et de pêche (GDAP), de coopératives et de sociétés mutuelles de services agricoles (SMSA). Elles sont actives principalement dans l’agriculture, la première transformation des produits agricoles, les plantes aromatiques et médicinales, le tourisme alternatif ainsi que l’artisanat.</w:t>
      </w:r>
    </w:p>
    <w:p w14:paraId="1309E01B" w14:textId="6BAE81FE" w:rsidR="15B138FE" w:rsidRPr="000154FE" w:rsidRDefault="15B138FE" w:rsidP="6AEEFCD5">
      <w:pPr>
        <w:spacing w:line="276" w:lineRule="auto"/>
        <w:jc w:val="both"/>
        <w:rPr>
          <w:lang w:val="fr-FR"/>
        </w:rPr>
      </w:pPr>
      <w:r w:rsidRPr="000154FE">
        <w:rPr>
          <w:rFonts w:ascii="Times New Roman" w:eastAsia="Times New Roman" w:hAnsi="Times New Roman" w:cs="Times New Roman"/>
          <w:b/>
          <w:bCs/>
          <w:i/>
          <w:iCs/>
          <w:sz w:val="24"/>
          <w:szCs w:val="24"/>
          <w:lang w:val="fr-FR"/>
        </w:rPr>
        <w:t>Objectif général et objectifs spécifiques du projet :</w:t>
      </w:r>
    </w:p>
    <w:p w14:paraId="4AA9433A" w14:textId="3B7D5602"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L’objectif général du projet FORTER’ESS est d’accroitre la résilience des organisations féminines de l’économie sociale et solidaire dans deux régions défavorisées et d’accroitre leurs capacités de créer des emplois décents. Trois objectifs spécifiques contribueront à la réalisation de l’objectif général :</w:t>
      </w:r>
    </w:p>
    <w:p w14:paraId="3DDD9067" w14:textId="73D6E765" w:rsidR="15B138FE" w:rsidRPr="000154FE" w:rsidRDefault="15B138FE" w:rsidP="6AEEFCD5">
      <w:pPr>
        <w:spacing w:line="276" w:lineRule="auto"/>
        <w:jc w:val="both"/>
        <w:rPr>
          <w:lang w:val="fr-FR"/>
        </w:rPr>
      </w:pPr>
      <w:r w:rsidRPr="000154FE">
        <w:rPr>
          <w:rFonts w:ascii="Times New Roman" w:eastAsia="Times New Roman" w:hAnsi="Times New Roman" w:cs="Times New Roman"/>
          <w:b/>
          <w:bCs/>
          <w:sz w:val="24"/>
          <w:szCs w:val="24"/>
          <w:lang w:val="fr-FR"/>
        </w:rPr>
        <w:t>Objectif spécifique 1</w:t>
      </w:r>
      <w:r w:rsidRPr="000154FE">
        <w:rPr>
          <w:rFonts w:ascii="Times New Roman" w:eastAsia="Times New Roman" w:hAnsi="Times New Roman" w:cs="Times New Roman"/>
          <w:sz w:val="24"/>
          <w:szCs w:val="24"/>
          <w:lang w:val="fr-FR"/>
        </w:rPr>
        <w:t xml:space="preserve"> : Les organisations féminines de l’ESS sont consolidées au niveau de trois gouvernorats</w:t>
      </w:r>
    </w:p>
    <w:p w14:paraId="47F68853" w14:textId="7A480EAA" w:rsidR="15B138FE" w:rsidRPr="000154FE" w:rsidRDefault="15B138FE" w:rsidP="6AEEFCD5">
      <w:pPr>
        <w:spacing w:line="276" w:lineRule="auto"/>
        <w:jc w:val="both"/>
        <w:rPr>
          <w:lang w:val="fr-FR"/>
        </w:rPr>
      </w:pPr>
      <w:r w:rsidRPr="000154FE">
        <w:rPr>
          <w:rFonts w:ascii="Times New Roman" w:eastAsia="Times New Roman" w:hAnsi="Times New Roman" w:cs="Times New Roman"/>
          <w:b/>
          <w:bCs/>
          <w:sz w:val="24"/>
          <w:szCs w:val="24"/>
          <w:lang w:val="fr-FR"/>
        </w:rPr>
        <w:t>Objectif spécifique 2</w:t>
      </w:r>
      <w:r w:rsidRPr="000154FE">
        <w:rPr>
          <w:rFonts w:ascii="Times New Roman" w:eastAsia="Times New Roman" w:hAnsi="Times New Roman" w:cs="Times New Roman"/>
          <w:sz w:val="24"/>
          <w:szCs w:val="24"/>
          <w:lang w:val="fr-FR"/>
        </w:rPr>
        <w:t xml:space="preserve"> : La protection sur le lieu de travail et les conditions de travail des femmes entrepreneures et des travailleuses dans les organisations féminines de l’ESS sont améliorées dans deux régions défavorisées</w:t>
      </w:r>
    </w:p>
    <w:p w14:paraId="0F5E5AD1" w14:textId="6D690790" w:rsidR="15B138FE" w:rsidRPr="000154FE" w:rsidRDefault="15B138FE" w:rsidP="6AEEFCD5">
      <w:pPr>
        <w:spacing w:line="276" w:lineRule="auto"/>
        <w:jc w:val="both"/>
        <w:rPr>
          <w:lang w:val="fr-FR"/>
        </w:rPr>
      </w:pPr>
      <w:r w:rsidRPr="000154FE">
        <w:rPr>
          <w:rFonts w:ascii="Times New Roman" w:eastAsia="Times New Roman" w:hAnsi="Times New Roman" w:cs="Times New Roman"/>
          <w:b/>
          <w:bCs/>
          <w:sz w:val="24"/>
          <w:szCs w:val="24"/>
          <w:lang w:val="fr-FR"/>
        </w:rPr>
        <w:t>Objectif spécifique 3</w:t>
      </w:r>
      <w:r w:rsidRPr="000154FE">
        <w:rPr>
          <w:rFonts w:ascii="Times New Roman" w:eastAsia="Times New Roman" w:hAnsi="Times New Roman" w:cs="Times New Roman"/>
          <w:sz w:val="24"/>
          <w:szCs w:val="24"/>
          <w:lang w:val="fr-FR"/>
        </w:rPr>
        <w:t xml:space="preserve"> : Les organisations de l’ESS bénéficient d’un écosystème inclusif, équitable et favorable</w:t>
      </w:r>
    </w:p>
    <w:p w14:paraId="3DF4211F" w14:textId="19CBC79D" w:rsidR="15B138FE" w:rsidRPr="000154FE" w:rsidRDefault="15B138FE" w:rsidP="6AEEFCD5">
      <w:pPr>
        <w:pStyle w:val="ListParagraph"/>
        <w:numPr>
          <w:ilvl w:val="0"/>
          <w:numId w:val="2"/>
        </w:numPr>
        <w:spacing w:line="276" w:lineRule="auto"/>
        <w:rPr>
          <w:rFonts w:ascii="Calibri" w:eastAsia="Calibri" w:hAnsi="Calibri" w:cs="Calibri"/>
          <w:b/>
          <w:bCs/>
          <w:sz w:val="24"/>
          <w:szCs w:val="24"/>
          <w:u w:val="single"/>
          <w:lang w:val="fr-FR"/>
        </w:rPr>
      </w:pPr>
      <w:r w:rsidRPr="000154FE">
        <w:rPr>
          <w:rFonts w:ascii="Calibri" w:eastAsia="Calibri" w:hAnsi="Calibri" w:cs="Calibri"/>
          <w:b/>
          <w:bCs/>
          <w:sz w:val="24"/>
          <w:szCs w:val="24"/>
          <w:u w:val="single"/>
          <w:lang w:val="fr-FR"/>
        </w:rPr>
        <w:t>OBJECTIFS DE LA MISSION ET RESULTATS ATTENDUS :</w:t>
      </w:r>
    </w:p>
    <w:p w14:paraId="59830C94" w14:textId="4799D28B" w:rsidR="75F6A662" w:rsidRPr="000154FE" w:rsidRDefault="15B138FE" w:rsidP="6AEEFCD5">
      <w:pPr>
        <w:spacing w:line="276" w:lineRule="auto"/>
        <w:jc w:val="both"/>
        <w:rPr>
          <w:rFonts w:ascii="Times New Roman" w:eastAsia="Times New Roman" w:hAnsi="Times New Roman" w:cs="Times New Roman"/>
          <w:sz w:val="24"/>
          <w:szCs w:val="24"/>
          <w:lang w:val="fr-FR"/>
        </w:rPr>
      </w:pPr>
      <w:r w:rsidRPr="000154FE">
        <w:rPr>
          <w:rFonts w:ascii="Times New Roman" w:eastAsia="Times New Roman" w:hAnsi="Times New Roman" w:cs="Times New Roman"/>
          <w:sz w:val="24"/>
          <w:szCs w:val="24"/>
          <w:lang w:val="fr-FR"/>
        </w:rPr>
        <w:t xml:space="preserve">Le projet FORTER’ESS recherche un </w:t>
      </w:r>
      <w:r w:rsidR="75F6A662" w:rsidRPr="000154FE">
        <w:rPr>
          <w:rFonts w:ascii="Times New Roman" w:eastAsia="Times New Roman" w:hAnsi="Times New Roman" w:cs="Times New Roman"/>
          <w:sz w:val="24"/>
          <w:szCs w:val="24"/>
          <w:lang w:val="fr-FR"/>
        </w:rPr>
        <w:t>cabinet de consulting pour l’adaptation</w:t>
      </w:r>
      <w:r w:rsidR="000154FE">
        <w:rPr>
          <w:rFonts w:ascii="Times New Roman" w:eastAsia="Times New Roman" w:hAnsi="Times New Roman" w:cs="Times New Roman"/>
          <w:sz w:val="24"/>
          <w:szCs w:val="24"/>
          <w:lang w:val="fr-FR"/>
        </w:rPr>
        <w:t xml:space="preserve"> d</w:t>
      </w:r>
      <w:r w:rsidR="75F6A662" w:rsidRPr="000154FE">
        <w:rPr>
          <w:rFonts w:ascii="Times New Roman" w:eastAsia="Times New Roman" w:hAnsi="Times New Roman" w:cs="Times New Roman"/>
          <w:sz w:val="24"/>
          <w:szCs w:val="24"/>
          <w:lang w:val="fr-FR"/>
        </w:rPr>
        <w:t xml:space="preserve">'outils d’accompagnement destinés aux structures de l’économie sociale et solidaire.  </w:t>
      </w:r>
    </w:p>
    <w:p w14:paraId="000EF1FA" w14:textId="36FEBB70" w:rsidR="1DAC06B7" w:rsidRPr="000154FE" w:rsidRDefault="1DAC06B7" w:rsidP="6AEEFCD5">
      <w:pPr>
        <w:spacing w:line="276" w:lineRule="auto"/>
        <w:jc w:val="both"/>
        <w:rPr>
          <w:rFonts w:ascii="Times New Roman" w:eastAsia="Times New Roman" w:hAnsi="Times New Roman" w:cs="Times New Roman"/>
          <w:sz w:val="24"/>
          <w:szCs w:val="24"/>
          <w:lang w:val="fr-FR"/>
        </w:rPr>
      </w:pPr>
      <w:r w:rsidRPr="000154FE">
        <w:rPr>
          <w:rFonts w:ascii="Times New Roman" w:eastAsia="Times New Roman" w:hAnsi="Times New Roman" w:cs="Times New Roman"/>
          <w:sz w:val="24"/>
          <w:szCs w:val="24"/>
          <w:lang w:val="fr-FR"/>
        </w:rPr>
        <w:t>Les outils ‘</w:t>
      </w:r>
      <w:proofErr w:type="spellStart"/>
      <w:r w:rsidRPr="000154FE">
        <w:rPr>
          <w:rFonts w:ascii="Times New Roman" w:eastAsia="Times New Roman" w:hAnsi="Times New Roman" w:cs="Times New Roman"/>
          <w:sz w:val="24"/>
          <w:szCs w:val="24"/>
          <w:lang w:val="fr-FR"/>
        </w:rPr>
        <w:t>thnik</w:t>
      </w:r>
      <w:proofErr w:type="spellEnd"/>
      <w:r w:rsidRPr="000154FE">
        <w:rPr>
          <w:rFonts w:ascii="Times New Roman" w:eastAsia="Times New Roman" w:hAnsi="Times New Roman" w:cs="Times New Roman"/>
          <w:sz w:val="24"/>
          <w:szCs w:val="24"/>
          <w:lang w:val="fr-FR"/>
        </w:rPr>
        <w:t xml:space="preserve"> coop’ et ‘start coop’ </w:t>
      </w:r>
      <w:r w:rsidR="000154FE">
        <w:rPr>
          <w:rFonts w:ascii="Times New Roman" w:eastAsia="Times New Roman" w:hAnsi="Times New Roman" w:cs="Times New Roman"/>
          <w:sz w:val="24"/>
          <w:szCs w:val="24"/>
          <w:lang w:val="fr-FR"/>
        </w:rPr>
        <w:t xml:space="preserve">sont </w:t>
      </w:r>
      <w:r w:rsidRPr="000154FE">
        <w:rPr>
          <w:rFonts w:ascii="Times New Roman" w:eastAsia="Times New Roman" w:hAnsi="Times New Roman" w:cs="Times New Roman"/>
          <w:sz w:val="24"/>
          <w:szCs w:val="24"/>
          <w:lang w:val="fr-FR"/>
        </w:rPr>
        <w:t>des outils internes de l’</w:t>
      </w:r>
      <w:r w:rsidR="000154FE">
        <w:rPr>
          <w:rFonts w:ascii="Times New Roman" w:eastAsia="Times New Roman" w:hAnsi="Times New Roman" w:cs="Times New Roman"/>
          <w:sz w:val="24"/>
          <w:szCs w:val="24"/>
          <w:lang w:val="fr-FR"/>
        </w:rPr>
        <w:t>O</w:t>
      </w:r>
      <w:r w:rsidRPr="000154FE">
        <w:rPr>
          <w:rFonts w:ascii="Times New Roman" w:eastAsia="Times New Roman" w:hAnsi="Times New Roman" w:cs="Times New Roman"/>
          <w:sz w:val="24"/>
          <w:szCs w:val="24"/>
          <w:lang w:val="fr-FR"/>
        </w:rPr>
        <w:t xml:space="preserve">rganisation </w:t>
      </w:r>
      <w:r w:rsidR="000154FE">
        <w:rPr>
          <w:rFonts w:ascii="Times New Roman" w:eastAsia="Times New Roman" w:hAnsi="Times New Roman" w:cs="Times New Roman"/>
          <w:sz w:val="24"/>
          <w:szCs w:val="24"/>
          <w:lang w:val="fr-FR"/>
        </w:rPr>
        <w:t>I</w:t>
      </w:r>
      <w:r w:rsidRPr="000154FE">
        <w:rPr>
          <w:rFonts w:ascii="Times New Roman" w:eastAsia="Times New Roman" w:hAnsi="Times New Roman" w:cs="Times New Roman"/>
          <w:sz w:val="24"/>
          <w:szCs w:val="24"/>
          <w:lang w:val="fr-FR"/>
        </w:rPr>
        <w:t xml:space="preserve">nternationale du </w:t>
      </w:r>
      <w:r w:rsidR="000154FE">
        <w:rPr>
          <w:rFonts w:ascii="Times New Roman" w:eastAsia="Times New Roman" w:hAnsi="Times New Roman" w:cs="Times New Roman"/>
          <w:sz w:val="24"/>
          <w:szCs w:val="24"/>
          <w:lang w:val="fr-FR"/>
        </w:rPr>
        <w:t>T</w:t>
      </w:r>
      <w:r w:rsidRPr="000154FE">
        <w:rPr>
          <w:rFonts w:ascii="Times New Roman" w:eastAsia="Times New Roman" w:hAnsi="Times New Roman" w:cs="Times New Roman"/>
          <w:sz w:val="24"/>
          <w:szCs w:val="24"/>
          <w:lang w:val="fr-FR"/>
        </w:rPr>
        <w:t>ravail dédiés à l’accompagnement des porteurs de projets a</w:t>
      </w:r>
      <w:r w:rsidR="000154FE">
        <w:rPr>
          <w:rFonts w:ascii="Times New Roman" w:eastAsia="Times New Roman" w:hAnsi="Times New Roman" w:cs="Times New Roman"/>
          <w:sz w:val="24"/>
          <w:szCs w:val="24"/>
          <w:lang w:val="fr-FR"/>
        </w:rPr>
        <w:t>vec</w:t>
      </w:r>
      <w:r w:rsidRPr="000154FE">
        <w:rPr>
          <w:rFonts w:ascii="Times New Roman" w:eastAsia="Times New Roman" w:hAnsi="Times New Roman" w:cs="Times New Roman"/>
          <w:sz w:val="24"/>
          <w:szCs w:val="24"/>
          <w:lang w:val="fr-FR"/>
        </w:rPr>
        <w:t xml:space="preserve"> des </w:t>
      </w:r>
      <w:r w:rsidR="000154FE" w:rsidRPr="000154FE">
        <w:rPr>
          <w:rFonts w:ascii="Times New Roman" w:eastAsia="Times New Roman" w:hAnsi="Times New Roman" w:cs="Times New Roman"/>
          <w:sz w:val="24"/>
          <w:szCs w:val="24"/>
          <w:lang w:val="fr-FR"/>
        </w:rPr>
        <w:t>initiatives</w:t>
      </w:r>
      <w:r w:rsidRPr="000154FE">
        <w:rPr>
          <w:rFonts w:ascii="Times New Roman" w:eastAsia="Times New Roman" w:hAnsi="Times New Roman" w:cs="Times New Roman"/>
          <w:sz w:val="24"/>
          <w:szCs w:val="24"/>
          <w:lang w:val="fr-FR"/>
        </w:rPr>
        <w:t xml:space="preserve"> collectives </w:t>
      </w:r>
      <w:r w:rsidR="000154FE">
        <w:rPr>
          <w:rFonts w:ascii="Times New Roman" w:eastAsia="Times New Roman" w:hAnsi="Times New Roman" w:cs="Times New Roman"/>
          <w:sz w:val="24"/>
          <w:szCs w:val="24"/>
          <w:lang w:val="fr-FR"/>
        </w:rPr>
        <w:t>et s’organisant notamment en</w:t>
      </w:r>
      <w:r w:rsidRPr="000154FE">
        <w:rPr>
          <w:rFonts w:ascii="Times New Roman" w:eastAsia="Times New Roman" w:hAnsi="Times New Roman" w:cs="Times New Roman"/>
          <w:sz w:val="24"/>
          <w:szCs w:val="24"/>
          <w:lang w:val="fr-FR"/>
        </w:rPr>
        <w:t xml:space="preserve"> c</w:t>
      </w:r>
      <w:r w:rsidR="4D5FF4BF" w:rsidRPr="000154FE">
        <w:rPr>
          <w:rFonts w:ascii="Times New Roman" w:eastAsia="Times New Roman" w:hAnsi="Times New Roman" w:cs="Times New Roman"/>
          <w:sz w:val="24"/>
          <w:szCs w:val="24"/>
          <w:lang w:val="fr-FR"/>
        </w:rPr>
        <w:t>oopératives.</w:t>
      </w:r>
    </w:p>
    <w:p w14:paraId="64B6E36B" w14:textId="5FCE637F" w:rsidR="4D5FF4BF" w:rsidRPr="000154FE" w:rsidRDefault="4D5FF4BF" w:rsidP="6AEEFCD5">
      <w:pPr>
        <w:spacing w:line="276" w:lineRule="auto"/>
        <w:jc w:val="both"/>
        <w:rPr>
          <w:rFonts w:ascii="Times New Roman" w:eastAsia="Times New Roman" w:hAnsi="Times New Roman" w:cs="Times New Roman"/>
          <w:sz w:val="24"/>
          <w:szCs w:val="24"/>
          <w:lang w:val="fr-FR"/>
        </w:rPr>
      </w:pPr>
      <w:r w:rsidRPr="000154FE">
        <w:rPr>
          <w:rFonts w:ascii="Times New Roman" w:eastAsia="Times New Roman" w:hAnsi="Times New Roman" w:cs="Times New Roman"/>
          <w:sz w:val="24"/>
          <w:szCs w:val="24"/>
          <w:lang w:val="fr-FR"/>
        </w:rPr>
        <w:t>Le cabinet de consulting est appelé à :</w:t>
      </w:r>
    </w:p>
    <w:p w14:paraId="67FCEA0B" w14:textId="05194901" w:rsidR="6AEEFCD5" w:rsidRPr="000154FE" w:rsidRDefault="4D5FF4BF" w:rsidP="6AEEFCD5">
      <w:pPr>
        <w:spacing w:line="276" w:lineRule="auto"/>
        <w:jc w:val="both"/>
        <w:rPr>
          <w:rFonts w:ascii="Times New Roman" w:eastAsia="Times New Roman" w:hAnsi="Times New Roman" w:cs="Times New Roman"/>
          <w:sz w:val="24"/>
          <w:szCs w:val="24"/>
          <w:lang w:val="fr-FR"/>
        </w:rPr>
      </w:pPr>
      <w:r w:rsidRPr="000154FE">
        <w:rPr>
          <w:rFonts w:ascii="Times New Roman" w:eastAsia="Times New Roman" w:hAnsi="Times New Roman" w:cs="Times New Roman"/>
          <w:sz w:val="24"/>
          <w:szCs w:val="24"/>
          <w:lang w:val="fr-FR"/>
        </w:rPr>
        <w:t>-</w:t>
      </w:r>
      <w:r w:rsidR="000154FE" w:rsidRPr="000154FE">
        <w:rPr>
          <w:rFonts w:ascii="Times New Roman" w:eastAsia="Times New Roman" w:hAnsi="Times New Roman" w:cs="Times New Roman"/>
          <w:sz w:val="24"/>
          <w:szCs w:val="24"/>
          <w:lang w:val="fr-FR"/>
        </w:rPr>
        <w:t>Adapter</w:t>
      </w:r>
      <w:r w:rsidRPr="000154FE">
        <w:rPr>
          <w:rFonts w:ascii="Times New Roman" w:eastAsia="Times New Roman" w:hAnsi="Times New Roman" w:cs="Times New Roman"/>
          <w:sz w:val="24"/>
          <w:szCs w:val="24"/>
          <w:lang w:val="fr-FR"/>
        </w:rPr>
        <w:t xml:space="preserve"> les outils </w:t>
      </w:r>
      <w:r w:rsidR="58069973" w:rsidRPr="000154FE">
        <w:rPr>
          <w:rFonts w:ascii="Times New Roman" w:eastAsia="Times New Roman" w:hAnsi="Times New Roman" w:cs="Times New Roman"/>
          <w:sz w:val="24"/>
          <w:szCs w:val="24"/>
          <w:lang w:val="fr-FR"/>
        </w:rPr>
        <w:t xml:space="preserve">d’accompagnement </w:t>
      </w:r>
      <w:r w:rsidR="691E18B0" w:rsidRPr="000154FE">
        <w:rPr>
          <w:rFonts w:ascii="Times New Roman" w:eastAsia="Times New Roman" w:hAnsi="Times New Roman" w:cs="Times New Roman"/>
          <w:sz w:val="24"/>
          <w:szCs w:val="24"/>
          <w:lang w:val="fr-FR"/>
        </w:rPr>
        <w:t>au contexte tunisien et aux spécificités de l’</w:t>
      </w:r>
      <w:r w:rsidR="000154FE" w:rsidRPr="000154FE">
        <w:rPr>
          <w:rFonts w:ascii="Times New Roman" w:eastAsia="Times New Roman" w:hAnsi="Times New Roman" w:cs="Times New Roman"/>
          <w:sz w:val="24"/>
          <w:szCs w:val="24"/>
          <w:lang w:val="fr-FR"/>
        </w:rPr>
        <w:t>écosystème</w:t>
      </w:r>
      <w:r w:rsidR="691E18B0" w:rsidRPr="000154FE">
        <w:rPr>
          <w:rFonts w:ascii="Times New Roman" w:eastAsia="Times New Roman" w:hAnsi="Times New Roman" w:cs="Times New Roman"/>
          <w:sz w:val="24"/>
          <w:szCs w:val="24"/>
          <w:lang w:val="fr-FR"/>
        </w:rPr>
        <w:t xml:space="preserve"> de l’économie </w:t>
      </w:r>
      <w:r w:rsidR="00AEDA17" w:rsidRPr="000154FE">
        <w:rPr>
          <w:rFonts w:ascii="Times New Roman" w:eastAsia="Times New Roman" w:hAnsi="Times New Roman" w:cs="Times New Roman"/>
          <w:sz w:val="24"/>
          <w:szCs w:val="24"/>
          <w:lang w:val="fr-FR"/>
        </w:rPr>
        <w:t xml:space="preserve">sociale et solidaire en Tunisie. Cette adaptation </w:t>
      </w:r>
      <w:r w:rsidR="6C4A4755" w:rsidRPr="000154FE">
        <w:rPr>
          <w:rFonts w:ascii="Times New Roman" w:eastAsia="Times New Roman" w:hAnsi="Times New Roman" w:cs="Times New Roman"/>
          <w:sz w:val="24"/>
          <w:szCs w:val="24"/>
          <w:lang w:val="fr-FR"/>
        </w:rPr>
        <w:t>implique une présentation du cadre juridique de l’ESS</w:t>
      </w:r>
      <w:r w:rsidR="45BA55AC" w:rsidRPr="000154FE">
        <w:rPr>
          <w:rFonts w:ascii="Times New Roman" w:eastAsia="Times New Roman" w:hAnsi="Times New Roman" w:cs="Times New Roman"/>
          <w:sz w:val="24"/>
          <w:szCs w:val="24"/>
          <w:lang w:val="fr-FR"/>
        </w:rPr>
        <w:t>, les formes juridiques disponibles</w:t>
      </w:r>
      <w:r w:rsidR="000154FE">
        <w:rPr>
          <w:rFonts w:ascii="Times New Roman" w:eastAsia="Times New Roman" w:hAnsi="Times New Roman" w:cs="Times New Roman"/>
          <w:sz w:val="24"/>
          <w:szCs w:val="24"/>
          <w:lang w:val="fr-FR"/>
        </w:rPr>
        <w:t xml:space="preserve"> tout</w:t>
      </w:r>
      <w:r w:rsidR="45BA55AC" w:rsidRPr="000154FE">
        <w:rPr>
          <w:rFonts w:ascii="Times New Roman" w:eastAsia="Times New Roman" w:hAnsi="Times New Roman" w:cs="Times New Roman"/>
          <w:sz w:val="24"/>
          <w:szCs w:val="24"/>
          <w:lang w:val="fr-FR"/>
        </w:rPr>
        <w:t xml:space="preserve"> </w:t>
      </w:r>
      <w:r w:rsidR="3636F347" w:rsidRPr="000154FE">
        <w:rPr>
          <w:rFonts w:ascii="Times New Roman" w:eastAsia="Times New Roman" w:hAnsi="Times New Roman" w:cs="Times New Roman"/>
          <w:sz w:val="24"/>
          <w:szCs w:val="24"/>
          <w:lang w:val="fr-FR"/>
        </w:rPr>
        <w:t xml:space="preserve">en sensibilisant aux </w:t>
      </w:r>
      <w:r w:rsidR="000154FE" w:rsidRPr="000154FE">
        <w:rPr>
          <w:rFonts w:ascii="Times New Roman" w:eastAsia="Times New Roman" w:hAnsi="Times New Roman" w:cs="Times New Roman"/>
          <w:sz w:val="24"/>
          <w:szCs w:val="24"/>
          <w:lang w:val="fr-FR"/>
        </w:rPr>
        <w:t>valeurs du</w:t>
      </w:r>
      <w:r w:rsidR="3636F347" w:rsidRPr="000154FE">
        <w:rPr>
          <w:rFonts w:ascii="Times New Roman" w:eastAsia="Times New Roman" w:hAnsi="Times New Roman" w:cs="Times New Roman"/>
          <w:sz w:val="24"/>
          <w:szCs w:val="24"/>
          <w:lang w:val="fr-FR"/>
        </w:rPr>
        <w:t xml:space="preserve"> secteur</w:t>
      </w:r>
      <w:r w:rsidR="000154FE">
        <w:rPr>
          <w:rFonts w:ascii="Times New Roman" w:eastAsia="Times New Roman" w:hAnsi="Times New Roman" w:cs="Times New Roman"/>
          <w:sz w:val="24"/>
          <w:szCs w:val="24"/>
          <w:lang w:val="fr-FR"/>
        </w:rPr>
        <w:t>.</w:t>
      </w:r>
    </w:p>
    <w:p w14:paraId="64B35D4B" w14:textId="3832CF53" w:rsidR="15B138FE" w:rsidRPr="000154FE" w:rsidRDefault="15B138FE" w:rsidP="6AEEFCD5">
      <w:pPr>
        <w:pStyle w:val="ListParagraph"/>
        <w:numPr>
          <w:ilvl w:val="0"/>
          <w:numId w:val="2"/>
        </w:numPr>
        <w:spacing w:line="276" w:lineRule="auto"/>
        <w:jc w:val="both"/>
        <w:rPr>
          <w:rFonts w:ascii="Calibri" w:eastAsia="Calibri" w:hAnsi="Calibri" w:cs="Calibri"/>
          <w:b/>
          <w:bCs/>
          <w:sz w:val="24"/>
          <w:szCs w:val="24"/>
          <w:u w:val="single"/>
          <w:lang w:val="fr-FR"/>
        </w:rPr>
      </w:pPr>
      <w:r w:rsidRPr="000154FE">
        <w:rPr>
          <w:rFonts w:ascii="Calibri" w:eastAsia="Calibri" w:hAnsi="Calibri" w:cs="Calibri"/>
          <w:b/>
          <w:bCs/>
          <w:sz w:val="24"/>
          <w:szCs w:val="24"/>
          <w:u w:val="single"/>
          <w:lang w:val="fr-FR"/>
        </w:rPr>
        <w:t>DUREE ET LIEU DE LA MISSION :</w:t>
      </w:r>
    </w:p>
    <w:p w14:paraId="2DBC5736" w14:textId="36124C08" w:rsidR="41F6D77D" w:rsidRPr="000154FE" w:rsidRDefault="11F6D5FE" w:rsidP="41F6D77D">
      <w:pPr>
        <w:spacing w:line="276" w:lineRule="auto"/>
        <w:jc w:val="both"/>
        <w:rPr>
          <w:lang w:val="fr-FR"/>
        </w:rPr>
      </w:pPr>
      <w:r w:rsidRPr="000154FE">
        <w:rPr>
          <w:rFonts w:ascii="Times New Roman" w:eastAsia="Times New Roman" w:hAnsi="Times New Roman" w:cs="Times New Roman"/>
          <w:sz w:val="24"/>
          <w:szCs w:val="24"/>
          <w:lang w:val="fr-FR"/>
        </w:rPr>
        <w:t>L</w:t>
      </w:r>
      <w:r w:rsidR="5B7B4D69" w:rsidRPr="000154FE">
        <w:rPr>
          <w:rFonts w:ascii="Times New Roman" w:eastAsia="Times New Roman" w:hAnsi="Times New Roman" w:cs="Times New Roman"/>
          <w:sz w:val="24"/>
          <w:szCs w:val="24"/>
          <w:lang w:val="fr-FR"/>
        </w:rPr>
        <w:t>e</w:t>
      </w:r>
      <w:r w:rsidRPr="000154FE">
        <w:rPr>
          <w:rFonts w:ascii="Times New Roman" w:eastAsia="Times New Roman" w:hAnsi="Times New Roman" w:cs="Times New Roman"/>
          <w:sz w:val="24"/>
          <w:szCs w:val="24"/>
          <w:lang w:val="fr-FR"/>
        </w:rPr>
        <w:t xml:space="preserve"> cabinet de consulting est</w:t>
      </w:r>
      <w:r w:rsidR="15B138FE" w:rsidRPr="000154FE">
        <w:rPr>
          <w:rFonts w:ascii="Times New Roman" w:eastAsia="Times New Roman" w:hAnsi="Times New Roman" w:cs="Times New Roman"/>
          <w:sz w:val="24"/>
          <w:szCs w:val="24"/>
          <w:lang w:val="fr-FR"/>
        </w:rPr>
        <w:t xml:space="preserve"> appelé à consacrer </w:t>
      </w:r>
      <w:r w:rsidR="6930C475" w:rsidRPr="000154FE">
        <w:rPr>
          <w:rFonts w:ascii="Times New Roman" w:eastAsia="Times New Roman" w:hAnsi="Times New Roman" w:cs="Times New Roman"/>
          <w:b/>
          <w:bCs/>
          <w:sz w:val="24"/>
          <w:szCs w:val="24"/>
          <w:lang w:val="fr-FR"/>
        </w:rPr>
        <w:t>25</w:t>
      </w:r>
      <w:r w:rsidR="6930C475" w:rsidRPr="000154FE">
        <w:rPr>
          <w:rFonts w:ascii="Times New Roman" w:eastAsia="Times New Roman" w:hAnsi="Times New Roman" w:cs="Times New Roman"/>
          <w:sz w:val="24"/>
          <w:szCs w:val="24"/>
          <w:lang w:val="fr-FR"/>
        </w:rPr>
        <w:t xml:space="preserve"> </w:t>
      </w:r>
      <w:r w:rsidR="15B138FE" w:rsidRPr="000154FE">
        <w:rPr>
          <w:rFonts w:ascii="Times New Roman" w:eastAsia="Times New Roman" w:hAnsi="Times New Roman" w:cs="Times New Roman"/>
          <w:b/>
          <w:bCs/>
          <w:sz w:val="24"/>
          <w:szCs w:val="24"/>
          <w:lang w:val="fr-FR"/>
        </w:rPr>
        <w:t>H/J</w:t>
      </w:r>
      <w:r w:rsidR="15B138FE" w:rsidRPr="000154FE">
        <w:rPr>
          <w:rFonts w:ascii="Times New Roman" w:eastAsia="Times New Roman" w:hAnsi="Times New Roman" w:cs="Times New Roman"/>
          <w:sz w:val="24"/>
          <w:szCs w:val="24"/>
          <w:lang w:val="fr-FR"/>
        </w:rPr>
        <w:t xml:space="preserve"> pour la réalisation de la mission </w:t>
      </w:r>
      <w:r w:rsidR="15B138FE" w:rsidRPr="000154FE">
        <w:rPr>
          <w:rFonts w:ascii="Times New Roman" w:eastAsia="Times New Roman" w:hAnsi="Times New Roman" w:cs="Times New Roman"/>
          <w:lang w:val="fr-FR"/>
        </w:rPr>
        <w:t>étalés</w:t>
      </w:r>
      <w:r w:rsidR="15B138FE" w:rsidRPr="000154FE">
        <w:rPr>
          <w:rFonts w:ascii="Times New Roman" w:eastAsia="Times New Roman" w:hAnsi="Times New Roman" w:cs="Times New Roman"/>
          <w:sz w:val="24"/>
          <w:szCs w:val="24"/>
          <w:lang w:val="fr-FR"/>
        </w:rPr>
        <w:t xml:space="preserve"> sur </w:t>
      </w:r>
      <w:r w:rsidR="15B138FE" w:rsidRPr="000154FE">
        <w:rPr>
          <w:rFonts w:ascii="Times New Roman" w:eastAsia="Times New Roman" w:hAnsi="Times New Roman" w:cs="Times New Roman"/>
          <w:b/>
          <w:bCs/>
          <w:sz w:val="24"/>
          <w:szCs w:val="24"/>
          <w:lang w:val="fr-FR"/>
        </w:rPr>
        <w:t xml:space="preserve">une période de </w:t>
      </w:r>
      <w:r w:rsidR="4D0C3657" w:rsidRPr="000154FE">
        <w:rPr>
          <w:rFonts w:ascii="Times New Roman" w:eastAsia="Times New Roman" w:hAnsi="Times New Roman" w:cs="Times New Roman"/>
          <w:b/>
          <w:bCs/>
          <w:sz w:val="24"/>
          <w:szCs w:val="24"/>
          <w:lang w:val="fr-FR"/>
        </w:rPr>
        <w:t>2</w:t>
      </w:r>
      <w:r w:rsidR="15B138FE" w:rsidRPr="000154FE">
        <w:rPr>
          <w:rFonts w:ascii="Times New Roman" w:eastAsia="Times New Roman" w:hAnsi="Times New Roman" w:cs="Times New Roman"/>
          <w:b/>
          <w:bCs/>
          <w:sz w:val="24"/>
          <w:szCs w:val="24"/>
          <w:lang w:val="fr-FR"/>
        </w:rPr>
        <w:t xml:space="preserve"> mois</w:t>
      </w:r>
      <w:r w:rsidR="15B138FE" w:rsidRPr="000154FE">
        <w:rPr>
          <w:rFonts w:ascii="Times New Roman" w:eastAsia="Times New Roman" w:hAnsi="Times New Roman" w:cs="Times New Roman"/>
          <w:sz w:val="24"/>
          <w:szCs w:val="24"/>
          <w:lang w:val="fr-FR"/>
        </w:rPr>
        <w:t xml:space="preserve">. Il devra proposer un chronogramme optimal et détaillé de réalisation de la mission, lequel devra rester cohérent et aligné avec les objectifs. </w:t>
      </w:r>
    </w:p>
    <w:p w14:paraId="173DA126" w14:textId="76E88E40" w:rsidR="15B138FE" w:rsidRDefault="007B33D9" w:rsidP="6AEEFCD5">
      <w:pPr>
        <w:pStyle w:val="ListParagraph"/>
        <w:numPr>
          <w:ilvl w:val="0"/>
          <w:numId w:val="2"/>
        </w:numPr>
        <w:spacing w:line="276" w:lineRule="auto"/>
        <w:rPr>
          <w:rFonts w:ascii="Calibri" w:eastAsia="Calibri" w:hAnsi="Calibri" w:cs="Calibri"/>
          <w:b/>
          <w:bCs/>
          <w:sz w:val="24"/>
          <w:szCs w:val="24"/>
          <w:u w:val="single"/>
        </w:rPr>
      </w:pPr>
      <w:r w:rsidRPr="6AEEFCD5">
        <w:rPr>
          <w:rFonts w:ascii="Calibri" w:eastAsia="Calibri" w:hAnsi="Calibri" w:cs="Calibri"/>
          <w:b/>
          <w:bCs/>
          <w:sz w:val="24"/>
          <w:szCs w:val="24"/>
          <w:u w:val="single"/>
        </w:rPr>
        <w:t>LIVRABLES:</w:t>
      </w:r>
    </w:p>
    <w:p w14:paraId="46AAED5D" w14:textId="5B0B91A0" w:rsidR="15B138FE" w:rsidRPr="000154FE" w:rsidRDefault="15B138FE" w:rsidP="6AEEFCD5">
      <w:pPr>
        <w:pStyle w:val="ListParagraph"/>
        <w:numPr>
          <w:ilvl w:val="0"/>
          <w:numId w:val="1"/>
        </w:numPr>
        <w:spacing w:line="276" w:lineRule="auto"/>
        <w:rPr>
          <w:rFonts w:ascii="Calibri" w:eastAsia="Calibri" w:hAnsi="Calibri" w:cs="Calibri"/>
          <w:sz w:val="24"/>
          <w:szCs w:val="24"/>
          <w:lang w:val="fr-FR"/>
        </w:rPr>
      </w:pPr>
      <w:r w:rsidRPr="000154FE">
        <w:rPr>
          <w:rFonts w:ascii="Calibri" w:eastAsia="Calibri" w:hAnsi="Calibri" w:cs="Calibri"/>
          <w:sz w:val="24"/>
          <w:szCs w:val="24"/>
          <w:lang w:val="fr-FR"/>
        </w:rPr>
        <w:t xml:space="preserve"> </w:t>
      </w:r>
      <w:r w:rsidR="60A186F3" w:rsidRPr="000154FE">
        <w:rPr>
          <w:rFonts w:ascii="Calibri" w:eastAsia="Calibri" w:hAnsi="Calibri" w:cs="Calibri"/>
          <w:sz w:val="24"/>
          <w:szCs w:val="24"/>
          <w:lang w:val="fr-FR"/>
        </w:rPr>
        <w:t xml:space="preserve">Outil </w:t>
      </w:r>
      <w:proofErr w:type="spellStart"/>
      <w:r w:rsidR="60A186F3" w:rsidRPr="000154FE">
        <w:rPr>
          <w:rFonts w:ascii="Calibri" w:eastAsia="Calibri" w:hAnsi="Calibri" w:cs="Calibri"/>
          <w:sz w:val="24"/>
          <w:szCs w:val="24"/>
          <w:lang w:val="fr-FR"/>
        </w:rPr>
        <w:t>think</w:t>
      </w:r>
      <w:proofErr w:type="spellEnd"/>
      <w:r w:rsidR="60A186F3" w:rsidRPr="000154FE">
        <w:rPr>
          <w:rFonts w:ascii="Calibri" w:eastAsia="Calibri" w:hAnsi="Calibri" w:cs="Calibri"/>
          <w:sz w:val="24"/>
          <w:szCs w:val="24"/>
          <w:lang w:val="fr-FR"/>
        </w:rPr>
        <w:t xml:space="preserve"> coop adapté </w:t>
      </w:r>
      <w:r w:rsidR="59583879" w:rsidRPr="000154FE">
        <w:rPr>
          <w:rFonts w:ascii="Calibri" w:eastAsia="Calibri" w:hAnsi="Calibri" w:cs="Calibri"/>
          <w:sz w:val="24"/>
          <w:szCs w:val="24"/>
          <w:lang w:val="fr-FR"/>
        </w:rPr>
        <w:t xml:space="preserve">et contextualisé </w:t>
      </w:r>
    </w:p>
    <w:p w14:paraId="57D52741" w14:textId="52A61FF7" w:rsidR="41F6D77D" w:rsidRDefault="15B138FE" w:rsidP="41F6D77D">
      <w:pPr>
        <w:pStyle w:val="ListParagraph"/>
        <w:numPr>
          <w:ilvl w:val="0"/>
          <w:numId w:val="1"/>
        </w:numPr>
        <w:spacing w:line="276" w:lineRule="auto"/>
        <w:rPr>
          <w:rFonts w:ascii="Calibri" w:eastAsia="Calibri" w:hAnsi="Calibri" w:cs="Calibri"/>
          <w:sz w:val="24"/>
          <w:szCs w:val="24"/>
          <w:lang w:val="fr-FR"/>
        </w:rPr>
      </w:pPr>
      <w:r w:rsidRPr="000154FE">
        <w:rPr>
          <w:rFonts w:ascii="Calibri" w:eastAsia="Calibri" w:hAnsi="Calibri" w:cs="Calibri"/>
          <w:sz w:val="24"/>
          <w:szCs w:val="24"/>
          <w:lang w:val="fr-FR"/>
        </w:rPr>
        <w:t xml:space="preserve"> </w:t>
      </w:r>
      <w:r w:rsidR="52B841B8" w:rsidRPr="000154FE">
        <w:rPr>
          <w:rFonts w:ascii="Calibri" w:eastAsia="Calibri" w:hAnsi="Calibri" w:cs="Calibri"/>
          <w:sz w:val="24"/>
          <w:szCs w:val="24"/>
          <w:lang w:val="fr-FR"/>
        </w:rPr>
        <w:t xml:space="preserve">Outil start coop adapté et </w:t>
      </w:r>
      <w:r w:rsidR="16AB7EA5" w:rsidRPr="000154FE">
        <w:rPr>
          <w:rFonts w:ascii="Calibri" w:eastAsia="Calibri" w:hAnsi="Calibri" w:cs="Calibri"/>
          <w:sz w:val="24"/>
          <w:szCs w:val="24"/>
          <w:lang w:val="fr-FR"/>
        </w:rPr>
        <w:t>contextualisé</w:t>
      </w:r>
    </w:p>
    <w:p w14:paraId="4A25242A" w14:textId="77777777" w:rsidR="007B33D9" w:rsidRPr="000154FE" w:rsidRDefault="007B33D9" w:rsidP="007B33D9">
      <w:pPr>
        <w:pStyle w:val="ListParagraph"/>
        <w:spacing w:line="276" w:lineRule="auto"/>
        <w:rPr>
          <w:rFonts w:ascii="Calibri" w:eastAsia="Calibri" w:hAnsi="Calibri" w:cs="Calibri"/>
          <w:sz w:val="24"/>
          <w:szCs w:val="24"/>
          <w:lang w:val="fr-FR"/>
        </w:rPr>
      </w:pPr>
    </w:p>
    <w:p w14:paraId="422C8D4A" w14:textId="001EDE88" w:rsidR="15B138FE" w:rsidRPr="000154FE" w:rsidRDefault="15B138FE" w:rsidP="6AEEFCD5">
      <w:pPr>
        <w:pStyle w:val="ListParagraph"/>
        <w:numPr>
          <w:ilvl w:val="0"/>
          <w:numId w:val="2"/>
        </w:numPr>
        <w:spacing w:line="276" w:lineRule="auto"/>
        <w:rPr>
          <w:rFonts w:ascii="Calibri" w:eastAsia="Calibri" w:hAnsi="Calibri" w:cs="Calibri"/>
          <w:b/>
          <w:bCs/>
          <w:sz w:val="24"/>
          <w:szCs w:val="24"/>
          <w:u w:val="single"/>
          <w:lang w:val="fr-FR"/>
        </w:rPr>
      </w:pPr>
      <w:r w:rsidRPr="000154FE">
        <w:rPr>
          <w:rFonts w:ascii="Calibri" w:eastAsia="Calibri" w:hAnsi="Calibri" w:cs="Calibri"/>
          <w:b/>
          <w:bCs/>
          <w:sz w:val="24"/>
          <w:szCs w:val="24"/>
          <w:u w:val="single"/>
          <w:lang w:val="fr-FR"/>
        </w:rPr>
        <w:t>HONORAIRES ET MODALITES DE PAIEMENT :</w:t>
      </w:r>
    </w:p>
    <w:p w14:paraId="59284636" w14:textId="27BB6593"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Le prix de la prestation est calculé au forfait et sera fixé globalement, tout inclus. La rémunération se fera sur 2 tranches et suivant la remise des livrables, et ce comme suit :</w:t>
      </w:r>
    </w:p>
    <w:p w14:paraId="065D43B3" w14:textId="4FDE178A" w:rsidR="15B138FE" w:rsidRPr="000154FE" w:rsidRDefault="15B138FE" w:rsidP="6AEEFCD5">
      <w:pPr>
        <w:pStyle w:val="ListParagraph"/>
        <w:numPr>
          <w:ilvl w:val="0"/>
          <w:numId w:val="1"/>
        </w:numPr>
        <w:spacing w:line="276" w:lineRule="auto"/>
        <w:rPr>
          <w:rFonts w:ascii="Calibri" w:eastAsia="Calibri" w:hAnsi="Calibri" w:cs="Calibri"/>
          <w:sz w:val="24"/>
          <w:szCs w:val="24"/>
          <w:lang w:val="fr-FR"/>
        </w:rPr>
      </w:pPr>
      <w:r w:rsidRPr="000154FE">
        <w:rPr>
          <w:rFonts w:ascii="Calibri" w:eastAsia="Calibri" w:hAnsi="Calibri" w:cs="Calibri"/>
          <w:sz w:val="24"/>
          <w:szCs w:val="24"/>
          <w:lang w:val="fr-FR"/>
        </w:rPr>
        <w:t>40% à la réception d</w:t>
      </w:r>
      <w:r w:rsidR="4EE9CD72" w:rsidRPr="000154FE">
        <w:rPr>
          <w:rFonts w:ascii="Calibri" w:eastAsia="Calibri" w:hAnsi="Calibri" w:cs="Calibri"/>
          <w:sz w:val="24"/>
          <w:szCs w:val="24"/>
          <w:lang w:val="fr-FR"/>
        </w:rPr>
        <w:t xml:space="preserve">e l’outil </w:t>
      </w:r>
      <w:proofErr w:type="spellStart"/>
      <w:r w:rsidR="4EE9CD72" w:rsidRPr="000154FE">
        <w:rPr>
          <w:rFonts w:ascii="Calibri" w:eastAsia="Calibri" w:hAnsi="Calibri" w:cs="Calibri"/>
          <w:sz w:val="24"/>
          <w:szCs w:val="24"/>
          <w:lang w:val="fr-FR"/>
        </w:rPr>
        <w:t>think</w:t>
      </w:r>
      <w:proofErr w:type="spellEnd"/>
      <w:r w:rsidR="4EE9CD72" w:rsidRPr="000154FE">
        <w:rPr>
          <w:rFonts w:ascii="Calibri" w:eastAsia="Calibri" w:hAnsi="Calibri" w:cs="Calibri"/>
          <w:sz w:val="24"/>
          <w:szCs w:val="24"/>
          <w:lang w:val="fr-FR"/>
        </w:rPr>
        <w:t xml:space="preserve"> coop adapté</w:t>
      </w:r>
    </w:p>
    <w:p w14:paraId="1B963299" w14:textId="2EDEBA6F" w:rsidR="41F6D77D" w:rsidRDefault="15B138FE" w:rsidP="41F6D77D">
      <w:pPr>
        <w:pStyle w:val="ListParagraph"/>
        <w:numPr>
          <w:ilvl w:val="0"/>
          <w:numId w:val="1"/>
        </w:numPr>
        <w:spacing w:line="276" w:lineRule="auto"/>
        <w:rPr>
          <w:rFonts w:ascii="Calibri" w:eastAsia="Calibri" w:hAnsi="Calibri" w:cs="Calibri"/>
          <w:sz w:val="24"/>
          <w:szCs w:val="24"/>
          <w:lang w:val="fr-FR"/>
        </w:rPr>
      </w:pPr>
      <w:r w:rsidRPr="000154FE">
        <w:rPr>
          <w:rFonts w:ascii="Calibri" w:eastAsia="Calibri" w:hAnsi="Calibri" w:cs="Calibri"/>
          <w:sz w:val="24"/>
          <w:szCs w:val="24"/>
          <w:lang w:val="fr-FR"/>
        </w:rPr>
        <w:t>60 % à la réception d</w:t>
      </w:r>
      <w:r w:rsidR="3A8AF451" w:rsidRPr="000154FE">
        <w:rPr>
          <w:rFonts w:ascii="Calibri" w:eastAsia="Calibri" w:hAnsi="Calibri" w:cs="Calibri"/>
          <w:sz w:val="24"/>
          <w:szCs w:val="24"/>
          <w:lang w:val="fr-FR"/>
        </w:rPr>
        <w:t>e l’outil start coop adapté</w:t>
      </w:r>
    </w:p>
    <w:p w14:paraId="31A2F729" w14:textId="77777777" w:rsidR="000154FE" w:rsidRPr="000154FE" w:rsidRDefault="000154FE" w:rsidP="000154FE">
      <w:pPr>
        <w:pStyle w:val="ListParagraph"/>
        <w:spacing w:line="276" w:lineRule="auto"/>
        <w:rPr>
          <w:rFonts w:ascii="Calibri" w:eastAsia="Calibri" w:hAnsi="Calibri" w:cs="Calibri"/>
          <w:sz w:val="24"/>
          <w:szCs w:val="24"/>
          <w:lang w:val="fr-FR"/>
        </w:rPr>
      </w:pPr>
    </w:p>
    <w:p w14:paraId="618586DA" w14:textId="0D6552BD" w:rsidR="15B138FE" w:rsidRPr="000154FE" w:rsidRDefault="15B138FE" w:rsidP="6AEEFCD5">
      <w:pPr>
        <w:pStyle w:val="ListParagraph"/>
        <w:numPr>
          <w:ilvl w:val="0"/>
          <w:numId w:val="2"/>
        </w:numPr>
        <w:spacing w:line="276" w:lineRule="auto"/>
        <w:rPr>
          <w:rFonts w:ascii="Calibri" w:eastAsia="Calibri" w:hAnsi="Calibri" w:cs="Calibri"/>
          <w:b/>
          <w:bCs/>
          <w:sz w:val="24"/>
          <w:szCs w:val="24"/>
          <w:u w:val="single"/>
          <w:lang w:val="fr-FR"/>
        </w:rPr>
      </w:pPr>
      <w:r w:rsidRPr="000154FE">
        <w:rPr>
          <w:rFonts w:ascii="Calibri" w:eastAsia="Calibri" w:hAnsi="Calibri" w:cs="Calibri"/>
          <w:b/>
          <w:bCs/>
          <w:sz w:val="24"/>
          <w:szCs w:val="24"/>
          <w:u w:val="single"/>
          <w:lang w:val="fr-FR"/>
        </w:rPr>
        <w:t>PROFIL ET QUALIFICATION DU BUREAU :</w:t>
      </w:r>
    </w:p>
    <w:p w14:paraId="2A6721F8" w14:textId="2FEEBA1D"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Afin de réaliser cette mission, nous recherchons un cabinet de formation répondant aux critères suivants :</w:t>
      </w:r>
    </w:p>
    <w:p w14:paraId="43DB2C4C" w14:textId="5534B16A" w:rsidR="15B138FE" w:rsidRDefault="15B138FE" w:rsidP="41F6D77D">
      <w:pPr>
        <w:pStyle w:val="ListParagraph"/>
        <w:numPr>
          <w:ilvl w:val="0"/>
          <w:numId w:val="1"/>
        </w:numPr>
        <w:spacing w:line="276" w:lineRule="auto"/>
        <w:jc w:val="both"/>
        <w:rPr>
          <w:rFonts w:ascii="Calibri" w:eastAsia="Calibri" w:hAnsi="Calibri" w:cs="Calibri"/>
          <w:sz w:val="24"/>
          <w:szCs w:val="24"/>
          <w:lang w:val="fr-FR"/>
        </w:rPr>
      </w:pPr>
      <w:r w:rsidRPr="000154FE">
        <w:rPr>
          <w:rFonts w:ascii="Calibri" w:eastAsia="Calibri" w:hAnsi="Calibri" w:cs="Calibri"/>
          <w:sz w:val="24"/>
          <w:szCs w:val="24"/>
          <w:lang w:val="fr-FR"/>
        </w:rPr>
        <w:t xml:space="preserve">Capacité organisationnelle et expériences dans le domaine de management des OESS </w:t>
      </w:r>
    </w:p>
    <w:p w14:paraId="6187242B" w14:textId="04C3513D" w:rsidR="000154FE" w:rsidRPr="000154FE" w:rsidRDefault="000154FE" w:rsidP="41F6D77D">
      <w:pPr>
        <w:pStyle w:val="ListParagraph"/>
        <w:numPr>
          <w:ilvl w:val="0"/>
          <w:numId w:val="1"/>
        </w:numPr>
        <w:spacing w:line="276" w:lineRule="auto"/>
        <w:jc w:val="both"/>
        <w:rPr>
          <w:rFonts w:ascii="Calibri" w:eastAsia="Calibri" w:hAnsi="Calibri" w:cs="Calibri"/>
          <w:sz w:val="24"/>
          <w:szCs w:val="24"/>
          <w:lang w:val="fr-FR"/>
        </w:rPr>
      </w:pPr>
      <w:r>
        <w:rPr>
          <w:rFonts w:ascii="Calibri" w:eastAsia="Calibri" w:hAnsi="Calibri" w:cs="Calibri"/>
          <w:sz w:val="24"/>
          <w:szCs w:val="24"/>
          <w:lang w:val="fr-FR"/>
        </w:rPr>
        <w:t xml:space="preserve">Maitrise du cadre législatif tunisien de l’économie sociale et solidaire </w:t>
      </w:r>
    </w:p>
    <w:p w14:paraId="6C5430FA" w14:textId="55955146" w:rsidR="15B138FE" w:rsidRPr="000154FE" w:rsidRDefault="15B138FE" w:rsidP="41F6D77D">
      <w:pPr>
        <w:pStyle w:val="ListParagraph"/>
        <w:numPr>
          <w:ilvl w:val="0"/>
          <w:numId w:val="1"/>
        </w:numPr>
        <w:spacing w:line="276" w:lineRule="auto"/>
        <w:jc w:val="both"/>
        <w:rPr>
          <w:rFonts w:ascii="Calibri" w:eastAsia="Calibri" w:hAnsi="Calibri" w:cs="Calibri"/>
          <w:sz w:val="24"/>
          <w:szCs w:val="24"/>
          <w:lang w:val="fr-FR"/>
        </w:rPr>
      </w:pPr>
      <w:r w:rsidRPr="000154FE">
        <w:rPr>
          <w:rFonts w:ascii="Calibri" w:eastAsia="Calibri" w:hAnsi="Calibri" w:cs="Calibri"/>
          <w:sz w:val="24"/>
          <w:szCs w:val="24"/>
          <w:lang w:val="fr-FR"/>
        </w:rPr>
        <w:t>Expérience dans l’exécution de projets similaires &amp; dans des projets d’autonomisation économique des femmes</w:t>
      </w:r>
    </w:p>
    <w:p w14:paraId="66032D81" w14:textId="59269A9A" w:rsidR="15B138FE" w:rsidRPr="000154FE" w:rsidRDefault="15B138FE" w:rsidP="41F6D77D">
      <w:pPr>
        <w:pStyle w:val="ListParagraph"/>
        <w:numPr>
          <w:ilvl w:val="0"/>
          <w:numId w:val="1"/>
        </w:numPr>
        <w:spacing w:line="276" w:lineRule="auto"/>
        <w:jc w:val="both"/>
        <w:rPr>
          <w:rFonts w:ascii="Calibri" w:eastAsia="Calibri" w:hAnsi="Calibri" w:cs="Calibri"/>
          <w:sz w:val="24"/>
          <w:szCs w:val="24"/>
          <w:lang w:val="fr-FR"/>
        </w:rPr>
      </w:pPr>
      <w:r w:rsidRPr="000154FE">
        <w:rPr>
          <w:rFonts w:ascii="Calibri" w:eastAsia="Calibri" w:hAnsi="Calibri" w:cs="Calibri"/>
          <w:sz w:val="24"/>
          <w:szCs w:val="24"/>
          <w:lang w:val="fr-FR"/>
        </w:rPr>
        <w:t>Très bonnes connaissances des défis et missions des agences de coopération au développement, ONU, ONG, etc…</w:t>
      </w:r>
    </w:p>
    <w:p w14:paraId="48D857A5" w14:textId="331D1430" w:rsidR="15B138FE" w:rsidRPr="000154FE" w:rsidRDefault="15B138FE" w:rsidP="41F6D77D">
      <w:pPr>
        <w:pStyle w:val="ListParagraph"/>
        <w:numPr>
          <w:ilvl w:val="0"/>
          <w:numId w:val="1"/>
        </w:numPr>
        <w:spacing w:line="276" w:lineRule="auto"/>
        <w:jc w:val="both"/>
        <w:rPr>
          <w:rFonts w:ascii="Calibri" w:eastAsia="Calibri" w:hAnsi="Calibri" w:cs="Calibri"/>
          <w:sz w:val="24"/>
          <w:szCs w:val="24"/>
          <w:lang w:val="fr-FR"/>
        </w:rPr>
      </w:pPr>
      <w:r w:rsidRPr="000154FE">
        <w:rPr>
          <w:rFonts w:ascii="Calibri" w:eastAsia="Calibri" w:hAnsi="Calibri" w:cs="Calibri"/>
          <w:sz w:val="24"/>
          <w:szCs w:val="24"/>
          <w:lang w:val="fr-FR"/>
        </w:rPr>
        <w:t>Très bonnes connaissances des défis d’égalité de genre</w:t>
      </w:r>
    </w:p>
    <w:p w14:paraId="3A7D0575" w14:textId="18FDF830" w:rsidR="15B138FE" w:rsidRDefault="15B138FE" w:rsidP="6AEEFCD5">
      <w:pPr>
        <w:pStyle w:val="ListParagraph"/>
        <w:numPr>
          <w:ilvl w:val="0"/>
          <w:numId w:val="1"/>
        </w:numPr>
        <w:spacing w:line="276" w:lineRule="auto"/>
        <w:jc w:val="both"/>
        <w:rPr>
          <w:rFonts w:ascii="Calibri" w:eastAsia="Calibri" w:hAnsi="Calibri" w:cs="Calibri"/>
          <w:sz w:val="24"/>
          <w:szCs w:val="24"/>
          <w:lang w:val="fr-FR"/>
        </w:rPr>
      </w:pPr>
      <w:r w:rsidRPr="000154FE">
        <w:rPr>
          <w:rFonts w:ascii="Calibri" w:eastAsia="Calibri" w:hAnsi="Calibri" w:cs="Calibri"/>
          <w:sz w:val="24"/>
          <w:szCs w:val="24"/>
          <w:lang w:val="fr-FR"/>
        </w:rPr>
        <w:t>Souplesse et aptitudes à être réactif aux demandes et recommandations de l’équipe du projet</w:t>
      </w:r>
    </w:p>
    <w:p w14:paraId="6227059A" w14:textId="77777777" w:rsidR="007B33D9" w:rsidRPr="000154FE" w:rsidRDefault="007B33D9" w:rsidP="007B33D9">
      <w:pPr>
        <w:pStyle w:val="ListParagraph"/>
        <w:spacing w:line="276" w:lineRule="auto"/>
        <w:jc w:val="both"/>
        <w:rPr>
          <w:rFonts w:ascii="Calibri" w:eastAsia="Calibri" w:hAnsi="Calibri" w:cs="Calibri"/>
          <w:sz w:val="24"/>
          <w:szCs w:val="24"/>
          <w:lang w:val="fr-FR"/>
        </w:rPr>
      </w:pPr>
    </w:p>
    <w:p w14:paraId="71E60893" w14:textId="4A28C442" w:rsidR="15B138FE" w:rsidRDefault="15B138FE" w:rsidP="6AEEFCD5">
      <w:pPr>
        <w:pStyle w:val="ListParagraph"/>
        <w:numPr>
          <w:ilvl w:val="0"/>
          <w:numId w:val="2"/>
        </w:numPr>
        <w:spacing w:line="276" w:lineRule="auto"/>
        <w:rPr>
          <w:rFonts w:ascii="Calibri" w:eastAsia="Calibri" w:hAnsi="Calibri" w:cs="Calibri"/>
          <w:b/>
          <w:bCs/>
          <w:sz w:val="24"/>
          <w:szCs w:val="24"/>
          <w:u w:val="single"/>
          <w:lang w:val="en-US"/>
        </w:rPr>
      </w:pPr>
      <w:r w:rsidRPr="6AEEFCD5">
        <w:rPr>
          <w:rFonts w:ascii="Calibri" w:eastAsia="Calibri" w:hAnsi="Calibri" w:cs="Calibri"/>
          <w:b/>
          <w:bCs/>
          <w:sz w:val="24"/>
          <w:szCs w:val="24"/>
          <w:u w:val="single"/>
          <w:lang w:val="en-US"/>
        </w:rPr>
        <w:t xml:space="preserve">PIÈCES CONSTITUTIVES DE </w:t>
      </w:r>
      <w:r w:rsidR="007B33D9" w:rsidRPr="6AEEFCD5">
        <w:rPr>
          <w:rFonts w:ascii="Calibri" w:eastAsia="Calibri" w:hAnsi="Calibri" w:cs="Calibri"/>
          <w:b/>
          <w:bCs/>
          <w:sz w:val="24"/>
          <w:szCs w:val="24"/>
          <w:u w:val="single"/>
          <w:lang w:val="en-US"/>
        </w:rPr>
        <w:t>L’OFFRE:</w:t>
      </w:r>
    </w:p>
    <w:p w14:paraId="0B199D57" w14:textId="06E736B9"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Le dossier de candidature devra comporter ;</w:t>
      </w:r>
    </w:p>
    <w:p w14:paraId="41833A70" w14:textId="5EDE9E23" w:rsidR="15B138FE" w:rsidRPr="000154FE" w:rsidRDefault="15B138FE" w:rsidP="6AEEFCD5">
      <w:pPr>
        <w:spacing w:line="276" w:lineRule="auto"/>
        <w:jc w:val="both"/>
        <w:rPr>
          <w:lang w:val="fr-FR"/>
        </w:rPr>
      </w:pPr>
      <w:r w:rsidRPr="000154FE">
        <w:rPr>
          <w:rFonts w:ascii="Times New Roman" w:eastAsia="Times New Roman" w:hAnsi="Times New Roman" w:cs="Times New Roman"/>
          <w:b/>
          <w:bCs/>
          <w:sz w:val="24"/>
          <w:szCs w:val="24"/>
          <w:u w:val="single"/>
          <w:lang w:val="fr-FR"/>
        </w:rPr>
        <w:t>Une offre technique</w:t>
      </w:r>
      <w:r w:rsidRPr="000154FE">
        <w:rPr>
          <w:rFonts w:ascii="Times New Roman" w:eastAsia="Times New Roman" w:hAnsi="Times New Roman" w:cs="Times New Roman"/>
          <w:sz w:val="24"/>
          <w:szCs w:val="24"/>
          <w:lang w:val="fr-FR"/>
        </w:rPr>
        <w:t xml:space="preserve"> comprenant :</w:t>
      </w:r>
    </w:p>
    <w:p w14:paraId="0EED01BB" w14:textId="1BCAD516"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 xml:space="preserve">- Une description et présentation du bureau, ses qualifications et son expérience </w:t>
      </w:r>
    </w:p>
    <w:p w14:paraId="3403F0B9" w14:textId="50EE3707" w:rsidR="15B138FE" w:rsidRPr="000154FE" w:rsidRDefault="15B138FE" w:rsidP="6AEEFCD5">
      <w:pPr>
        <w:spacing w:line="276" w:lineRule="auto"/>
        <w:jc w:val="both"/>
        <w:rPr>
          <w:lang w:val="fr-FR"/>
        </w:rPr>
      </w:pPr>
      <w:r w:rsidRPr="000154FE">
        <w:rPr>
          <w:rFonts w:ascii="Times New Roman" w:eastAsia="Times New Roman" w:hAnsi="Times New Roman" w:cs="Times New Roman"/>
          <w:sz w:val="24"/>
          <w:szCs w:val="24"/>
          <w:lang w:val="fr-FR"/>
        </w:rPr>
        <w:t xml:space="preserve">- Les </w:t>
      </w:r>
      <w:proofErr w:type="spellStart"/>
      <w:r w:rsidRPr="000154FE">
        <w:rPr>
          <w:rFonts w:ascii="Times New Roman" w:eastAsia="Times New Roman" w:hAnsi="Times New Roman" w:cs="Times New Roman"/>
          <w:sz w:val="24"/>
          <w:szCs w:val="24"/>
          <w:lang w:val="fr-FR"/>
        </w:rPr>
        <w:t>CVs</w:t>
      </w:r>
      <w:proofErr w:type="spellEnd"/>
      <w:r w:rsidRPr="000154FE">
        <w:rPr>
          <w:rFonts w:ascii="Times New Roman" w:eastAsia="Times New Roman" w:hAnsi="Times New Roman" w:cs="Times New Roman"/>
          <w:sz w:val="24"/>
          <w:szCs w:val="24"/>
          <w:lang w:val="fr-FR"/>
        </w:rPr>
        <w:t xml:space="preserve"> des formateurs engagés, en mettant en évidence les qualifications et expériences pertinentes ainsi que les références professionnelles pour des missions similaires</w:t>
      </w:r>
    </w:p>
    <w:p w14:paraId="469639FA" w14:textId="35537C0D" w:rsidR="15B138FE" w:rsidRPr="000154FE" w:rsidRDefault="15B138FE" w:rsidP="6AEEFCD5">
      <w:pPr>
        <w:spacing w:line="276" w:lineRule="auto"/>
        <w:jc w:val="both"/>
        <w:rPr>
          <w:lang w:val="fr-FR"/>
        </w:rPr>
      </w:pPr>
      <w:r w:rsidRPr="000154FE">
        <w:rPr>
          <w:rFonts w:ascii="Times New Roman" w:eastAsia="Times New Roman" w:hAnsi="Times New Roman" w:cs="Times New Roman"/>
          <w:b/>
          <w:bCs/>
          <w:sz w:val="24"/>
          <w:szCs w:val="24"/>
          <w:u w:val="single"/>
          <w:lang w:val="fr-FR"/>
        </w:rPr>
        <w:t>Une offre financière</w:t>
      </w:r>
      <w:r w:rsidRPr="000154FE">
        <w:rPr>
          <w:rFonts w:ascii="Times New Roman" w:eastAsia="Times New Roman" w:hAnsi="Times New Roman" w:cs="Times New Roman"/>
          <w:sz w:val="24"/>
          <w:szCs w:val="24"/>
          <w:lang w:val="fr-FR"/>
        </w:rPr>
        <w:t xml:space="preserve"> globale incluant la base unitaire du calcul des honoraires en (TTC). Elle devra inclure les coûts de déplacements, hébergement, la papeterie et tout autre coût de fonctionnement. </w:t>
      </w:r>
    </w:p>
    <w:p w14:paraId="0D82524B" w14:textId="477B6B17" w:rsidR="15B138FE" w:rsidRDefault="15B138FE" w:rsidP="6AEEFCD5">
      <w:pPr>
        <w:pStyle w:val="ListParagraph"/>
        <w:numPr>
          <w:ilvl w:val="0"/>
          <w:numId w:val="2"/>
        </w:numPr>
        <w:spacing w:line="276" w:lineRule="auto"/>
        <w:rPr>
          <w:rFonts w:ascii="Calibri" w:eastAsia="Calibri" w:hAnsi="Calibri" w:cs="Calibri"/>
          <w:b/>
          <w:bCs/>
          <w:sz w:val="24"/>
          <w:szCs w:val="24"/>
          <w:u w:val="single"/>
        </w:rPr>
      </w:pPr>
      <w:r w:rsidRPr="6AEEFCD5">
        <w:rPr>
          <w:rFonts w:ascii="Calibri" w:eastAsia="Calibri" w:hAnsi="Calibri" w:cs="Calibri"/>
          <w:b/>
          <w:bCs/>
          <w:sz w:val="24"/>
          <w:szCs w:val="24"/>
          <w:u w:val="single"/>
        </w:rPr>
        <w:t>SOUMISSION</w:t>
      </w:r>
    </w:p>
    <w:p w14:paraId="255AF2C8" w14:textId="651DD815" w:rsidR="15B138FE" w:rsidRPr="000154FE" w:rsidRDefault="15B138FE" w:rsidP="41F6D77D">
      <w:pPr>
        <w:rPr>
          <w:rFonts w:ascii="Calibri" w:eastAsia="Calibri" w:hAnsi="Calibri" w:cs="Calibri"/>
          <w:color w:val="000000" w:themeColor="text1"/>
          <w:sz w:val="24"/>
          <w:szCs w:val="24"/>
          <w:lang w:val="fr-FR"/>
        </w:rPr>
      </w:pPr>
      <w:r w:rsidRPr="000154FE">
        <w:rPr>
          <w:rFonts w:ascii="Calibri" w:eastAsia="Calibri" w:hAnsi="Calibri" w:cs="Calibri"/>
          <w:color w:val="000000" w:themeColor="text1"/>
          <w:sz w:val="24"/>
          <w:szCs w:val="24"/>
          <w:lang w:val="fr-FR"/>
        </w:rPr>
        <w:t xml:space="preserve">Le BIT invite les soumissionnaires intéressés à envoyer les documents demandés à l’adresse électroniques suivante ; </w:t>
      </w:r>
      <w:hyperlink r:id="rId6">
        <w:r w:rsidRPr="41F6D77D">
          <w:rPr>
            <w:rStyle w:val="Hyperlink"/>
            <w:rFonts w:ascii="Calibri" w:eastAsia="Calibri" w:hAnsi="Calibri" w:cs="Calibri"/>
            <w:sz w:val="24"/>
            <w:szCs w:val="24"/>
            <w:lang w:val="fr"/>
          </w:rPr>
          <w:t>ayadii@ilo.org</w:t>
        </w:r>
      </w:hyperlink>
      <w:r w:rsidRPr="000154FE">
        <w:rPr>
          <w:rFonts w:ascii="Calibri" w:eastAsia="Calibri" w:hAnsi="Calibri" w:cs="Calibri"/>
          <w:color w:val="000000" w:themeColor="text1"/>
          <w:sz w:val="24"/>
          <w:szCs w:val="24"/>
          <w:lang w:val="fr-FR"/>
        </w:rPr>
        <w:t xml:space="preserve"> et ce avant </w:t>
      </w:r>
      <w:r w:rsidRPr="000154FE">
        <w:rPr>
          <w:rFonts w:ascii="Calibri" w:eastAsia="Calibri" w:hAnsi="Calibri" w:cs="Calibri"/>
          <w:b/>
          <w:bCs/>
          <w:color w:val="000000" w:themeColor="text1"/>
          <w:sz w:val="24"/>
          <w:szCs w:val="24"/>
          <w:lang w:val="fr-FR"/>
        </w:rPr>
        <w:t xml:space="preserve">le </w:t>
      </w:r>
      <w:r w:rsidR="07281C40" w:rsidRPr="000154FE">
        <w:rPr>
          <w:rFonts w:ascii="Calibri" w:eastAsia="Calibri" w:hAnsi="Calibri" w:cs="Calibri"/>
          <w:b/>
          <w:bCs/>
          <w:color w:val="000000" w:themeColor="text1"/>
          <w:sz w:val="24"/>
          <w:szCs w:val="24"/>
          <w:lang w:val="fr-FR"/>
        </w:rPr>
        <w:t>30</w:t>
      </w:r>
      <w:r w:rsidRPr="000154FE">
        <w:rPr>
          <w:rFonts w:ascii="Calibri" w:eastAsia="Calibri" w:hAnsi="Calibri" w:cs="Calibri"/>
          <w:b/>
          <w:bCs/>
          <w:color w:val="000000" w:themeColor="text1"/>
          <w:sz w:val="24"/>
          <w:szCs w:val="24"/>
          <w:lang w:val="fr-FR"/>
        </w:rPr>
        <w:t xml:space="preserve"> </w:t>
      </w:r>
      <w:r w:rsidR="2620A7F0" w:rsidRPr="000154FE">
        <w:rPr>
          <w:rFonts w:ascii="Calibri" w:eastAsia="Calibri" w:hAnsi="Calibri" w:cs="Calibri"/>
          <w:b/>
          <w:bCs/>
          <w:color w:val="000000" w:themeColor="text1"/>
          <w:sz w:val="24"/>
          <w:szCs w:val="24"/>
          <w:lang w:val="fr-FR"/>
        </w:rPr>
        <w:t>octobre</w:t>
      </w:r>
      <w:r w:rsidRPr="000154FE">
        <w:rPr>
          <w:rFonts w:ascii="Calibri" w:eastAsia="Calibri" w:hAnsi="Calibri" w:cs="Calibri"/>
          <w:b/>
          <w:bCs/>
          <w:color w:val="000000" w:themeColor="text1"/>
          <w:sz w:val="24"/>
          <w:szCs w:val="24"/>
          <w:lang w:val="fr-FR"/>
        </w:rPr>
        <w:t xml:space="preserve"> 2022</w:t>
      </w:r>
      <w:r w:rsidRPr="000154FE">
        <w:rPr>
          <w:rFonts w:ascii="Calibri" w:eastAsia="Calibri" w:hAnsi="Calibri" w:cs="Calibri"/>
          <w:color w:val="000000" w:themeColor="text1"/>
          <w:sz w:val="24"/>
          <w:szCs w:val="24"/>
          <w:lang w:val="fr-FR"/>
        </w:rPr>
        <w:t xml:space="preserve">. L’objet du mail devra comporter la mention suivante : </w:t>
      </w:r>
      <w:r w:rsidR="35119F19" w:rsidRPr="000154FE">
        <w:rPr>
          <w:rFonts w:ascii="Calibri" w:eastAsia="Calibri" w:hAnsi="Calibri" w:cs="Calibri"/>
          <w:color w:val="000000" w:themeColor="text1"/>
          <w:sz w:val="24"/>
          <w:szCs w:val="24"/>
          <w:lang w:val="fr-FR"/>
        </w:rPr>
        <w:t>“</w:t>
      </w:r>
      <w:r w:rsidRPr="000154FE">
        <w:rPr>
          <w:rFonts w:ascii="Calibri" w:eastAsia="Calibri" w:hAnsi="Calibri" w:cs="Calibri"/>
          <w:b/>
          <w:bCs/>
          <w:color w:val="000000" w:themeColor="text1"/>
          <w:sz w:val="24"/>
          <w:szCs w:val="24"/>
          <w:lang w:val="fr-FR"/>
        </w:rPr>
        <w:t>Dossier d</w:t>
      </w:r>
      <w:r w:rsidR="6ABBE5A7" w:rsidRPr="000154FE">
        <w:rPr>
          <w:rFonts w:ascii="Calibri" w:eastAsia="Calibri" w:hAnsi="Calibri" w:cs="Calibri"/>
          <w:b/>
          <w:bCs/>
          <w:color w:val="000000" w:themeColor="text1"/>
          <w:sz w:val="24"/>
          <w:szCs w:val="24"/>
          <w:lang w:val="fr-FR"/>
        </w:rPr>
        <w:t>e candidature-Adaptation des Outils coop”</w:t>
      </w:r>
    </w:p>
    <w:sectPr w:rsidR="15B138FE" w:rsidRPr="000154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52B"/>
    <w:multiLevelType w:val="hybridMultilevel"/>
    <w:tmpl w:val="25B058CA"/>
    <w:lvl w:ilvl="0" w:tplc="9F5AAA6C">
      <w:start w:val="1"/>
      <w:numFmt w:val="decimal"/>
      <w:lvlText w:val="%1."/>
      <w:lvlJc w:val="left"/>
      <w:pPr>
        <w:ind w:left="720" w:hanging="360"/>
      </w:pPr>
    </w:lvl>
    <w:lvl w:ilvl="1" w:tplc="716253F2">
      <w:start w:val="1"/>
      <w:numFmt w:val="lowerLetter"/>
      <w:lvlText w:val="%2."/>
      <w:lvlJc w:val="left"/>
      <w:pPr>
        <w:ind w:left="1440" w:hanging="360"/>
      </w:pPr>
    </w:lvl>
    <w:lvl w:ilvl="2" w:tplc="FC6EAEA8">
      <w:start w:val="1"/>
      <w:numFmt w:val="lowerRoman"/>
      <w:lvlText w:val="%3."/>
      <w:lvlJc w:val="right"/>
      <w:pPr>
        <w:ind w:left="2160" w:hanging="180"/>
      </w:pPr>
    </w:lvl>
    <w:lvl w:ilvl="3" w:tplc="CF800870">
      <w:start w:val="1"/>
      <w:numFmt w:val="decimal"/>
      <w:lvlText w:val="%4."/>
      <w:lvlJc w:val="left"/>
      <w:pPr>
        <w:ind w:left="2880" w:hanging="360"/>
      </w:pPr>
    </w:lvl>
    <w:lvl w:ilvl="4" w:tplc="29C6D4E2">
      <w:start w:val="1"/>
      <w:numFmt w:val="lowerLetter"/>
      <w:lvlText w:val="%5."/>
      <w:lvlJc w:val="left"/>
      <w:pPr>
        <w:ind w:left="3600" w:hanging="360"/>
      </w:pPr>
    </w:lvl>
    <w:lvl w:ilvl="5" w:tplc="81181A2E">
      <w:start w:val="1"/>
      <w:numFmt w:val="lowerRoman"/>
      <w:lvlText w:val="%6."/>
      <w:lvlJc w:val="right"/>
      <w:pPr>
        <w:ind w:left="4320" w:hanging="180"/>
      </w:pPr>
    </w:lvl>
    <w:lvl w:ilvl="6" w:tplc="ACCE0C52">
      <w:start w:val="1"/>
      <w:numFmt w:val="decimal"/>
      <w:lvlText w:val="%7."/>
      <w:lvlJc w:val="left"/>
      <w:pPr>
        <w:ind w:left="5040" w:hanging="360"/>
      </w:pPr>
    </w:lvl>
    <w:lvl w:ilvl="7" w:tplc="E65ABC2E">
      <w:start w:val="1"/>
      <w:numFmt w:val="lowerLetter"/>
      <w:lvlText w:val="%8."/>
      <w:lvlJc w:val="left"/>
      <w:pPr>
        <w:ind w:left="5760" w:hanging="360"/>
      </w:pPr>
    </w:lvl>
    <w:lvl w:ilvl="8" w:tplc="EB7CA5A4">
      <w:start w:val="1"/>
      <w:numFmt w:val="lowerRoman"/>
      <w:lvlText w:val="%9."/>
      <w:lvlJc w:val="right"/>
      <w:pPr>
        <w:ind w:left="6480" w:hanging="180"/>
      </w:pPr>
    </w:lvl>
  </w:abstractNum>
  <w:abstractNum w:abstractNumId="1" w15:restartNumberingAfterBreak="0">
    <w:nsid w:val="2E7958C5"/>
    <w:multiLevelType w:val="hybridMultilevel"/>
    <w:tmpl w:val="234C68A6"/>
    <w:lvl w:ilvl="0" w:tplc="2E2CBD24">
      <w:start w:val="1"/>
      <w:numFmt w:val="bullet"/>
      <w:lvlText w:val="-"/>
      <w:lvlJc w:val="left"/>
      <w:pPr>
        <w:ind w:left="720" w:hanging="360"/>
      </w:pPr>
      <w:rPr>
        <w:rFonts w:ascii="Calibri" w:hAnsi="Calibri" w:hint="default"/>
      </w:rPr>
    </w:lvl>
    <w:lvl w:ilvl="1" w:tplc="B0E4B860">
      <w:start w:val="1"/>
      <w:numFmt w:val="bullet"/>
      <w:lvlText w:val="o"/>
      <w:lvlJc w:val="left"/>
      <w:pPr>
        <w:ind w:left="1440" w:hanging="360"/>
      </w:pPr>
      <w:rPr>
        <w:rFonts w:ascii="Courier New" w:hAnsi="Courier New" w:hint="default"/>
      </w:rPr>
    </w:lvl>
    <w:lvl w:ilvl="2" w:tplc="D58AAA9E">
      <w:start w:val="1"/>
      <w:numFmt w:val="bullet"/>
      <w:lvlText w:val=""/>
      <w:lvlJc w:val="left"/>
      <w:pPr>
        <w:ind w:left="2160" w:hanging="360"/>
      </w:pPr>
      <w:rPr>
        <w:rFonts w:ascii="Wingdings" w:hAnsi="Wingdings" w:hint="default"/>
      </w:rPr>
    </w:lvl>
    <w:lvl w:ilvl="3" w:tplc="0ACCA152">
      <w:start w:val="1"/>
      <w:numFmt w:val="bullet"/>
      <w:lvlText w:val=""/>
      <w:lvlJc w:val="left"/>
      <w:pPr>
        <w:ind w:left="2880" w:hanging="360"/>
      </w:pPr>
      <w:rPr>
        <w:rFonts w:ascii="Symbol" w:hAnsi="Symbol" w:hint="default"/>
      </w:rPr>
    </w:lvl>
    <w:lvl w:ilvl="4" w:tplc="7900668C">
      <w:start w:val="1"/>
      <w:numFmt w:val="bullet"/>
      <w:lvlText w:val="o"/>
      <w:lvlJc w:val="left"/>
      <w:pPr>
        <w:ind w:left="3600" w:hanging="360"/>
      </w:pPr>
      <w:rPr>
        <w:rFonts w:ascii="Courier New" w:hAnsi="Courier New" w:hint="default"/>
      </w:rPr>
    </w:lvl>
    <w:lvl w:ilvl="5" w:tplc="A798F7C4">
      <w:start w:val="1"/>
      <w:numFmt w:val="bullet"/>
      <w:lvlText w:val=""/>
      <w:lvlJc w:val="left"/>
      <w:pPr>
        <w:ind w:left="4320" w:hanging="360"/>
      </w:pPr>
      <w:rPr>
        <w:rFonts w:ascii="Wingdings" w:hAnsi="Wingdings" w:hint="default"/>
      </w:rPr>
    </w:lvl>
    <w:lvl w:ilvl="6" w:tplc="C8C6CDA6">
      <w:start w:val="1"/>
      <w:numFmt w:val="bullet"/>
      <w:lvlText w:val=""/>
      <w:lvlJc w:val="left"/>
      <w:pPr>
        <w:ind w:left="5040" w:hanging="360"/>
      </w:pPr>
      <w:rPr>
        <w:rFonts w:ascii="Symbol" w:hAnsi="Symbol" w:hint="default"/>
      </w:rPr>
    </w:lvl>
    <w:lvl w:ilvl="7" w:tplc="DBAC0AC2">
      <w:start w:val="1"/>
      <w:numFmt w:val="bullet"/>
      <w:lvlText w:val="o"/>
      <w:lvlJc w:val="left"/>
      <w:pPr>
        <w:ind w:left="5760" w:hanging="360"/>
      </w:pPr>
      <w:rPr>
        <w:rFonts w:ascii="Courier New" w:hAnsi="Courier New" w:hint="default"/>
      </w:rPr>
    </w:lvl>
    <w:lvl w:ilvl="8" w:tplc="0DEE9EA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5BF3D0"/>
    <w:rsid w:val="000154FE"/>
    <w:rsid w:val="0030220F"/>
    <w:rsid w:val="00334BDB"/>
    <w:rsid w:val="007B33D9"/>
    <w:rsid w:val="00AEDA17"/>
    <w:rsid w:val="020679F6"/>
    <w:rsid w:val="03AF98FC"/>
    <w:rsid w:val="06434B53"/>
    <w:rsid w:val="06E739BE"/>
    <w:rsid w:val="07281C40"/>
    <w:rsid w:val="11F6D5FE"/>
    <w:rsid w:val="1258AB0A"/>
    <w:rsid w:val="15B138FE"/>
    <w:rsid w:val="16AB7EA5"/>
    <w:rsid w:val="17F53F7E"/>
    <w:rsid w:val="196679DA"/>
    <w:rsid w:val="1D9B5DB1"/>
    <w:rsid w:val="1DAC06B7"/>
    <w:rsid w:val="2620A7F0"/>
    <w:rsid w:val="27DC97E6"/>
    <w:rsid w:val="2DA80159"/>
    <w:rsid w:val="30D7E766"/>
    <w:rsid w:val="3323B2BB"/>
    <w:rsid w:val="35119F19"/>
    <w:rsid w:val="3636F347"/>
    <w:rsid w:val="36705CD7"/>
    <w:rsid w:val="37E5B636"/>
    <w:rsid w:val="38E2F94B"/>
    <w:rsid w:val="398AF50A"/>
    <w:rsid w:val="3A7EC9AC"/>
    <w:rsid w:val="3A8AF451"/>
    <w:rsid w:val="3B2AA59D"/>
    <w:rsid w:val="41F6D77D"/>
    <w:rsid w:val="42E73094"/>
    <w:rsid w:val="45BA55AC"/>
    <w:rsid w:val="4A5BF3D0"/>
    <w:rsid w:val="4A8B6D54"/>
    <w:rsid w:val="4D0C3657"/>
    <w:rsid w:val="4D5FF4BF"/>
    <w:rsid w:val="4EE9CD72"/>
    <w:rsid w:val="52B841B8"/>
    <w:rsid w:val="58069973"/>
    <w:rsid w:val="59583879"/>
    <w:rsid w:val="5B7B4D69"/>
    <w:rsid w:val="60A186F3"/>
    <w:rsid w:val="61260ECD"/>
    <w:rsid w:val="61FCDAE0"/>
    <w:rsid w:val="65347BA2"/>
    <w:rsid w:val="65F97FF0"/>
    <w:rsid w:val="66B723A6"/>
    <w:rsid w:val="691E18B0"/>
    <w:rsid w:val="6930C475"/>
    <w:rsid w:val="6ABBE5A7"/>
    <w:rsid w:val="6AEEFCD5"/>
    <w:rsid w:val="6B9F9E23"/>
    <w:rsid w:val="6C4A4755"/>
    <w:rsid w:val="709FFDE6"/>
    <w:rsid w:val="75F6A662"/>
    <w:rsid w:val="7C947B86"/>
    <w:rsid w:val="7D44767A"/>
    <w:rsid w:val="7D4C312F"/>
    <w:rsid w:val="7E1EDE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F3D0"/>
  <w15:chartTrackingRefBased/>
  <w15:docId w15:val="{D71566ED-C1E0-44D2-97E7-8D2E7F4B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adii@ilo.org" TargetMode="External"/><Relationship Id="rId5" Type="http://schemas.openxmlformats.org/officeDocument/2006/relationships/hyperlink" Target="https://www.ilo.org/africa/countries-covered/tunisia/WCMS_774914/lang--fr/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Ayari, Mohamed Skander</dc:creator>
  <cp:keywords/>
  <dc:description/>
  <cp:lastModifiedBy>Ayadi, Ichrak</cp:lastModifiedBy>
  <cp:revision>2</cp:revision>
  <dcterms:created xsi:type="dcterms:W3CDTF">2022-10-18T10:40:00Z</dcterms:created>
  <dcterms:modified xsi:type="dcterms:W3CDTF">2022-10-18T10:40:00Z</dcterms:modified>
</cp:coreProperties>
</file>