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D201" w14:textId="77777777" w:rsidR="006431D0" w:rsidRDefault="006431D0" w:rsidP="006431D0">
      <w:pPr>
        <w:pStyle w:val="Default"/>
        <w:spacing w:line="276" w:lineRule="auto"/>
        <w:jc w:val="both"/>
      </w:pPr>
    </w:p>
    <w:p w14:paraId="36264DE0" w14:textId="447BBB4B" w:rsidR="006431D0" w:rsidRDefault="006431D0" w:rsidP="006431D0">
      <w:pPr>
        <w:pStyle w:val="Default"/>
        <w:spacing w:line="276" w:lineRule="auto"/>
        <w:jc w:val="center"/>
        <w:rPr>
          <w:b/>
          <w:bCs/>
          <w:sz w:val="22"/>
          <w:szCs w:val="22"/>
          <w:lang w:val="fr-FR"/>
        </w:rPr>
      </w:pPr>
      <w:r w:rsidRPr="006431D0">
        <w:rPr>
          <w:b/>
          <w:bCs/>
          <w:sz w:val="22"/>
          <w:szCs w:val="22"/>
          <w:lang w:val="fr-FR"/>
        </w:rPr>
        <w:t>Appel à candidatures pour la sélection d’un(e) consultant(e) chargé(e) de l'élaboration d’un guide portant sur les plans d'investissement participatif pour des villes vertes</w:t>
      </w:r>
    </w:p>
    <w:p w14:paraId="59CD0BC7" w14:textId="77777777" w:rsidR="006431D0" w:rsidRPr="006431D0" w:rsidRDefault="006431D0" w:rsidP="006431D0">
      <w:pPr>
        <w:pStyle w:val="Default"/>
        <w:spacing w:line="276" w:lineRule="auto"/>
        <w:jc w:val="both"/>
        <w:rPr>
          <w:sz w:val="22"/>
          <w:szCs w:val="22"/>
          <w:lang w:val="fr-FR"/>
        </w:rPr>
      </w:pPr>
    </w:p>
    <w:p w14:paraId="76865839" w14:textId="2A49C1D6" w:rsidR="006431D0" w:rsidRDefault="006431D0" w:rsidP="006431D0">
      <w:pPr>
        <w:pStyle w:val="Default"/>
        <w:spacing w:line="276" w:lineRule="auto"/>
        <w:jc w:val="right"/>
        <w:rPr>
          <w:sz w:val="22"/>
          <w:szCs w:val="22"/>
          <w:lang w:val="fr-FR"/>
        </w:rPr>
      </w:pPr>
      <w:r w:rsidRPr="006431D0">
        <w:rPr>
          <w:sz w:val="22"/>
          <w:szCs w:val="22"/>
          <w:lang w:val="fr-FR"/>
        </w:rPr>
        <w:t xml:space="preserve">Echéance : 26/10/2022 à 12h </w:t>
      </w:r>
    </w:p>
    <w:p w14:paraId="6A9E01D6" w14:textId="77777777" w:rsidR="006431D0" w:rsidRPr="006431D0" w:rsidRDefault="006431D0" w:rsidP="006431D0">
      <w:pPr>
        <w:pStyle w:val="Default"/>
        <w:spacing w:line="276" w:lineRule="auto"/>
        <w:jc w:val="both"/>
        <w:rPr>
          <w:sz w:val="22"/>
          <w:szCs w:val="22"/>
          <w:lang w:val="fr-FR"/>
        </w:rPr>
      </w:pPr>
    </w:p>
    <w:p w14:paraId="1AF37859" w14:textId="77777777" w:rsidR="006431D0" w:rsidRPr="006431D0" w:rsidRDefault="006431D0" w:rsidP="006431D0">
      <w:pPr>
        <w:pStyle w:val="Default"/>
        <w:spacing w:line="276" w:lineRule="auto"/>
        <w:jc w:val="both"/>
        <w:rPr>
          <w:sz w:val="22"/>
          <w:szCs w:val="22"/>
          <w:lang w:val="fr-FR"/>
        </w:rPr>
      </w:pPr>
      <w:r w:rsidRPr="006431D0">
        <w:rPr>
          <w:b/>
          <w:bCs/>
          <w:sz w:val="22"/>
          <w:szCs w:val="22"/>
          <w:lang w:val="fr-FR"/>
        </w:rPr>
        <w:t xml:space="preserve">Lieu de la mission : </w:t>
      </w:r>
      <w:r w:rsidRPr="006431D0">
        <w:rPr>
          <w:sz w:val="22"/>
          <w:szCs w:val="22"/>
          <w:lang w:val="fr-FR"/>
        </w:rPr>
        <w:t xml:space="preserve">Sfax </w:t>
      </w:r>
    </w:p>
    <w:p w14:paraId="095CA8B4" w14:textId="77777777" w:rsidR="006431D0" w:rsidRPr="006431D0" w:rsidRDefault="006431D0" w:rsidP="006431D0">
      <w:pPr>
        <w:pStyle w:val="Default"/>
        <w:spacing w:line="276" w:lineRule="auto"/>
        <w:jc w:val="both"/>
        <w:rPr>
          <w:sz w:val="22"/>
          <w:szCs w:val="22"/>
          <w:lang w:val="fr-FR"/>
        </w:rPr>
      </w:pPr>
      <w:r w:rsidRPr="006431D0">
        <w:rPr>
          <w:b/>
          <w:bCs/>
          <w:sz w:val="22"/>
          <w:szCs w:val="22"/>
          <w:lang w:val="fr-FR"/>
        </w:rPr>
        <w:t xml:space="preserve">Date de début : </w:t>
      </w:r>
      <w:r w:rsidRPr="006431D0">
        <w:rPr>
          <w:sz w:val="22"/>
          <w:szCs w:val="22"/>
          <w:lang w:val="fr-FR"/>
        </w:rPr>
        <w:t xml:space="preserve">28 octobre 2022 </w:t>
      </w:r>
    </w:p>
    <w:p w14:paraId="42C0C7F9" w14:textId="77777777" w:rsidR="006431D0" w:rsidRPr="006431D0" w:rsidRDefault="006431D0" w:rsidP="006431D0">
      <w:pPr>
        <w:pStyle w:val="Default"/>
        <w:spacing w:line="276" w:lineRule="auto"/>
        <w:jc w:val="both"/>
        <w:rPr>
          <w:sz w:val="22"/>
          <w:szCs w:val="22"/>
          <w:lang w:val="fr-FR"/>
        </w:rPr>
      </w:pPr>
      <w:r w:rsidRPr="006431D0">
        <w:rPr>
          <w:b/>
          <w:bCs/>
          <w:sz w:val="22"/>
          <w:szCs w:val="22"/>
          <w:lang w:val="fr-FR"/>
        </w:rPr>
        <w:t xml:space="preserve">Date de fin : </w:t>
      </w:r>
      <w:r w:rsidRPr="006431D0">
        <w:rPr>
          <w:sz w:val="22"/>
          <w:szCs w:val="22"/>
          <w:lang w:val="fr-FR"/>
        </w:rPr>
        <w:t xml:space="preserve">19 novembre 2022 </w:t>
      </w:r>
    </w:p>
    <w:p w14:paraId="78C47957" w14:textId="77777777" w:rsidR="006431D0" w:rsidRPr="006431D0" w:rsidRDefault="006431D0" w:rsidP="006431D0">
      <w:pPr>
        <w:pStyle w:val="Default"/>
        <w:spacing w:line="276" w:lineRule="auto"/>
        <w:jc w:val="both"/>
        <w:rPr>
          <w:sz w:val="22"/>
          <w:szCs w:val="22"/>
          <w:lang w:val="fr-FR"/>
        </w:rPr>
      </w:pPr>
      <w:r w:rsidRPr="006431D0">
        <w:rPr>
          <w:b/>
          <w:bCs/>
          <w:sz w:val="22"/>
          <w:szCs w:val="22"/>
          <w:lang w:val="fr-FR"/>
        </w:rPr>
        <w:t xml:space="preserve">Type de contrat : </w:t>
      </w:r>
      <w:r w:rsidRPr="006431D0">
        <w:rPr>
          <w:sz w:val="22"/>
          <w:szCs w:val="22"/>
          <w:lang w:val="fr-FR"/>
        </w:rPr>
        <w:t xml:space="preserve">Contrat de prestation de service </w:t>
      </w:r>
    </w:p>
    <w:p w14:paraId="246FEF4D" w14:textId="3762D7D1" w:rsidR="006431D0" w:rsidRDefault="006431D0" w:rsidP="006431D0">
      <w:pPr>
        <w:pStyle w:val="Default"/>
        <w:spacing w:line="276" w:lineRule="auto"/>
        <w:jc w:val="both"/>
        <w:rPr>
          <w:sz w:val="22"/>
          <w:szCs w:val="22"/>
          <w:lang w:val="fr-FR"/>
        </w:rPr>
      </w:pPr>
      <w:r w:rsidRPr="006431D0">
        <w:rPr>
          <w:b/>
          <w:bCs/>
          <w:sz w:val="22"/>
          <w:szCs w:val="22"/>
          <w:lang w:val="fr-FR"/>
        </w:rPr>
        <w:t xml:space="preserve">Langues : </w:t>
      </w:r>
      <w:r w:rsidRPr="006431D0">
        <w:rPr>
          <w:sz w:val="22"/>
          <w:szCs w:val="22"/>
          <w:lang w:val="fr-FR"/>
        </w:rPr>
        <w:t xml:space="preserve">Arabe et français </w:t>
      </w:r>
    </w:p>
    <w:p w14:paraId="65FE311C" w14:textId="77777777" w:rsidR="006431D0" w:rsidRPr="006431D0" w:rsidRDefault="006431D0" w:rsidP="006431D0">
      <w:pPr>
        <w:pStyle w:val="Default"/>
        <w:spacing w:line="276" w:lineRule="auto"/>
        <w:jc w:val="both"/>
        <w:rPr>
          <w:sz w:val="22"/>
          <w:szCs w:val="22"/>
          <w:lang w:val="fr-FR"/>
        </w:rPr>
      </w:pPr>
    </w:p>
    <w:p w14:paraId="753C17A3" w14:textId="45D332D4" w:rsidR="006431D0" w:rsidRDefault="006431D0" w:rsidP="006431D0">
      <w:pPr>
        <w:pStyle w:val="Default"/>
        <w:spacing w:line="276" w:lineRule="auto"/>
        <w:jc w:val="both"/>
        <w:rPr>
          <w:b/>
          <w:bCs/>
          <w:sz w:val="28"/>
          <w:szCs w:val="28"/>
          <w:lang w:val="fr-FR"/>
        </w:rPr>
      </w:pPr>
      <w:r w:rsidRPr="006431D0">
        <w:rPr>
          <w:b/>
          <w:bCs/>
          <w:sz w:val="28"/>
          <w:szCs w:val="28"/>
          <w:lang w:val="fr-FR"/>
        </w:rPr>
        <w:t xml:space="preserve">Introduction : </w:t>
      </w:r>
    </w:p>
    <w:p w14:paraId="5251CF13" w14:textId="77777777" w:rsidR="006431D0" w:rsidRPr="006431D0" w:rsidRDefault="006431D0" w:rsidP="006431D0">
      <w:pPr>
        <w:pStyle w:val="Default"/>
        <w:spacing w:line="276" w:lineRule="auto"/>
        <w:jc w:val="both"/>
        <w:rPr>
          <w:b/>
          <w:bCs/>
          <w:sz w:val="8"/>
          <w:szCs w:val="8"/>
          <w:lang w:val="fr-FR"/>
        </w:rPr>
      </w:pPr>
    </w:p>
    <w:p w14:paraId="1D63D109" w14:textId="2CE8C906" w:rsidR="006431D0" w:rsidRDefault="006431D0" w:rsidP="006431D0">
      <w:pPr>
        <w:pStyle w:val="Default"/>
        <w:spacing w:line="276" w:lineRule="auto"/>
        <w:jc w:val="both"/>
        <w:rPr>
          <w:sz w:val="22"/>
          <w:szCs w:val="22"/>
          <w:lang w:val="fr-FR"/>
        </w:rPr>
      </w:pPr>
      <w:r w:rsidRPr="006431D0">
        <w:rPr>
          <w:sz w:val="22"/>
          <w:szCs w:val="22"/>
          <w:lang w:val="fr-FR"/>
        </w:rPr>
        <w:t xml:space="preserve">Dans le cadre de mise en </w:t>
      </w:r>
      <w:r w:rsidR="00080BEE" w:rsidRPr="006431D0">
        <w:rPr>
          <w:sz w:val="22"/>
          <w:szCs w:val="22"/>
          <w:lang w:val="fr-FR"/>
        </w:rPr>
        <w:t>œuvre</w:t>
      </w:r>
      <w:r w:rsidRPr="006431D0">
        <w:rPr>
          <w:sz w:val="22"/>
          <w:szCs w:val="22"/>
          <w:lang w:val="fr-FR"/>
        </w:rPr>
        <w:t xml:space="preserve"> du projet « les loupes vertes », l’Association Ifriqiya, avec le soutien du fonds de la démocratie pour tous de l’Ambassade d’Allemagne à Tunis, recrute </w:t>
      </w:r>
      <w:proofErr w:type="spellStart"/>
      <w:r w:rsidRPr="006431D0">
        <w:rPr>
          <w:sz w:val="22"/>
          <w:szCs w:val="22"/>
          <w:lang w:val="fr-FR"/>
        </w:rPr>
        <w:t>un.e</w:t>
      </w:r>
      <w:proofErr w:type="spellEnd"/>
      <w:r w:rsidRPr="006431D0">
        <w:rPr>
          <w:sz w:val="22"/>
          <w:szCs w:val="22"/>
          <w:lang w:val="fr-FR"/>
        </w:rPr>
        <w:t xml:space="preserve">. </w:t>
      </w:r>
      <w:proofErr w:type="spellStart"/>
      <w:proofErr w:type="gramStart"/>
      <w:r w:rsidRPr="006431D0">
        <w:rPr>
          <w:sz w:val="22"/>
          <w:szCs w:val="22"/>
          <w:lang w:val="fr-FR"/>
        </w:rPr>
        <w:t>consultant.e</w:t>
      </w:r>
      <w:proofErr w:type="spellEnd"/>
      <w:proofErr w:type="gramEnd"/>
      <w:r w:rsidRPr="006431D0">
        <w:rPr>
          <w:sz w:val="22"/>
          <w:szCs w:val="22"/>
          <w:lang w:val="fr-FR"/>
        </w:rPr>
        <w:t xml:space="preserve"> pour l’élaboration d’un guide d’élaboration des projets d’investissement participatifs pour des villes vertes. </w:t>
      </w:r>
    </w:p>
    <w:p w14:paraId="4777465D" w14:textId="77777777" w:rsidR="006431D0" w:rsidRPr="006431D0" w:rsidRDefault="006431D0" w:rsidP="006431D0">
      <w:pPr>
        <w:pStyle w:val="Default"/>
        <w:spacing w:line="276" w:lineRule="auto"/>
        <w:jc w:val="both"/>
        <w:rPr>
          <w:sz w:val="8"/>
          <w:szCs w:val="8"/>
          <w:lang w:val="fr-FR"/>
        </w:rPr>
      </w:pPr>
    </w:p>
    <w:p w14:paraId="195713D3" w14:textId="77777777" w:rsidR="006431D0" w:rsidRPr="006431D0" w:rsidRDefault="006431D0" w:rsidP="006431D0">
      <w:pPr>
        <w:pStyle w:val="Default"/>
        <w:spacing w:line="276" w:lineRule="auto"/>
        <w:jc w:val="both"/>
        <w:rPr>
          <w:sz w:val="28"/>
          <w:szCs w:val="28"/>
          <w:lang w:val="fr-FR"/>
        </w:rPr>
      </w:pPr>
      <w:r w:rsidRPr="006431D0">
        <w:rPr>
          <w:b/>
          <w:bCs/>
          <w:sz w:val="28"/>
          <w:szCs w:val="28"/>
          <w:lang w:val="fr-FR"/>
        </w:rPr>
        <w:t xml:space="preserve">Contexte du projet : </w:t>
      </w:r>
    </w:p>
    <w:p w14:paraId="3CA0390E" w14:textId="77777777"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Face à la situation d'urgence environnementale dans la région de Sfax, les difficultés que connaît le processus de décentralisation tel qu'il a été consacré dans le code des collectivités locales ainsi que la faible implication des citoyens dans l’élaboration ainsi que le suivi des plans d'investissements participatifs, l’association Ifriqiya propose de former un certain nombre de jeunes dans ces domaines afin de les permettre à participer et suivre les activités des structures communales liées à l'environnement et l'urbanisme; ainsi que de devenir une véritable force de proposition dans le processus d'élaboration et d'exécution des programmes d'investissements participatifs. </w:t>
      </w:r>
    </w:p>
    <w:p w14:paraId="69B998CA" w14:textId="77777777"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Le projet « Les loupes vertes » vise à contribuer à la création d’une opinion publique environnementale locale en favorisant la participation des jeunes dans la prise de décision au niveau local. </w:t>
      </w:r>
    </w:p>
    <w:p w14:paraId="10275AE6" w14:textId="2781E080" w:rsidR="006431D0" w:rsidRDefault="006431D0" w:rsidP="006431D0">
      <w:pPr>
        <w:pStyle w:val="Default"/>
        <w:spacing w:line="276" w:lineRule="auto"/>
        <w:jc w:val="both"/>
        <w:rPr>
          <w:sz w:val="22"/>
          <w:szCs w:val="22"/>
          <w:lang w:val="fr-FR"/>
        </w:rPr>
      </w:pPr>
      <w:r w:rsidRPr="006431D0">
        <w:rPr>
          <w:sz w:val="22"/>
          <w:szCs w:val="22"/>
          <w:lang w:val="fr-FR"/>
        </w:rPr>
        <w:t xml:space="preserve">Ce projet vise d’une manière particulière à renforcer les capacités des jeunes adhérents au sein des maisons de jeunes en matière environnementale et de démocratie participative et les impliquer dans le processus participatif local. De même, ce projet vise à développer et soutenir le travail communal en valorisant davantage l'état de l'environnement et ses enjeux dans le processus d’élaboration des projets d’investissement participatifs </w:t>
      </w:r>
    </w:p>
    <w:p w14:paraId="3C8E44C0" w14:textId="77777777" w:rsidR="006431D0" w:rsidRPr="006431D0" w:rsidRDefault="006431D0" w:rsidP="006431D0">
      <w:pPr>
        <w:pStyle w:val="Default"/>
        <w:spacing w:line="276" w:lineRule="auto"/>
        <w:jc w:val="both"/>
        <w:rPr>
          <w:sz w:val="8"/>
          <w:szCs w:val="8"/>
          <w:lang w:val="fr-FR"/>
        </w:rPr>
      </w:pPr>
    </w:p>
    <w:p w14:paraId="50D6D10B" w14:textId="38F040B5" w:rsidR="006431D0" w:rsidRDefault="006431D0" w:rsidP="006431D0">
      <w:pPr>
        <w:pStyle w:val="Default"/>
        <w:spacing w:line="276" w:lineRule="auto"/>
        <w:jc w:val="both"/>
        <w:rPr>
          <w:b/>
          <w:bCs/>
          <w:sz w:val="28"/>
          <w:szCs w:val="28"/>
          <w:lang w:val="fr-FR"/>
        </w:rPr>
      </w:pPr>
      <w:r w:rsidRPr="006431D0">
        <w:rPr>
          <w:b/>
          <w:bCs/>
          <w:sz w:val="28"/>
          <w:szCs w:val="28"/>
          <w:lang w:val="fr-FR"/>
        </w:rPr>
        <w:t xml:space="preserve">Objectifs de la mission : </w:t>
      </w:r>
    </w:p>
    <w:p w14:paraId="73EF3A1D" w14:textId="77777777" w:rsidR="006431D0" w:rsidRPr="006431D0" w:rsidRDefault="006431D0" w:rsidP="006431D0">
      <w:pPr>
        <w:pStyle w:val="Default"/>
        <w:spacing w:line="276" w:lineRule="auto"/>
        <w:jc w:val="both"/>
        <w:rPr>
          <w:sz w:val="10"/>
          <w:szCs w:val="10"/>
          <w:lang w:val="fr-FR"/>
        </w:rPr>
      </w:pPr>
    </w:p>
    <w:p w14:paraId="0F544AFD" w14:textId="6FDB32E1"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Le guide va permettre de soutenir le travail des communes quant à la préparation de tout le processus de l’élaboration des projets d’investissements participatifs. L'objectif du guide est de divulguer les dispositions légales du CCL et des décrets d’application relatifs aux projets d’investissements participatifs aux élus locaux, </w:t>
      </w:r>
      <w:r>
        <w:rPr>
          <w:sz w:val="22"/>
          <w:szCs w:val="22"/>
          <w:lang w:val="fr-FR"/>
        </w:rPr>
        <w:t xml:space="preserve">aux </w:t>
      </w:r>
      <w:r w:rsidRPr="006431D0">
        <w:rPr>
          <w:sz w:val="22"/>
          <w:szCs w:val="22"/>
          <w:lang w:val="fr-FR"/>
        </w:rPr>
        <w:t>chercheurs et à toute personne intéressée par les projets d'investissement participatifs d'une manière claire, schématisée.</w:t>
      </w:r>
    </w:p>
    <w:p w14:paraId="44F3AC50" w14:textId="77777777"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Ce guide porteur de différentes réflexions, tend à mettre en lumière l’importance de la prise en compte des projets verts par les communes et la possibilité de la réalisation de tels projets dans le Plan Annuel d’Investissement (PAI). Ceci vise également de renforcer la nécessité de la démocratie participative en faveur de l’investissement vert pour </w:t>
      </w:r>
      <w:r w:rsidRPr="006431D0">
        <w:rPr>
          <w:sz w:val="22"/>
          <w:szCs w:val="22"/>
          <w:lang w:val="fr-FR"/>
        </w:rPr>
        <w:lastRenderedPageBreak/>
        <w:t xml:space="preserve">les communes ainsi que de mettre en valeur les bonnes pratiques du projet « les loupes vertes » (telles que la participation des jeunes et leurs implications dans la prise de décision au niveau local…). </w:t>
      </w:r>
    </w:p>
    <w:p w14:paraId="53265F30" w14:textId="473BD880" w:rsidR="006431D0" w:rsidRDefault="006431D0" w:rsidP="006431D0">
      <w:pPr>
        <w:pStyle w:val="Default"/>
        <w:spacing w:line="276" w:lineRule="auto"/>
        <w:jc w:val="both"/>
        <w:rPr>
          <w:sz w:val="22"/>
          <w:szCs w:val="22"/>
          <w:lang w:val="fr-FR"/>
        </w:rPr>
      </w:pPr>
      <w:r w:rsidRPr="006431D0">
        <w:rPr>
          <w:sz w:val="22"/>
          <w:szCs w:val="22"/>
          <w:lang w:val="fr-FR"/>
        </w:rPr>
        <w:t xml:space="preserve">Afin d'avoir le maximum d'impacts et prenant en compte les particularités des communes, et les différentes cibles, le guide va être également traduit en arabe (par l’expert qui va l’élaborer). Le guide sera également publié en ligne dans les réseaux sociaux et sera imprimé et distribué dans le deuxième Forum. Le guide sera également destiné aux acteurs qui accompagnent les communes dans leurs travaux tels que les associations, les administrations centrales, les étudiants... </w:t>
      </w:r>
    </w:p>
    <w:p w14:paraId="5DED7C97" w14:textId="77777777" w:rsidR="006431D0" w:rsidRPr="006431D0" w:rsidRDefault="006431D0" w:rsidP="006431D0">
      <w:pPr>
        <w:pStyle w:val="Default"/>
        <w:spacing w:line="276" w:lineRule="auto"/>
        <w:jc w:val="both"/>
        <w:rPr>
          <w:sz w:val="8"/>
          <w:szCs w:val="8"/>
          <w:lang w:val="fr-FR"/>
        </w:rPr>
      </w:pPr>
    </w:p>
    <w:p w14:paraId="021EA462" w14:textId="7AD1A1BE" w:rsidR="006431D0" w:rsidRDefault="006431D0" w:rsidP="006431D0">
      <w:pPr>
        <w:pStyle w:val="Default"/>
        <w:spacing w:line="276" w:lineRule="auto"/>
        <w:jc w:val="both"/>
        <w:rPr>
          <w:b/>
          <w:bCs/>
          <w:sz w:val="28"/>
          <w:szCs w:val="28"/>
          <w:lang w:val="fr-FR"/>
        </w:rPr>
      </w:pPr>
      <w:r w:rsidRPr="006431D0">
        <w:rPr>
          <w:b/>
          <w:bCs/>
          <w:sz w:val="28"/>
          <w:szCs w:val="28"/>
          <w:lang w:val="fr-FR"/>
        </w:rPr>
        <w:t xml:space="preserve">Profil de l’expert et effort demandé : </w:t>
      </w:r>
    </w:p>
    <w:p w14:paraId="5736DDA6" w14:textId="77777777" w:rsidR="006431D0" w:rsidRPr="006431D0" w:rsidRDefault="006431D0" w:rsidP="006431D0">
      <w:pPr>
        <w:pStyle w:val="Default"/>
        <w:spacing w:line="276" w:lineRule="auto"/>
        <w:jc w:val="both"/>
        <w:rPr>
          <w:sz w:val="8"/>
          <w:szCs w:val="8"/>
          <w:lang w:val="fr-FR"/>
        </w:rPr>
      </w:pPr>
    </w:p>
    <w:p w14:paraId="6C950550" w14:textId="77777777"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-Diplôme : ingénieur / master/ doctorat </w:t>
      </w:r>
    </w:p>
    <w:p w14:paraId="2BF9B35F" w14:textId="77777777"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-Spécialité : Droit/ Environnement/ ou équivalant. </w:t>
      </w:r>
    </w:p>
    <w:p w14:paraId="2562FDE2" w14:textId="77777777"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-Expérience : au moins 2 ans d’expérience professionnelle dans le domaine de l’environnement et de la démocratie participative… </w:t>
      </w:r>
    </w:p>
    <w:p w14:paraId="61B28DAF" w14:textId="77777777"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 Références : </w:t>
      </w:r>
    </w:p>
    <w:p w14:paraId="19F25076" w14:textId="77777777" w:rsidR="006431D0" w:rsidRPr="006431D0" w:rsidRDefault="006431D0" w:rsidP="006431D0">
      <w:pPr>
        <w:pStyle w:val="Default"/>
        <w:spacing w:after="39" w:line="276" w:lineRule="auto"/>
        <w:jc w:val="both"/>
        <w:rPr>
          <w:sz w:val="22"/>
          <w:szCs w:val="22"/>
          <w:lang w:val="fr-FR"/>
        </w:rPr>
      </w:pPr>
      <w:r w:rsidRPr="006431D0">
        <w:rPr>
          <w:sz w:val="22"/>
          <w:szCs w:val="22"/>
          <w:lang w:val="fr-FR"/>
        </w:rPr>
        <w:t xml:space="preserve">- Ayant travaillé en tant qu’expert dans la rédaction et élaboration des guides, des référentiels et de manuels des procédures. </w:t>
      </w:r>
    </w:p>
    <w:p w14:paraId="00058933" w14:textId="77777777" w:rsidR="006431D0" w:rsidRPr="006431D0" w:rsidRDefault="006431D0" w:rsidP="006431D0">
      <w:pPr>
        <w:pStyle w:val="Default"/>
        <w:spacing w:after="39" w:line="276" w:lineRule="auto"/>
        <w:jc w:val="both"/>
        <w:rPr>
          <w:sz w:val="22"/>
          <w:szCs w:val="22"/>
          <w:lang w:val="fr-FR"/>
        </w:rPr>
      </w:pPr>
      <w:r w:rsidRPr="006431D0">
        <w:rPr>
          <w:sz w:val="22"/>
          <w:szCs w:val="22"/>
          <w:lang w:val="fr-FR"/>
        </w:rPr>
        <w:t xml:space="preserve">- Ayant une excellente capacité en analyse, </w:t>
      </w:r>
    </w:p>
    <w:p w14:paraId="6F6D2432" w14:textId="77777777" w:rsidR="006431D0" w:rsidRPr="006431D0" w:rsidRDefault="006431D0" w:rsidP="006431D0">
      <w:pPr>
        <w:pStyle w:val="Default"/>
        <w:spacing w:after="39" w:line="276" w:lineRule="auto"/>
        <w:jc w:val="both"/>
        <w:rPr>
          <w:sz w:val="22"/>
          <w:szCs w:val="22"/>
          <w:lang w:val="fr-FR"/>
        </w:rPr>
      </w:pPr>
      <w:r w:rsidRPr="006431D0">
        <w:rPr>
          <w:sz w:val="22"/>
          <w:szCs w:val="22"/>
          <w:lang w:val="fr-FR"/>
        </w:rPr>
        <w:t xml:space="preserve">- Ayant une bonne connaissance des processus d’élaboration des projets d’investissements participatifs par les communes </w:t>
      </w:r>
    </w:p>
    <w:p w14:paraId="6410D319" w14:textId="6EE20B3C"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 Ayant une bonne compétence en évaluation de la situation environnementale de la région ciblée </w:t>
      </w:r>
    </w:p>
    <w:p w14:paraId="747F5007" w14:textId="77777777"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 Langue : maîtrise de la langue française et arabe </w:t>
      </w:r>
    </w:p>
    <w:p w14:paraId="532E169A" w14:textId="70D5E625" w:rsidR="006431D0" w:rsidRDefault="006431D0" w:rsidP="006431D0">
      <w:pPr>
        <w:pStyle w:val="Default"/>
        <w:spacing w:line="276" w:lineRule="auto"/>
        <w:jc w:val="both"/>
        <w:rPr>
          <w:sz w:val="22"/>
          <w:szCs w:val="22"/>
          <w:lang w:val="fr-FR"/>
        </w:rPr>
      </w:pPr>
      <w:r w:rsidRPr="006431D0">
        <w:rPr>
          <w:sz w:val="22"/>
          <w:szCs w:val="22"/>
          <w:lang w:val="fr-FR"/>
        </w:rPr>
        <w:t xml:space="preserve">- L’effort pour la réalisation de cette mission est estimé à 120h/S. </w:t>
      </w:r>
    </w:p>
    <w:p w14:paraId="58EB0244" w14:textId="77777777" w:rsidR="006431D0" w:rsidRPr="006431D0" w:rsidRDefault="006431D0" w:rsidP="006431D0">
      <w:pPr>
        <w:pStyle w:val="Default"/>
        <w:spacing w:line="276" w:lineRule="auto"/>
        <w:jc w:val="both"/>
        <w:rPr>
          <w:sz w:val="10"/>
          <w:szCs w:val="10"/>
          <w:lang w:val="fr-FR"/>
        </w:rPr>
      </w:pPr>
    </w:p>
    <w:p w14:paraId="2DA75269" w14:textId="07114E74" w:rsidR="006431D0" w:rsidRDefault="006431D0" w:rsidP="006431D0">
      <w:pPr>
        <w:pStyle w:val="Default"/>
        <w:spacing w:line="276" w:lineRule="auto"/>
        <w:jc w:val="both"/>
        <w:rPr>
          <w:b/>
          <w:bCs/>
          <w:sz w:val="28"/>
          <w:szCs w:val="28"/>
          <w:lang w:val="fr-FR"/>
        </w:rPr>
      </w:pPr>
      <w:r w:rsidRPr="006431D0">
        <w:rPr>
          <w:b/>
          <w:bCs/>
          <w:sz w:val="28"/>
          <w:szCs w:val="28"/>
          <w:lang w:val="fr-FR"/>
        </w:rPr>
        <w:t xml:space="preserve">Livrables, résultats attendus et calendrier de réalisation de la mission : </w:t>
      </w:r>
    </w:p>
    <w:p w14:paraId="3DFB767B" w14:textId="77777777" w:rsidR="006431D0" w:rsidRPr="006431D0" w:rsidRDefault="006431D0" w:rsidP="006431D0">
      <w:pPr>
        <w:pStyle w:val="Default"/>
        <w:spacing w:line="276" w:lineRule="auto"/>
        <w:jc w:val="both"/>
        <w:rPr>
          <w:b/>
          <w:bCs/>
          <w:sz w:val="8"/>
          <w:szCs w:val="8"/>
          <w:lang w:val="fr-FR"/>
        </w:rPr>
      </w:pPr>
    </w:p>
    <w:p w14:paraId="2A25E7BD" w14:textId="7974A373" w:rsidR="006431D0" w:rsidRDefault="006431D0" w:rsidP="006431D0">
      <w:pPr>
        <w:pStyle w:val="Default"/>
        <w:spacing w:line="276" w:lineRule="auto"/>
        <w:jc w:val="both"/>
        <w:rPr>
          <w:sz w:val="22"/>
          <w:szCs w:val="22"/>
          <w:lang w:val="fr-FR"/>
        </w:rPr>
      </w:pPr>
      <w:r w:rsidRPr="006431D0">
        <w:rPr>
          <w:sz w:val="22"/>
          <w:szCs w:val="22"/>
          <w:lang w:val="fr-FR"/>
        </w:rPr>
        <w:t>La durée maximale prévue pour la réalisation de l’ensemble des travaux est estimée à trois (3) semaines, à partir de la date de signature du contrat.</w:t>
      </w:r>
    </w:p>
    <w:p w14:paraId="0AAF5C6E" w14:textId="77777777" w:rsidR="00080BEE" w:rsidRPr="006431D0" w:rsidRDefault="00080BEE" w:rsidP="006431D0">
      <w:pPr>
        <w:pStyle w:val="Default"/>
        <w:spacing w:line="276" w:lineRule="auto"/>
        <w:jc w:val="both"/>
        <w:rPr>
          <w:sz w:val="22"/>
          <w:szCs w:val="22"/>
          <w:lang w:val="fr-FR"/>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44"/>
        <w:gridCol w:w="4544"/>
      </w:tblGrid>
      <w:tr w:rsidR="006431D0" w14:paraId="59B1F393" w14:textId="77777777">
        <w:tblPrEx>
          <w:tblCellMar>
            <w:top w:w="0" w:type="dxa"/>
            <w:bottom w:w="0" w:type="dxa"/>
          </w:tblCellMar>
        </w:tblPrEx>
        <w:trPr>
          <w:trHeight w:val="140"/>
        </w:trPr>
        <w:tc>
          <w:tcPr>
            <w:tcW w:w="4544" w:type="dxa"/>
            <w:tcBorders>
              <w:top w:val="none" w:sz="6" w:space="0" w:color="auto"/>
              <w:bottom w:val="none" w:sz="6" w:space="0" w:color="auto"/>
              <w:right w:val="none" w:sz="6" w:space="0" w:color="auto"/>
            </w:tcBorders>
          </w:tcPr>
          <w:p w14:paraId="0B3816AE" w14:textId="4207FDAE" w:rsidR="006431D0" w:rsidRDefault="006431D0" w:rsidP="006431D0">
            <w:pPr>
              <w:pStyle w:val="Default"/>
              <w:spacing w:line="276" w:lineRule="auto"/>
              <w:jc w:val="both"/>
              <w:rPr>
                <w:sz w:val="28"/>
                <w:szCs w:val="28"/>
              </w:rPr>
            </w:pPr>
            <w:proofErr w:type="spellStart"/>
            <w:r>
              <w:rPr>
                <w:b/>
                <w:bCs/>
                <w:sz w:val="28"/>
                <w:szCs w:val="28"/>
              </w:rPr>
              <w:t>Livrables</w:t>
            </w:r>
            <w:proofErr w:type="spellEnd"/>
            <w:r>
              <w:rPr>
                <w:b/>
                <w:bCs/>
                <w:sz w:val="28"/>
                <w:szCs w:val="28"/>
              </w:rPr>
              <w:t xml:space="preserve"> </w:t>
            </w:r>
          </w:p>
        </w:tc>
        <w:tc>
          <w:tcPr>
            <w:tcW w:w="4544" w:type="dxa"/>
            <w:tcBorders>
              <w:top w:val="none" w:sz="6" w:space="0" w:color="auto"/>
              <w:left w:val="none" w:sz="6" w:space="0" w:color="auto"/>
              <w:bottom w:val="none" w:sz="6" w:space="0" w:color="auto"/>
            </w:tcBorders>
          </w:tcPr>
          <w:p w14:paraId="01CABC99" w14:textId="36FA8B92" w:rsidR="006431D0" w:rsidRDefault="006431D0" w:rsidP="006431D0">
            <w:pPr>
              <w:pStyle w:val="Default"/>
              <w:spacing w:line="276" w:lineRule="auto"/>
              <w:jc w:val="both"/>
              <w:rPr>
                <w:sz w:val="28"/>
                <w:szCs w:val="28"/>
              </w:rPr>
            </w:pPr>
            <w:proofErr w:type="spellStart"/>
            <w:r>
              <w:rPr>
                <w:b/>
                <w:bCs/>
                <w:sz w:val="28"/>
                <w:szCs w:val="28"/>
              </w:rPr>
              <w:t>Délai</w:t>
            </w:r>
            <w:r>
              <w:rPr>
                <w:b/>
                <w:bCs/>
                <w:sz w:val="28"/>
                <w:szCs w:val="28"/>
              </w:rPr>
              <w:t>s</w:t>
            </w:r>
            <w:proofErr w:type="spellEnd"/>
            <w:r>
              <w:rPr>
                <w:b/>
                <w:bCs/>
                <w:sz w:val="28"/>
                <w:szCs w:val="28"/>
              </w:rPr>
              <w:t xml:space="preserve"> de </w:t>
            </w:r>
            <w:proofErr w:type="spellStart"/>
            <w:r>
              <w:rPr>
                <w:b/>
                <w:bCs/>
                <w:sz w:val="28"/>
                <w:szCs w:val="28"/>
              </w:rPr>
              <w:t>réalisation</w:t>
            </w:r>
            <w:proofErr w:type="spellEnd"/>
            <w:r>
              <w:rPr>
                <w:b/>
                <w:bCs/>
                <w:sz w:val="28"/>
                <w:szCs w:val="28"/>
              </w:rPr>
              <w:t xml:space="preserve"> </w:t>
            </w:r>
          </w:p>
        </w:tc>
      </w:tr>
      <w:tr w:rsidR="006431D0" w14:paraId="51994ED4" w14:textId="77777777">
        <w:tblPrEx>
          <w:tblCellMar>
            <w:top w:w="0" w:type="dxa"/>
            <w:bottom w:w="0" w:type="dxa"/>
          </w:tblCellMar>
        </w:tblPrEx>
        <w:trPr>
          <w:trHeight w:val="110"/>
        </w:trPr>
        <w:tc>
          <w:tcPr>
            <w:tcW w:w="4544" w:type="dxa"/>
            <w:tcBorders>
              <w:top w:val="none" w:sz="6" w:space="0" w:color="auto"/>
              <w:bottom w:val="none" w:sz="6" w:space="0" w:color="auto"/>
              <w:right w:val="none" w:sz="6" w:space="0" w:color="auto"/>
            </w:tcBorders>
          </w:tcPr>
          <w:p w14:paraId="1ADA3EE0" w14:textId="77777777" w:rsidR="006431D0" w:rsidRDefault="006431D0" w:rsidP="006431D0">
            <w:pPr>
              <w:pStyle w:val="Default"/>
              <w:spacing w:line="276" w:lineRule="auto"/>
              <w:jc w:val="both"/>
              <w:rPr>
                <w:sz w:val="22"/>
                <w:szCs w:val="22"/>
              </w:rPr>
            </w:pPr>
            <w:r>
              <w:rPr>
                <w:sz w:val="22"/>
                <w:szCs w:val="22"/>
              </w:rPr>
              <w:t xml:space="preserve">Première version du guide </w:t>
            </w:r>
          </w:p>
        </w:tc>
        <w:tc>
          <w:tcPr>
            <w:tcW w:w="4544" w:type="dxa"/>
            <w:tcBorders>
              <w:top w:val="none" w:sz="6" w:space="0" w:color="auto"/>
              <w:left w:val="none" w:sz="6" w:space="0" w:color="auto"/>
              <w:bottom w:val="none" w:sz="6" w:space="0" w:color="auto"/>
            </w:tcBorders>
          </w:tcPr>
          <w:p w14:paraId="41AAD424" w14:textId="77777777" w:rsidR="006431D0" w:rsidRDefault="006431D0" w:rsidP="006431D0">
            <w:pPr>
              <w:pStyle w:val="Default"/>
              <w:spacing w:line="276" w:lineRule="auto"/>
              <w:jc w:val="both"/>
              <w:rPr>
                <w:sz w:val="22"/>
                <w:szCs w:val="22"/>
              </w:rPr>
            </w:pPr>
            <w:r>
              <w:rPr>
                <w:sz w:val="22"/>
                <w:szCs w:val="22"/>
              </w:rPr>
              <w:t xml:space="preserve">14 </w:t>
            </w:r>
            <w:proofErr w:type="spellStart"/>
            <w:r>
              <w:rPr>
                <w:sz w:val="22"/>
                <w:szCs w:val="22"/>
              </w:rPr>
              <w:t>novembre</w:t>
            </w:r>
            <w:proofErr w:type="spellEnd"/>
            <w:r>
              <w:rPr>
                <w:sz w:val="22"/>
                <w:szCs w:val="22"/>
              </w:rPr>
              <w:t xml:space="preserve"> 2022 </w:t>
            </w:r>
          </w:p>
        </w:tc>
      </w:tr>
      <w:tr w:rsidR="006431D0" w14:paraId="6289F26E" w14:textId="77777777">
        <w:tblPrEx>
          <w:tblCellMar>
            <w:top w:w="0" w:type="dxa"/>
            <w:bottom w:w="0" w:type="dxa"/>
          </w:tblCellMar>
        </w:tblPrEx>
        <w:trPr>
          <w:trHeight w:val="110"/>
        </w:trPr>
        <w:tc>
          <w:tcPr>
            <w:tcW w:w="4544" w:type="dxa"/>
            <w:tcBorders>
              <w:top w:val="none" w:sz="6" w:space="0" w:color="auto"/>
              <w:bottom w:val="none" w:sz="6" w:space="0" w:color="auto"/>
              <w:right w:val="none" w:sz="6" w:space="0" w:color="auto"/>
            </w:tcBorders>
          </w:tcPr>
          <w:p w14:paraId="01720E7C" w14:textId="77777777" w:rsidR="006431D0" w:rsidRDefault="006431D0" w:rsidP="006431D0">
            <w:pPr>
              <w:pStyle w:val="Default"/>
              <w:spacing w:line="276" w:lineRule="auto"/>
              <w:jc w:val="both"/>
              <w:rPr>
                <w:sz w:val="22"/>
                <w:szCs w:val="22"/>
              </w:rPr>
            </w:pPr>
            <w:r>
              <w:rPr>
                <w:sz w:val="22"/>
                <w:szCs w:val="22"/>
              </w:rPr>
              <w:t xml:space="preserve">Version finale du guide </w:t>
            </w:r>
          </w:p>
        </w:tc>
        <w:tc>
          <w:tcPr>
            <w:tcW w:w="4544" w:type="dxa"/>
            <w:tcBorders>
              <w:top w:val="none" w:sz="6" w:space="0" w:color="auto"/>
              <w:left w:val="none" w:sz="6" w:space="0" w:color="auto"/>
              <w:bottom w:val="none" w:sz="6" w:space="0" w:color="auto"/>
            </w:tcBorders>
          </w:tcPr>
          <w:p w14:paraId="0FA25B01" w14:textId="77777777" w:rsidR="006431D0" w:rsidRDefault="006431D0" w:rsidP="006431D0">
            <w:pPr>
              <w:pStyle w:val="Default"/>
              <w:spacing w:line="276" w:lineRule="auto"/>
              <w:jc w:val="both"/>
              <w:rPr>
                <w:sz w:val="22"/>
                <w:szCs w:val="22"/>
              </w:rPr>
            </w:pPr>
            <w:r>
              <w:rPr>
                <w:sz w:val="22"/>
                <w:szCs w:val="22"/>
              </w:rPr>
              <w:t xml:space="preserve">19 </w:t>
            </w:r>
            <w:proofErr w:type="spellStart"/>
            <w:r>
              <w:rPr>
                <w:sz w:val="22"/>
                <w:szCs w:val="22"/>
              </w:rPr>
              <w:t>novembre</w:t>
            </w:r>
            <w:proofErr w:type="spellEnd"/>
            <w:r>
              <w:rPr>
                <w:sz w:val="22"/>
                <w:szCs w:val="22"/>
              </w:rPr>
              <w:t xml:space="preserve"> 2022 </w:t>
            </w:r>
          </w:p>
        </w:tc>
      </w:tr>
    </w:tbl>
    <w:p w14:paraId="52C3FC37" w14:textId="77777777" w:rsidR="006431D0" w:rsidRPr="006431D0" w:rsidRDefault="006431D0" w:rsidP="006431D0">
      <w:pPr>
        <w:pStyle w:val="Default"/>
        <w:spacing w:line="276" w:lineRule="auto"/>
        <w:jc w:val="both"/>
        <w:rPr>
          <w:b/>
          <w:bCs/>
          <w:sz w:val="8"/>
          <w:szCs w:val="8"/>
        </w:rPr>
      </w:pPr>
    </w:p>
    <w:p w14:paraId="2CB14B59" w14:textId="2BDA4E11" w:rsidR="006431D0" w:rsidRDefault="006431D0" w:rsidP="006431D0">
      <w:pPr>
        <w:pStyle w:val="Default"/>
        <w:spacing w:line="276" w:lineRule="auto"/>
        <w:jc w:val="both"/>
        <w:rPr>
          <w:b/>
          <w:bCs/>
          <w:sz w:val="28"/>
          <w:szCs w:val="28"/>
        </w:rPr>
      </w:pPr>
      <w:proofErr w:type="spellStart"/>
      <w:r>
        <w:rPr>
          <w:b/>
          <w:bCs/>
          <w:sz w:val="28"/>
          <w:szCs w:val="28"/>
        </w:rPr>
        <w:t>Offre</w:t>
      </w:r>
      <w:proofErr w:type="spellEnd"/>
      <w:r>
        <w:rPr>
          <w:b/>
          <w:bCs/>
          <w:sz w:val="28"/>
          <w:szCs w:val="28"/>
        </w:rPr>
        <w:t xml:space="preserve"> </w:t>
      </w:r>
      <w:proofErr w:type="gramStart"/>
      <w:r>
        <w:rPr>
          <w:b/>
          <w:bCs/>
          <w:sz w:val="28"/>
          <w:szCs w:val="28"/>
        </w:rPr>
        <w:t>financière :</w:t>
      </w:r>
      <w:proofErr w:type="gramEnd"/>
      <w:r>
        <w:rPr>
          <w:b/>
          <w:bCs/>
          <w:sz w:val="28"/>
          <w:szCs w:val="28"/>
        </w:rPr>
        <w:t xml:space="preserve"> </w:t>
      </w:r>
    </w:p>
    <w:p w14:paraId="70F1A250" w14:textId="77777777" w:rsidR="006431D0" w:rsidRPr="006431D0" w:rsidRDefault="006431D0" w:rsidP="006431D0">
      <w:pPr>
        <w:pStyle w:val="Default"/>
        <w:spacing w:line="276" w:lineRule="auto"/>
        <w:jc w:val="both"/>
        <w:rPr>
          <w:sz w:val="8"/>
          <w:szCs w:val="8"/>
        </w:rPr>
      </w:pPr>
    </w:p>
    <w:p w14:paraId="28A467D4" w14:textId="43AF9954" w:rsidR="006431D0" w:rsidRDefault="006431D0" w:rsidP="006431D0">
      <w:pPr>
        <w:pStyle w:val="Default"/>
        <w:spacing w:line="276" w:lineRule="auto"/>
        <w:jc w:val="both"/>
        <w:rPr>
          <w:sz w:val="22"/>
          <w:szCs w:val="22"/>
          <w:lang w:val="fr-FR"/>
        </w:rPr>
      </w:pPr>
      <w:r w:rsidRPr="006431D0">
        <w:rPr>
          <w:sz w:val="22"/>
          <w:szCs w:val="22"/>
          <w:lang w:val="fr-FR"/>
        </w:rPr>
        <w:t xml:space="preserve">Les honoraires relatifs à la prestation sont fixés à un montant de : 3500 </w:t>
      </w:r>
      <w:proofErr w:type="spellStart"/>
      <w:r w:rsidRPr="006431D0">
        <w:rPr>
          <w:sz w:val="22"/>
          <w:szCs w:val="22"/>
          <w:lang w:val="fr-FR"/>
        </w:rPr>
        <w:t>dt</w:t>
      </w:r>
      <w:proofErr w:type="spellEnd"/>
      <w:r w:rsidRPr="006431D0">
        <w:rPr>
          <w:sz w:val="22"/>
          <w:szCs w:val="22"/>
          <w:lang w:val="fr-FR"/>
        </w:rPr>
        <w:t xml:space="preserve"> (trois mille cinq cent dinars), (toutes taxes comprises). </w:t>
      </w:r>
    </w:p>
    <w:p w14:paraId="429A1311" w14:textId="77777777" w:rsidR="006431D0" w:rsidRPr="006431D0" w:rsidRDefault="006431D0" w:rsidP="006431D0">
      <w:pPr>
        <w:pStyle w:val="Default"/>
        <w:spacing w:line="276" w:lineRule="auto"/>
        <w:jc w:val="both"/>
        <w:rPr>
          <w:sz w:val="8"/>
          <w:szCs w:val="8"/>
          <w:lang w:val="fr-FR"/>
        </w:rPr>
      </w:pPr>
    </w:p>
    <w:p w14:paraId="46300955" w14:textId="00ECC37D" w:rsidR="006431D0" w:rsidRDefault="006431D0" w:rsidP="006431D0">
      <w:pPr>
        <w:pStyle w:val="Default"/>
        <w:spacing w:line="276" w:lineRule="auto"/>
        <w:jc w:val="both"/>
        <w:rPr>
          <w:b/>
          <w:bCs/>
          <w:sz w:val="28"/>
          <w:szCs w:val="28"/>
          <w:lang w:val="fr-FR"/>
        </w:rPr>
      </w:pPr>
      <w:r w:rsidRPr="006431D0">
        <w:rPr>
          <w:b/>
          <w:bCs/>
          <w:sz w:val="28"/>
          <w:szCs w:val="28"/>
          <w:lang w:val="fr-FR"/>
        </w:rPr>
        <w:t xml:space="preserve">Processus et critères de sélection : </w:t>
      </w:r>
    </w:p>
    <w:p w14:paraId="16143F98" w14:textId="21D87201" w:rsidR="006431D0" w:rsidRDefault="006431D0" w:rsidP="006431D0">
      <w:pPr>
        <w:pStyle w:val="Default"/>
        <w:spacing w:line="276" w:lineRule="auto"/>
        <w:jc w:val="both"/>
        <w:rPr>
          <w:b/>
          <w:bCs/>
          <w:sz w:val="8"/>
          <w:szCs w:val="8"/>
          <w:lang w:val="fr-FR"/>
        </w:rPr>
      </w:pPr>
    </w:p>
    <w:p w14:paraId="079A4FCB" w14:textId="77777777" w:rsidR="006431D0" w:rsidRPr="006431D0" w:rsidRDefault="006431D0" w:rsidP="006431D0">
      <w:pPr>
        <w:pStyle w:val="Default"/>
        <w:spacing w:line="276" w:lineRule="auto"/>
        <w:jc w:val="both"/>
        <w:rPr>
          <w:sz w:val="8"/>
          <w:szCs w:val="8"/>
          <w:lang w:val="fr-FR"/>
        </w:rPr>
      </w:pPr>
    </w:p>
    <w:p w14:paraId="3BE2C923" w14:textId="77777777"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L’offre doit être envoyée à </w:t>
      </w:r>
      <w:r w:rsidRPr="006431D0">
        <w:rPr>
          <w:color w:val="0462C1"/>
          <w:sz w:val="22"/>
          <w:szCs w:val="22"/>
          <w:lang w:val="fr-FR"/>
        </w:rPr>
        <w:t xml:space="preserve">ifriqiyaassociation@gmail.com </w:t>
      </w:r>
      <w:r w:rsidRPr="006431D0">
        <w:rPr>
          <w:sz w:val="22"/>
          <w:szCs w:val="22"/>
          <w:lang w:val="fr-FR"/>
        </w:rPr>
        <w:t xml:space="preserve">d’ici au 26 octobre 2022 à 12h et doit contenir : </w:t>
      </w:r>
    </w:p>
    <w:p w14:paraId="064B1398" w14:textId="77777777" w:rsidR="006431D0" w:rsidRPr="006431D0" w:rsidRDefault="006431D0" w:rsidP="006431D0">
      <w:pPr>
        <w:pStyle w:val="Default"/>
        <w:spacing w:line="276" w:lineRule="auto"/>
        <w:jc w:val="both"/>
        <w:rPr>
          <w:sz w:val="22"/>
          <w:szCs w:val="22"/>
          <w:lang w:val="fr-FR"/>
        </w:rPr>
      </w:pPr>
      <w:r w:rsidRPr="006431D0">
        <w:rPr>
          <w:b/>
          <w:bCs/>
          <w:sz w:val="22"/>
          <w:szCs w:val="22"/>
          <w:lang w:val="fr-FR"/>
        </w:rPr>
        <w:t xml:space="preserve">Un dossier technique intégrant : </w:t>
      </w:r>
    </w:p>
    <w:p w14:paraId="093B5376" w14:textId="77777777" w:rsidR="006431D0" w:rsidRPr="006431D0" w:rsidRDefault="006431D0" w:rsidP="006431D0">
      <w:pPr>
        <w:pStyle w:val="Default"/>
        <w:spacing w:line="276" w:lineRule="auto"/>
        <w:jc w:val="both"/>
        <w:rPr>
          <w:sz w:val="22"/>
          <w:szCs w:val="22"/>
          <w:lang w:val="fr-FR"/>
        </w:rPr>
      </w:pPr>
      <w:r w:rsidRPr="006431D0">
        <w:rPr>
          <w:sz w:val="22"/>
          <w:szCs w:val="22"/>
          <w:lang w:val="fr-FR"/>
        </w:rPr>
        <w:lastRenderedPageBreak/>
        <w:t xml:space="preserve">- Un Curriculum Vitae actualisé mettant en relief les références du consultant en relation avec l’expertise. </w:t>
      </w:r>
    </w:p>
    <w:p w14:paraId="43FD93E8" w14:textId="1628D185"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 Une brève note méthodologique mettant en valeur l’approche que l’expert suivra pour l’élaboration du guide y compris un calendrier de la mise en </w:t>
      </w:r>
      <w:r w:rsidRPr="006431D0">
        <w:rPr>
          <w:sz w:val="22"/>
          <w:szCs w:val="22"/>
          <w:lang w:val="fr-FR"/>
        </w:rPr>
        <w:t>œuvre</w:t>
      </w:r>
      <w:r w:rsidRPr="006431D0">
        <w:rPr>
          <w:sz w:val="22"/>
          <w:szCs w:val="22"/>
          <w:lang w:val="fr-FR"/>
        </w:rPr>
        <w:t xml:space="preserve"> des activités. </w:t>
      </w:r>
    </w:p>
    <w:p w14:paraId="72201467" w14:textId="77777777" w:rsidR="006431D0" w:rsidRPr="006431D0" w:rsidRDefault="006431D0" w:rsidP="006431D0">
      <w:pPr>
        <w:pStyle w:val="Default"/>
        <w:spacing w:line="276" w:lineRule="auto"/>
        <w:jc w:val="both"/>
        <w:rPr>
          <w:sz w:val="22"/>
          <w:szCs w:val="22"/>
          <w:lang w:val="fr-FR"/>
        </w:rPr>
      </w:pPr>
      <w:r w:rsidRPr="006431D0">
        <w:rPr>
          <w:b/>
          <w:bCs/>
          <w:sz w:val="22"/>
          <w:szCs w:val="22"/>
          <w:lang w:val="fr-FR"/>
        </w:rPr>
        <w:t xml:space="preserve">Une proposition financière indiquant : </w:t>
      </w:r>
    </w:p>
    <w:p w14:paraId="53BBAD8D" w14:textId="77777777" w:rsidR="006431D0" w:rsidRPr="006431D0" w:rsidRDefault="006431D0" w:rsidP="006431D0">
      <w:pPr>
        <w:pStyle w:val="Default"/>
        <w:spacing w:line="276" w:lineRule="auto"/>
        <w:jc w:val="both"/>
        <w:rPr>
          <w:sz w:val="22"/>
          <w:szCs w:val="22"/>
          <w:lang w:val="fr-FR"/>
        </w:rPr>
      </w:pPr>
      <w:r w:rsidRPr="006431D0">
        <w:rPr>
          <w:sz w:val="22"/>
          <w:szCs w:val="22"/>
          <w:lang w:val="fr-FR"/>
        </w:rPr>
        <w:t xml:space="preserve">- Le prix unitaire par jour en HT et en TTC </w:t>
      </w:r>
    </w:p>
    <w:p w14:paraId="61FDD70F" w14:textId="45F3DC26" w:rsidR="006431D0" w:rsidRDefault="006431D0" w:rsidP="006431D0">
      <w:pPr>
        <w:pStyle w:val="Default"/>
        <w:spacing w:line="276" w:lineRule="auto"/>
        <w:jc w:val="both"/>
        <w:rPr>
          <w:sz w:val="22"/>
          <w:szCs w:val="22"/>
          <w:lang w:val="fr-FR"/>
        </w:rPr>
      </w:pPr>
      <w:r w:rsidRPr="006431D0">
        <w:rPr>
          <w:sz w:val="22"/>
          <w:szCs w:val="22"/>
          <w:lang w:val="fr-FR"/>
        </w:rPr>
        <w:t xml:space="preserve">- L’offre globale en HT et en TTC. </w:t>
      </w:r>
    </w:p>
    <w:p w14:paraId="3751853E" w14:textId="77777777" w:rsidR="006431D0" w:rsidRPr="006431D0" w:rsidRDefault="006431D0" w:rsidP="006431D0">
      <w:pPr>
        <w:pStyle w:val="Default"/>
        <w:spacing w:line="276" w:lineRule="auto"/>
        <w:jc w:val="both"/>
        <w:rPr>
          <w:sz w:val="12"/>
          <w:szCs w:val="12"/>
          <w:lang w:val="fr-FR"/>
        </w:rPr>
      </w:pPr>
    </w:p>
    <w:p w14:paraId="4BA09CC0" w14:textId="6230364F" w:rsidR="00CE5981" w:rsidRPr="006431D0" w:rsidRDefault="006431D0" w:rsidP="006431D0">
      <w:pPr>
        <w:spacing w:line="276" w:lineRule="auto"/>
        <w:jc w:val="both"/>
        <w:rPr>
          <w:lang w:val="fr-FR"/>
        </w:rPr>
      </w:pPr>
      <w:r w:rsidRPr="006431D0">
        <w:rPr>
          <w:lang w:val="fr-FR"/>
        </w:rPr>
        <w:t xml:space="preserve">NB : Toute offre doit avoir comme objet de mail : </w:t>
      </w:r>
      <w:r w:rsidRPr="006431D0">
        <w:rPr>
          <w:b/>
          <w:bCs/>
          <w:lang w:val="fr-FR"/>
        </w:rPr>
        <w:t xml:space="preserve">Candidature- Consultant(e) de l’élaboration du guide </w:t>
      </w:r>
      <w:r w:rsidRPr="006431D0">
        <w:rPr>
          <w:lang w:val="fr-FR"/>
        </w:rPr>
        <w:t xml:space="preserve">et d’insérer en CC le mail suivant : </w:t>
      </w:r>
      <w:r w:rsidRPr="006431D0">
        <w:rPr>
          <w:b/>
          <w:bCs/>
          <w:lang w:val="fr-FR"/>
        </w:rPr>
        <w:t>zainabbaati31@gmail.com</w:t>
      </w:r>
    </w:p>
    <w:sectPr w:rsidR="00CE5981" w:rsidRPr="006431D0" w:rsidSect="00CE5981">
      <w:headerReference w:type="default" r:id="rId7"/>
      <w:pgSz w:w="12240" w:h="15840"/>
      <w:pgMar w:top="1716" w:right="616"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E952" w14:textId="77777777" w:rsidR="00CE0EFC" w:rsidRDefault="00CE0EFC" w:rsidP="00CE5981">
      <w:pPr>
        <w:spacing w:after="0" w:line="240" w:lineRule="auto"/>
      </w:pPr>
      <w:r>
        <w:separator/>
      </w:r>
    </w:p>
  </w:endnote>
  <w:endnote w:type="continuationSeparator" w:id="0">
    <w:p w14:paraId="3531189C" w14:textId="77777777" w:rsidR="00CE0EFC" w:rsidRDefault="00CE0EFC" w:rsidP="00CE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0132" w14:textId="77777777" w:rsidR="00CE0EFC" w:rsidRDefault="00CE0EFC" w:rsidP="00CE5981">
      <w:pPr>
        <w:spacing w:after="0" w:line="240" w:lineRule="auto"/>
      </w:pPr>
      <w:r>
        <w:separator/>
      </w:r>
    </w:p>
  </w:footnote>
  <w:footnote w:type="continuationSeparator" w:id="0">
    <w:p w14:paraId="44701203" w14:textId="77777777" w:rsidR="00CE0EFC" w:rsidRDefault="00CE0EFC" w:rsidP="00CE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1C86" w14:textId="54BA3DF7" w:rsidR="00CE5981" w:rsidRPr="00CE5981" w:rsidRDefault="00CE5981" w:rsidP="00CE5981">
    <w:pPr>
      <w:pStyle w:val="En-tte"/>
      <w:ind w:left="-1276"/>
    </w:pPr>
    <w:r>
      <w:rPr>
        <w:noProof/>
      </w:rPr>
      <w:drawing>
        <wp:inline distT="0" distB="0" distL="0" distR="0" wp14:anchorId="28DED61E" wp14:editId="68B5D142">
          <wp:extent cx="2443875" cy="9715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466051" cy="980366"/>
                  </a:xfrm>
                  <a:prstGeom prst="rect">
                    <a:avLst/>
                  </a:prstGeom>
                </pic:spPr>
              </pic:pic>
            </a:graphicData>
          </a:graphic>
        </wp:inline>
      </w:drawing>
    </w:r>
    <w:r>
      <w:t xml:space="preserve">   </w:t>
    </w:r>
    <w:r>
      <w:rPr>
        <w:noProof/>
      </w:rPr>
      <w:drawing>
        <wp:inline distT="0" distB="0" distL="0" distR="0" wp14:anchorId="23B7B7F6" wp14:editId="025E5072">
          <wp:extent cx="1335345" cy="9715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1351145" cy="983045"/>
                  </a:xfrm>
                  <a:prstGeom prst="rect">
                    <a:avLst/>
                  </a:prstGeom>
                </pic:spPr>
              </pic:pic>
            </a:graphicData>
          </a:graphic>
        </wp:inline>
      </w:drawing>
    </w:r>
    <w:r>
      <w:t xml:space="preserve">            </w:t>
    </w:r>
    <w:r>
      <w:rPr>
        <w:noProof/>
      </w:rPr>
      <w:drawing>
        <wp:inline distT="0" distB="0" distL="0" distR="0" wp14:anchorId="2B76C782" wp14:editId="4719C8F0">
          <wp:extent cx="1738011" cy="8858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rotWithShape="1">
                  <a:blip r:embed="rId3">
                    <a:extLst>
                      <a:ext uri="{28A0092B-C50C-407E-A947-70E740481C1C}">
                        <a14:useLocalDpi xmlns:a14="http://schemas.microsoft.com/office/drawing/2010/main" val="0"/>
                      </a:ext>
                    </a:extLst>
                  </a:blip>
                  <a:srcRect t="23870" b="25163"/>
                  <a:stretch/>
                </pic:blipFill>
                <pic:spPr bwMode="auto">
                  <a:xfrm>
                    <a:off x="0" y="0"/>
                    <a:ext cx="1739111" cy="88638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E10A1A5" wp14:editId="52A0D170">
          <wp:extent cx="962025" cy="962025"/>
          <wp:effectExtent l="0" t="0" r="952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4">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0FDA"/>
    <w:multiLevelType w:val="hybridMultilevel"/>
    <w:tmpl w:val="2BDAC616"/>
    <w:lvl w:ilvl="0" w:tplc="424E15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53DB6"/>
    <w:multiLevelType w:val="hybridMultilevel"/>
    <w:tmpl w:val="7F0EDC64"/>
    <w:lvl w:ilvl="0" w:tplc="A4A861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80A4E"/>
    <w:multiLevelType w:val="hybridMultilevel"/>
    <w:tmpl w:val="C33A4444"/>
    <w:lvl w:ilvl="0" w:tplc="14F2FC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37D9C"/>
    <w:multiLevelType w:val="hybridMultilevel"/>
    <w:tmpl w:val="8C24D774"/>
    <w:lvl w:ilvl="0" w:tplc="A4A861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A6293"/>
    <w:multiLevelType w:val="hybridMultilevel"/>
    <w:tmpl w:val="51EA18F2"/>
    <w:lvl w:ilvl="0" w:tplc="A4A861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014654">
    <w:abstractNumId w:val="0"/>
  </w:num>
  <w:num w:numId="2" w16cid:durableId="517737368">
    <w:abstractNumId w:val="2"/>
  </w:num>
  <w:num w:numId="3" w16cid:durableId="2013070077">
    <w:abstractNumId w:val="1"/>
  </w:num>
  <w:num w:numId="4" w16cid:durableId="1575553022">
    <w:abstractNumId w:val="3"/>
  </w:num>
  <w:num w:numId="5" w16cid:durableId="201290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F8"/>
    <w:rsid w:val="00080BEE"/>
    <w:rsid w:val="004C2C03"/>
    <w:rsid w:val="00500046"/>
    <w:rsid w:val="00636D4F"/>
    <w:rsid w:val="006431D0"/>
    <w:rsid w:val="006B6FA7"/>
    <w:rsid w:val="00817507"/>
    <w:rsid w:val="00842BF8"/>
    <w:rsid w:val="00BA3220"/>
    <w:rsid w:val="00CE0EFC"/>
    <w:rsid w:val="00CE5981"/>
    <w:rsid w:val="00DA2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C7692"/>
  <w15:chartTrackingRefBased/>
  <w15:docId w15:val="{69865C01-EA34-48DF-8B05-C336DA87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2204"/>
    <w:pPr>
      <w:ind w:left="720"/>
      <w:contextualSpacing/>
    </w:pPr>
  </w:style>
  <w:style w:type="character" w:styleId="Lienhypertexte">
    <w:name w:val="Hyperlink"/>
    <w:basedOn w:val="Policepardfaut"/>
    <w:uiPriority w:val="99"/>
    <w:unhideWhenUsed/>
    <w:rsid w:val="006B6FA7"/>
    <w:rPr>
      <w:color w:val="0563C1" w:themeColor="hyperlink"/>
      <w:u w:val="single"/>
    </w:rPr>
  </w:style>
  <w:style w:type="character" w:styleId="Mentionnonrsolue">
    <w:name w:val="Unresolved Mention"/>
    <w:basedOn w:val="Policepardfaut"/>
    <w:uiPriority w:val="99"/>
    <w:semiHidden/>
    <w:unhideWhenUsed/>
    <w:rsid w:val="006B6FA7"/>
    <w:rPr>
      <w:color w:val="605E5C"/>
      <w:shd w:val="clear" w:color="auto" w:fill="E1DFDD"/>
    </w:rPr>
  </w:style>
  <w:style w:type="paragraph" w:styleId="En-tte">
    <w:name w:val="header"/>
    <w:basedOn w:val="Normal"/>
    <w:link w:val="En-tteCar"/>
    <w:uiPriority w:val="99"/>
    <w:unhideWhenUsed/>
    <w:rsid w:val="00CE5981"/>
    <w:pPr>
      <w:tabs>
        <w:tab w:val="center" w:pos="4703"/>
        <w:tab w:val="right" w:pos="9406"/>
      </w:tabs>
      <w:spacing w:after="0" w:line="240" w:lineRule="auto"/>
    </w:pPr>
  </w:style>
  <w:style w:type="character" w:customStyle="1" w:styleId="En-tteCar">
    <w:name w:val="En-tête Car"/>
    <w:basedOn w:val="Policepardfaut"/>
    <w:link w:val="En-tte"/>
    <w:uiPriority w:val="99"/>
    <w:rsid w:val="00CE5981"/>
  </w:style>
  <w:style w:type="paragraph" w:styleId="Pieddepage">
    <w:name w:val="footer"/>
    <w:basedOn w:val="Normal"/>
    <w:link w:val="PieddepageCar"/>
    <w:uiPriority w:val="99"/>
    <w:unhideWhenUsed/>
    <w:rsid w:val="00CE598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E5981"/>
  </w:style>
  <w:style w:type="paragraph" w:customStyle="1" w:styleId="Default">
    <w:name w:val="Default"/>
    <w:rsid w:val="006431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841</Words>
  <Characters>4800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zainabbaati@hotmail.com</dc:creator>
  <cp:keywords/>
  <dc:description/>
  <cp:lastModifiedBy>zainabbaati@hotmail.com</cp:lastModifiedBy>
  <cp:revision>25</cp:revision>
  <dcterms:created xsi:type="dcterms:W3CDTF">2022-10-19T14:00:00Z</dcterms:created>
  <dcterms:modified xsi:type="dcterms:W3CDTF">2022-10-21T17:13:00Z</dcterms:modified>
</cp:coreProperties>
</file>