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7E4CD" w14:textId="2B4F93ED" w:rsidR="006940BB" w:rsidRPr="009F540B" w:rsidRDefault="006940BB" w:rsidP="00A606C4">
      <w:pPr>
        <w:shd w:val="clear" w:color="auto" w:fill="FFFFFF"/>
        <w:spacing w:after="150" w:line="240" w:lineRule="auto"/>
        <w:contextualSpacing/>
        <w:jc w:val="center"/>
        <w:rPr>
          <w:rFonts w:ascii="Linotype Univers 330 Light" w:eastAsia="Times New Roman" w:hAnsi="Linotype Univers 330 Light" w:cs="Arial"/>
          <w:b/>
          <w:bCs/>
          <w:sz w:val="36"/>
          <w:szCs w:val="36"/>
          <w:lang w:val="fr-FR"/>
        </w:rPr>
      </w:pPr>
      <w:r w:rsidRPr="009F540B">
        <w:rPr>
          <w:rFonts w:ascii="Linotype Univers 330 Light" w:eastAsia="Times New Roman" w:hAnsi="Linotype Univers 330 Light" w:cs="Arial"/>
          <w:b/>
          <w:bCs/>
          <w:sz w:val="36"/>
          <w:szCs w:val="36"/>
          <w:lang w:val="fr-FR"/>
        </w:rPr>
        <w:t xml:space="preserve">Termes de référence pour la réalisation d’une étude </w:t>
      </w:r>
    </w:p>
    <w:p w14:paraId="50A61138" w14:textId="77777777" w:rsidR="006940BB" w:rsidRPr="009F540B" w:rsidRDefault="006940BB" w:rsidP="00A606C4">
      <w:pPr>
        <w:shd w:val="clear" w:color="auto" w:fill="FFFFFF"/>
        <w:spacing w:after="150" w:line="240" w:lineRule="auto"/>
        <w:contextualSpacing/>
        <w:jc w:val="center"/>
        <w:rPr>
          <w:rFonts w:ascii="Linotype Univers 330 Light" w:eastAsia="Times New Roman" w:hAnsi="Linotype Univers 330 Light" w:cs="Arial"/>
          <w:b/>
          <w:bCs/>
          <w:sz w:val="26"/>
          <w:szCs w:val="26"/>
          <w:u w:val="single"/>
          <w:lang w:val="fr-FR"/>
        </w:rPr>
      </w:pPr>
      <w:r w:rsidRPr="009F540B">
        <w:rPr>
          <w:rFonts w:ascii="Linotype Univers 330 Light" w:eastAsia="Times New Roman" w:hAnsi="Linotype Univers 330 Light" w:cs="Arial"/>
          <w:b/>
          <w:bCs/>
          <w:sz w:val="26"/>
          <w:szCs w:val="26"/>
          <w:u w:val="single"/>
          <w:lang w:val="fr-FR"/>
        </w:rPr>
        <w:t xml:space="preserve">Assurer la résilience de l'agriculture dans la région Nord-Afrique : les semences paysannes comme solution aux crises majeures   </w:t>
      </w:r>
    </w:p>
    <w:p w14:paraId="5CB386F6" w14:textId="0B15713E" w:rsidR="004340A7" w:rsidRPr="009F540B" w:rsidRDefault="004340A7" w:rsidP="00A606C4">
      <w:pPr>
        <w:shd w:val="clear" w:color="auto" w:fill="FFFFFF"/>
        <w:spacing w:after="150" w:line="240" w:lineRule="auto"/>
        <w:contextualSpacing/>
        <w:jc w:val="center"/>
        <w:rPr>
          <w:rFonts w:ascii="Linotype Univers 330 Light" w:eastAsia="Times New Roman" w:hAnsi="Linotype Univers 330 Light" w:cs="Arial"/>
          <w:b/>
          <w:bCs/>
          <w:sz w:val="26"/>
          <w:szCs w:val="26"/>
          <w:lang w:val="fr-FR"/>
        </w:rPr>
      </w:pPr>
      <w:r w:rsidRPr="009F540B">
        <w:rPr>
          <w:rFonts w:ascii="Linotype Univers 330 Light" w:eastAsia="Times New Roman" w:hAnsi="Linotype Univers 330 Light" w:cs="Arial"/>
          <w:b/>
          <w:bCs/>
          <w:sz w:val="26"/>
          <w:szCs w:val="26"/>
          <w:lang w:val="fr-FR"/>
        </w:rPr>
        <w:t>Rosa Luxemburg Stiftung, North Africa office</w:t>
      </w:r>
    </w:p>
    <w:p w14:paraId="2EE7BD9C" w14:textId="77777777" w:rsidR="004340A7" w:rsidRPr="009F540B" w:rsidRDefault="004340A7" w:rsidP="00030058">
      <w:pPr>
        <w:shd w:val="clear" w:color="auto" w:fill="FFFFFF"/>
        <w:spacing w:after="150" w:line="240" w:lineRule="auto"/>
        <w:contextualSpacing/>
        <w:jc w:val="both"/>
        <w:rPr>
          <w:rFonts w:ascii="Linotype Univers 330 Light" w:eastAsia="Times New Roman" w:hAnsi="Linotype Univers 330 Light" w:cs="Arial"/>
          <w:sz w:val="26"/>
          <w:szCs w:val="26"/>
          <w:lang w:val="fr-FR"/>
        </w:rPr>
      </w:pPr>
      <w:r w:rsidRPr="009F540B">
        <w:rPr>
          <w:rFonts w:ascii="Linotype Univers 330 Light" w:eastAsia="Times New Roman" w:hAnsi="Linotype Univers 330 Light" w:cs="Arial"/>
          <w:sz w:val="26"/>
          <w:szCs w:val="26"/>
          <w:lang w:val="fr-FR"/>
        </w:rPr>
        <w:t> </w:t>
      </w:r>
    </w:p>
    <w:p w14:paraId="59440753" w14:textId="5C25F372" w:rsidR="00BA67D0" w:rsidRPr="009F540B" w:rsidRDefault="006940BB" w:rsidP="006940BB">
      <w:pPr>
        <w:pStyle w:val="ListParagraph"/>
        <w:numPr>
          <w:ilvl w:val="0"/>
          <w:numId w:val="24"/>
        </w:numPr>
        <w:rPr>
          <w:rFonts w:ascii="Linotype Univers 330 Light" w:eastAsia="Times New Roman" w:hAnsi="Linotype Univers 330 Light" w:cs="Arial"/>
          <w:b/>
          <w:bCs/>
          <w:sz w:val="26"/>
          <w:szCs w:val="26"/>
          <w:lang w:val="fr-FR"/>
        </w:rPr>
      </w:pPr>
      <w:r w:rsidRPr="009F540B">
        <w:rPr>
          <w:rFonts w:ascii="Linotype Univers 330 Light" w:eastAsia="Times New Roman" w:hAnsi="Linotype Univers 330 Light" w:cs="Arial"/>
          <w:b/>
          <w:bCs/>
          <w:sz w:val="26"/>
          <w:szCs w:val="26"/>
          <w:lang w:val="fr-FR"/>
        </w:rPr>
        <w:t>Contexte</w:t>
      </w:r>
    </w:p>
    <w:p w14:paraId="587282F1" w14:textId="77777777" w:rsidR="006940BB" w:rsidRPr="009F540B" w:rsidRDefault="006940BB" w:rsidP="006940BB">
      <w:pPr>
        <w:shd w:val="clear" w:color="auto" w:fill="FFFFFF"/>
        <w:spacing w:after="0" w:line="240" w:lineRule="auto"/>
        <w:contextualSpacing/>
        <w:jc w:val="both"/>
        <w:rPr>
          <w:rFonts w:ascii="Linotype Univers 330 Light" w:eastAsia="SimSun" w:hAnsi="Linotype Univers 330 Light" w:cs="Arial"/>
          <w:lang w:val="fr-FR" w:eastAsia="fr-FR"/>
        </w:rPr>
      </w:pPr>
      <w:r w:rsidRPr="009F540B">
        <w:rPr>
          <w:rFonts w:ascii="Linotype Univers 330 Light" w:eastAsia="SimSun" w:hAnsi="Linotype Univers 330 Light" w:cs="Arial"/>
          <w:lang w:val="fr-FR" w:eastAsia="fr-FR"/>
        </w:rPr>
        <w:t>Dans l’objectif d'atteindre la sécurité alimentaire en mettant à disposition des agriculteurs des semences de qualité, les pays africains ont adopté des lois sur les semences qui rappellent celles développées depuis les années 1950 par les pays européens et américains. Ces lois tendent à promouvoir un modèle d'agriculture industrielle appelé "révolution verte" en mettant en place un régime de sélection, de production et de distribution des semences basé sur le marché. Ce cadre juridique est davantage axé sur la commercialisation des semences et s'organise autour des différents segments de la chaîne commerciale. Il est renforcé par des lois et des traités sur les droits de propriété intellectuelle applicables aux semences, tels que les brevets sur les technologies végétales, les droits des obtenteurs et les lois sur la protection de la santé des plantes. En conséquence, de nombreuses activités des agriculteurs liées aux semences sont limitées ou interdites. Selon les pays, cela inclut la production, l'échange et la vente de semences provenant des champs des agriculteurs et l'organisation de foires aux semences pour partager des semences et des plants adaptés localement. D'autre part, ces lois favorisent la distribution de semences sous forme de "paquets techniques", c'est-à-dire accompagnées d'engrais et de conseils pour encourager les bénéficiaires à adopter des pratiques agricoles prédéfinies.</w:t>
      </w:r>
    </w:p>
    <w:p w14:paraId="3C164253" w14:textId="77777777" w:rsidR="006940BB" w:rsidRPr="009F540B" w:rsidRDefault="006940BB" w:rsidP="006940BB">
      <w:pPr>
        <w:shd w:val="clear" w:color="auto" w:fill="FFFFFF"/>
        <w:spacing w:after="0" w:line="240" w:lineRule="auto"/>
        <w:contextualSpacing/>
        <w:jc w:val="both"/>
        <w:rPr>
          <w:rFonts w:ascii="Linotype Univers 330 Light" w:eastAsia="SimSun" w:hAnsi="Linotype Univers 330 Light" w:cs="Arial"/>
          <w:lang w:val="fr-FR" w:eastAsia="fr-FR"/>
        </w:rPr>
      </w:pPr>
      <w:r w:rsidRPr="009F540B">
        <w:rPr>
          <w:rFonts w:ascii="Linotype Univers 330 Light" w:eastAsia="SimSun" w:hAnsi="Linotype Univers 330 Light" w:cs="Arial"/>
          <w:lang w:val="fr-FR" w:eastAsia="fr-FR"/>
        </w:rPr>
        <w:t xml:space="preserve">Dans divers pays africains, les agriculteurs et leurs réseaux, ainsi que les organisations de la société civile, ont fortement résisté à ce modèle. Ils ont activement plaidé contre les lois inappropriées sur les semences et l'imposition de régimes de propriété intellectuelle restrictifs, qui sont imposés à l'Afrique par la financiarisation des ressources génétiques et publiques, les programmes de développement étrangers, les stratégies d'harmonisation et les accords commerciaux. </w:t>
      </w:r>
    </w:p>
    <w:p w14:paraId="211A42D5" w14:textId="0EF39CA1" w:rsidR="00BA67D0" w:rsidRPr="009F540B" w:rsidRDefault="006940BB" w:rsidP="006940BB">
      <w:pPr>
        <w:shd w:val="clear" w:color="auto" w:fill="FFFFFF"/>
        <w:spacing w:after="0" w:line="240" w:lineRule="auto"/>
        <w:contextualSpacing/>
        <w:jc w:val="both"/>
        <w:rPr>
          <w:rFonts w:ascii="Linotype Univers 330 Light" w:eastAsia="SimSun" w:hAnsi="Linotype Univers 330 Light" w:cs="Arial"/>
          <w:lang w:val="fr-FR" w:eastAsia="fr-FR"/>
        </w:rPr>
      </w:pPr>
      <w:r w:rsidRPr="009F540B">
        <w:rPr>
          <w:rFonts w:ascii="Linotype Univers 330 Light" w:eastAsia="SimSun" w:hAnsi="Linotype Univers 330 Light" w:cs="Arial"/>
          <w:lang w:val="fr-FR" w:eastAsia="fr-FR"/>
        </w:rPr>
        <w:t xml:space="preserve">Seuls quelques petits agriculteurs disposent encore d'une diversité de semences traditionnelles paysannes bien adaptées, ce qui leur permet surtout de disposer de leurs propres moyens de production lorsqu'ils sont confrontés à une crise d'approvisionnement. Des semences locales et bien adaptées pourraient donc aider les agriculteurs à survivre aux périodes de sécheresse et aux crises alimentaires. Cependant, les lois sur les semences dans </w:t>
      </w:r>
      <w:r w:rsidRPr="009F540B">
        <w:rPr>
          <w:rFonts w:ascii="Linotype Univers 330 Light" w:eastAsia="SimSun" w:hAnsi="Linotype Univers 330 Light" w:cs="Arial"/>
          <w:lang w:val="fr-FR" w:eastAsia="fr-FR"/>
        </w:rPr>
        <w:t>la région d'Afrique du Nord</w:t>
      </w:r>
      <w:r w:rsidRPr="009F540B">
        <w:rPr>
          <w:rFonts w:ascii="Linotype Univers 330 Light" w:eastAsia="SimSun" w:hAnsi="Linotype Univers 330 Light" w:cs="Arial"/>
          <w:lang w:val="fr-FR" w:eastAsia="fr-FR"/>
        </w:rPr>
        <w:t xml:space="preserve"> criminalisent l'utilisation des semences par les agriculteurs et la culture de la conservation et du partage des semences. Avec la guerre en Ukraine et l'impact de la fermeture des frontières pendant la pandémie, le débat autour des semences paysannes devient plus important et les demandes sont renouvelées pour changer les lois restrictives, qui profitent aux entreprises semencières internationales et nuisent aux agriculteurs et plus généralement à la souveraineté alimentaire dans la région d'Afrique du Nord</w:t>
      </w:r>
      <w:r w:rsidRPr="009F540B">
        <w:rPr>
          <w:rFonts w:ascii="Linotype Univers 330 Light" w:eastAsia="SimSun" w:hAnsi="Linotype Univers 330 Light" w:cs="Arial"/>
          <w:lang w:val="fr-FR" w:eastAsia="fr-FR"/>
        </w:rPr>
        <w:t xml:space="preserve"> (AN)</w:t>
      </w:r>
      <w:r w:rsidR="00271CD0" w:rsidRPr="009F540B">
        <w:rPr>
          <w:rFonts w:ascii="Linotype Univers 330 Light" w:eastAsia="SimSun" w:hAnsi="Linotype Univers 330 Light" w:cs="Arial"/>
          <w:lang w:val="fr-FR" w:eastAsia="fr-FR"/>
        </w:rPr>
        <w:t>.</w:t>
      </w:r>
    </w:p>
    <w:p w14:paraId="40D32275" w14:textId="77777777" w:rsidR="00A606C4" w:rsidRPr="009F540B" w:rsidRDefault="00A606C4" w:rsidP="00030058">
      <w:pPr>
        <w:shd w:val="clear" w:color="auto" w:fill="FFFFFF"/>
        <w:spacing w:after="0" w:line="240" w:lineRule="auto"/>
        <w:contextualSpacing/>
        <w:jc w:val="both"/>
        <w:rPr>
          <w:rFonts w:ascii="Linotype Univers 330 Light" w:eastAsia="Times New Roman" w:hAnsi="Linotype Univers 330 Light" w:cs="Arial"/>
          <w:b/>
          <w:bCs/>
          <w:sz w:val="26"/>
          <w:szCs w:val="26"/>
          <w:lang w:val="fr-FR"/>
        </w:rPr>
      </w:pPr>
    </w:p>
    <w:p w14:paraId="2A82CAC5" w14:textId="3A2D2F2A" w:rsidR="006A0B4F" w:rsidRPr="009F540B" w:rsidRDefault="006940BB" w:rsidP="006940BB">
      <w:pPr>
        <w:pStyle w:val="ListParagraph"/>
        <w:numPr>
          <w:ilvl w:val="0"/>
          <w:numId w:val="2"/>
        </w:numPr>
        <w:rPr>
          <w:rFonts w:ascii="Linotype Univers 330 Light" w:eastAsia="Times New Roman" w:hAnsi="Linotype Univers 330 Light" w:cs="Arial"/>
          <w:b/>
          <w:bCs/>
          <w:sz w:val="26"/>
          <w:szCs w:val="26"/>
          <w:lang w:val="fr-FR"/>
        </w:rPr>
      </w:pPr>
      <w:r w:rsidRPr="009F540B">
        <w:rPr>
          <w:rFonts w:ascii="Linotype Univers 330 Light" w:eastAsia="Times New Roman" w:hAnsi="Linotype Univers 330 Light" w:cs="Arial"/>
          <w:b/>
          <w:bCs/>
          <w:sz w:val="26"/>
          <w:szCs w:val="26"/>
          <w:lang w:val="fr-FR"/>
        </w:rPr>
        <w:t>Objet de l'appel d’offre</w:t>
      </w:r>
    </w:p>
    <w:p w14:paraId="3B05E20C" w14:textId="77777777" w:rsidR="006940BB" w:rsidRPr="009F540B" w:rsidRDefault="006940BB" w:rsidP="006940BB">
      <w:pPr>
        <w:rPr>
          <w:rFonts w:ascii="Linotype Univers 330 Light" w:eastAsia="SimSun" w:hAnsi="Linotype Univers 330 Light" w:cs="Arial"/>
          <w:lang w:val="fr-FR" w:eastAsia="fr-FR"/>
        </w:rPr>
      </w:pPr>
      <w:r w:rsidRPr="009F540B">
        <w:rPr>
          <w:rFonts w:ascii="Linotype Univers 330 Light" w:eastAsia="SimSun" w:hAnsi="Linotype Univers 330 Light" w:cs="Arial"/>
          <w:lang w:val="fr-FR" w:eastAsia="fr-FR"/>
        </w:rPr>
        <w:t xml:space="preserve">Dans le but de renforcer la résilience des pays de l'Afrique du Nord par la production de connaissances pour les acteurs de la société civile et d'aider à aligner les politiques agricoles en conséquence à l'avenir, le Bureau RLS Afrique du Nord cherche à contracter des </w:t>
      </w:r>
      <w:r w:rsidRPr="009F540B">
        <w:rPr>
          <w:rFonts w:ascii="Linotype Univers 330 Light" w:eastAsia="SimSun" w:hAnsi="Linotype Univers 330 Light" w:cs="Arial"/>
          <w:lang w:val="fr-FR" w:eastAsia="fr-FR"/>
        </w:rPr>
        <w:lastRenderedPageBreak/>
        <w:t xml:space="preserve">chercheurs pour mener une étude sur les semences paysannes et la souveraineté alimentaire dans la région. </w:t>
      </w:r>
    </w:p>
    <w:p w14:paraId="05A93CAD" w14:textId="77777777" w:rsidR="006940BB" w:rsidRPr="009F540B" w:rsidRDefault="006940BB" w:rsidP="006940BB">
      <w:pPr>
        <w:jc w:val="both"/>
        <w:rPr>
          <w:rFonts w:ascii="Linotype Univers 330 Light" w:eastAsia="SimSun" w:hAnsi="Linotype Univers 330 Light" w:cs="Arial"/>
          <w:lang w:val="fr-FR" w:eastAsia="fr-FR"/>
        </w:rPr>
      </w:pPr>
      <w:r w:rsidRPr="009F540B">
        <w:rPr>
          <w:rFonts w:ascii="Linotype Univers 330 Light" w:eastAsia="SimSun" w:hAnsi="Linotype Univers 330 Light" w:cs="Arial"/>
          <w:lang w:val="fr-FR" w:eastAsia="fr-FR"/>
        </w:rPr>
        <w:t>Cette étude se concentrera sur le cadre législatif des semences paysannes dans la région et sa capacité à renforcer la résilience des agriculteurs. Basé sur le cadre juridique proposé par l'Alliance pour la souveraineté alimentaire en Afrique pour la reconnaissance et la promotion des systèmes de semences gérés par les agriculteurs et la protection de la biodiversité, cette étude présentera les dispositions préliminaires, les outils et les organes à mettre en place pour la gestion des systèmes de semences paysannes.</w:t>
      </w:r>
      <w:r w:rsidR="006A0B4F" w:rsidRPr="009F540B">
        <w:rPr>
          <w:rFonts w:ascii="Linotype Univers 330 Light" w:eastAsia="SimSun" w:hAnsi="Linotype Univers 330 Light" w:cs="Arial"/>
          <w:lang w:val="fr-FR" w:eastAsia="fr-FR"/>
        </w:rPr>
        <w:t xml:space="preserve"> </w:t>
      </w:r>
    </w:p>
    <w:p w14:paraId="5F53727C" w14:textId="50335C75" w:rsidR="006940BB" w:rsidRPr="009F540B" w:rsidRDefault="006940BB" w:rsidP="006940BB">
      <w:pPr>
        <w:pStyle w:val="ListParagraph"/>
        <w:numPr>
          <w:ilvl w:val="0"/>
          <w:numId w:val="2"/>
        </w:numPr>
        <w:jc w:val="both"/>
        <w:rPr>
          <w:rFonts w:ascii="Linotype Univers 330 Light" w:eastAsia="Times New Roman" w:hAnsi="Linotype Univers 330 Light" w:cs="Arial"/>
          <w:b/>
          <w:bCs/>
          <w:sz w:val="26"/>
          <w:szCs w:val="26"/>
          <w:lang w:val="fr-FR"/>
        </w:rPr>
      </w:pPr>
      <w:r w:rsidRPr="009F540B">
        <w:rPr>
          <w:rFonts w:ascii="Linotype Univers 330 Light" w:eastAsia="Times New Roman" w:hAnsi="Linotype Univers 330 Light" w:cs="Arial"/>
          <w:b/>
          <w:bCs/>
          <w:sz w:val="26"/>
          <w:szCs w:val="26"/>
          <w:lang w:val="fr-FR"/>
        </w:rPr>
        <w:t xml:space="preserve">Objectifs généraux </w:t>
      </w:r>
    </w:p>
    <w:p w14:paraId="5D6ECFC4" w14:textId="77777777" w:rsidR="006940BB" w:rsidRPr="009F540B" w:rsidRDefault="006940BB" w:rsidP="006940BB">
      <w:pPr>
        <w:pStyle w:val="ListParagraph"/>
        <w:jc w:val="both"/>
        <w:rPr>
          <w:rFonts w:ascii="Linotype Univers 330 Light" w:eastAsia="Times New Roman" w:hAnsi="Linotype Univers 330 Light" w:cs="Arial"/>
          <w:b/>
          <w:bCs/>
          <w:sz w:val="26"/>
          <w:szCs w:val="26"/>
          <w:lang w:val="fr-FR"/>
        </w:rPr>
      </w:pPr>
    </w:p>
    <w:p w14:paraId="02DB0C27" w14:textId="58736533" w:rsidR="006940BB" w:rsidRPr="009F540B" w:rsidRDefault="006940BB" w:rsidP="006940BB">
      <w:pPr>
        <w:pStyle w:val="ListParagraph"/>
        <w:numPr>
          <w:ilvl w:val="0"/>
          <w:numId w:val="35"/>
        </w:numPr>
        <w:shd w:val="clear" w:color="auto" w:fill="FFFFFF"/>
        <w:spacing w:after="0" w:line="240" w:lineRule="auto"/>
        <w:rPr>
          <w:rFonts w:ascii="Linotype Univers 330 Light" w:eastAsia="SimSun" w:hAnsi="Linotype Univers 330 Light" w:cs="Arial"/>
          <w:lang w:val="fr-FR" w:eastAsia="fr-FR"/>
        </w:rPr>
      </w:pPr>
      <w:r w:rsidRPr="009F540B">
        <w:rPr>
          <w:rFonts w:ascii="Linotype Univers 330 Light" w:eastAsia="SimSun" w:hAnsi="Linotype Univers 330 Light" w:cs="Arial"/>
          <w:lang w:val="fr-FR" w:eastAsia="fr-FR"/>
        </w:rPr>
        <w:t xml:space="preserve">Générer des informations et des analyses sur la façon dont le cadre juridique actuel pour la gestion des semences affecte les systèmes agricoles et alimentaires locaux en Afrique du Nord en général et couvrant au moins un pays de la région. </w:t>
      </w:r>
    </w:p>
    <w:p w14:paraId="286DD73C" w14:textId="5E952A31" w:rsidR="006940BB" w:rsidRPr="009F540B" w:rsidRDefault="006940BB" w:rsidP="006940BB">
      <w:pPr>
        <w:pStyle w:val="ListParagraph"/>
        <w:numPr>
          <w:ilvl w:val="0"/>
          <w:numId w:val="35"/>
        </w:numPr>
        <w:shd w:val="clear" w:color="auto" w:fill="FFFFFF"/>
        <w:spacing w:after="0" w:line="240" w:lineRule="auto"/>
        <w:rPr>
          <w:rFonts w:ascii="Linotype Univers 330 Light" w:eastAsia="SimSun" w:hAnsi="Linotype Univers 330 Light" w:cs="Arial"/>
          <w:lang w:val="fr-FR" w:eastAsia="fr-FR"/>
        </w:rPr>
      </w:pPr>
      <w:r w:rsidRPr="009F540B">
        <w:rPr>
          <w:rFonts w:ascii="Linotype Univers 330 Light" w:eastAsia="SimSun" w:hAnsi="Linotype Univers 330 Light" w:cs="Arial"/>
          <w:lang w:val="fr-FR" w:eastAsia="fr-FR"/>
        </w:rPr>
        <w:t xml:space="preserve">A quoi devraient ressembler les systèmes agricoles et semenciers pour assurer la souveraineté alimentaire ? Comment cela est-il possible et quels types d'étapes et de stratégies seraient nécessaires pour apporter ce changement ? </w:t>
      </w:r>
    </w:p>
    <w:p w14:paraId="32319D78" w14:textId="0DC35C49" w:rsidR="008946F0" w:rsidRPr="009F540B" w:rsidRDefault="006940BB" w:rsidP="006940BB">
      <w:pPr>
        <w:pStyle w:val="ListParagraph"/>
        <w:numPr>
          <w:ilvl w:val="0"/>
          <w:numId w:val="35"/>
        </w:numPr>
        <w:shd w:val="clear" w:color="auto" w:fill="FFFFFF"/>
        <w:spacing w:after="0" w:line="240" w:lineRule="auto"/>
        <w:jc w:val="both"/>
        <w:rPr>
          <w:rFonts w:ascii="Linotype Univers 330 Light" w:eastAsia="SimSun" w:hAnsi="Linotype Univers 330 Light" w:cs="Arial"/>
          <w:lang w:val="fr-FR" w:eastAsia="fr-FR"/>
        </w:rPr>
      </w:pPr>
      <w:r w:rsidRPr="009F540B">
        <w:rPr>
          <w:rFonts w:ascii="Linotype Univers 330 Light" w:eastAsia="SimSun" w:hAnsi="Linotype Univers 330 Light" w:cs="Arial"/>
          <w:lang w:val="fr-FR" w:eastAsia="fr-FR"/>
        </w:rPr>
        <w:t>Susciter un débat contre le système semencier hégémonique et fournir les grandes lignes d'un système semencier juste et démocratique dans la région.</w:t>
      </w:r>
    </w:p>
    <w:p w14:paraId="577485B6" w14:textId="77777777" w:rsidR="006940BB" w:rsidRPr="009F540B" w:rsidRDefault="006940BB" w:rsidP="006940BB">
      <w:pPr>
        <w:shd w:val="clear" w:color="auto" w:fill="FFFFFF"/>
        <w:spacing w:after="0" w:line="240" w:lineRule="auto"/>
        <w:jc w:val="both"/>
        <w:rPr>
          <w:rFonts w:ascii="Linotype Univers 330 Light" w:eastAsia="SimSun" w:hAnsi="Linotype Univers 330 Light" w:cs="Arial"/>
          <w:lang w:val="fr-FR" w:eastAsia="fr-FR"/>
        </w:rPr>
      </w:pPr>
    </w:p>
    <w:p w14:paraId="73F3D82D" w14:textId="5B580E34" w:rsidR="006A7609" w:rsidRPr="009F540B" w:rsidRDefault="008946F0" w:rsidP="00030058">
      <w:pPr>
        <w:pStyle w:val="ListParagraph"/>
        <w:numPr>
          <w:ilvl w:val="0"/>
          <w:numId w:val="2"/>
        </w:numPr>
        <w:jc w:val="both"/>
        <w:rPr>
          <w:rFonts w:ascii="Linotype Univers 330 Light" w:eastAsia="Times New Roman" w:hAnsi="Linotype Univers 330 Light" w:cs="Arial"/>
          <w:b/>
          <w:bCs/>
          <w:sz w:val="26"/>
          <w:szCs w:val="26"/>
          <w:lang w:val="fr-FR"/>
        </w:rPr>
      </w:pPr>
      <w:r w:rsidRPr="009F540B">
        <w:rPr>
          <w:rFonts w:ascii="Linotype Univers 330 Light" w:eastAsia="Times New Roman" w:hAnsi="Linotype Univers 330 Light" w:cs="Arial"/>
          <w:b/>
          <w:bCs/>
          <w:sz w:val="26"/>
          <w:szCs w:val="26"/>
          <w:lang w:val="fr-FR"/>
        </w:rPr>
        <w:t>C</w:t>
      </w:r>
      <w:r w:rsidR="006940BB" w:rsidRPr="009F540B">
        <w:rPr>
          <w:rFonts w:ascii="Linotype Univers 330 Light" w:eastAsia="Times New Roman" w:hAnsi="Linotype Univers 330 Light" w:cs="Arial"/>
          <w:b/>
          <w:bCs/>
          <w:sz w:val="26"/>
          <w:szCs w:val="26"/>
          <w:lang w:val="fr-FR"/>
        </w:rPr>
        <w:t xml:space="preserve">ontenu </w:t>
      </w:r>
      <w:r w:rsidRPr="009F540B">
        <w:rPr>
          <w:rFonts w:ascii="Linotype Univers 330 Light" w:eastAsia="Times New Roman" w:hAnsi="Linotype Univers 330 Light" w:cs="Arial"/>
          <w:b/>
          <w:bCs/>
          <w:sz w:val="26"/>
          <w:szCs w:val="26"/>
          <w:lang w:val="fr-FR"/>
        </w:rPr>
        <w:t xml:space="preserve"> </w:t>
      </w:r>
      <w:r w:rsidR="006A7609" w:rsidRPr="009F540B">
        <w:rPr>
          <w:rFonts w:ascii="Linotype Univers 330 Light" w:eastAsia="Times New Roman" w:hAnsi="Linotype Univers 330 Light" w:cs="Arial"/>
          <w:b/>
          <w:bCs/>
          <w:sz w:val="26"/>
          <w:szCs w:val="26"/>
          <w:lang w:val="fr-FR"/>
        </w:rPr>
        <w:t xml:space="preserve"> </w:t>
      </w:r>
    </w:p>
    <w:p w14:paraId="55C89621" w14:textId="56B8CF3E" w:rsidR="00271CD0" w:rsidRPr="009F540B" w:rsidRDefault="006940BB" w:rsidP="00271CD0">
      <w:pPr>
        <w:jc w:val="both"/>
        <w:rPr>
          <w:rFonts w:ascii="Linotype Univers 330 Light" w:eastAsia="SimSun" w:hAnsi="Linotype Univers 330 Light" w:cs="Arial"/>
          <w:lang w:val="fr-FR" w:eastAsia="fr-FR"/>
        </w:rPr>
      </w:pPr>
      <w:r w:rsidRPr="009F540B">
        <w:rPr>
          <w:rFonts w:ascii="Linotype Univers 330 Light" w:eastAsia="SimSun" w:hAnsi="Linotype Univers 330 Light" w:cs="Arial"/>
          <w:lang w:val="fr-FR" w:eastAsia="fr-FR"/>
        </w:rPr>
        <w:t>Cette étude vise à analyser</w:t>
      </w:r>
      <w:r w:rsidR="00271CD0" w:rsidRPr="009F540B">
        <w:rPr>
          <w:rFonts w:ascii="Linotype Univers 330 Light" w:eastAsia="SimSun" w:hAnsi="Linotype Univers 330 Light" w:cs="Arial"/>
          <w:lang w:val="fr-FR" w:eastAsia="fr-FR"/>
        </w:rPr>
        <w:t>:</w:t>
      </w:r>
    </w:p>
    <w:p w14:paraId="203C7F6B" w14:textId="03EF7C4E" w:rsidR="006940BB" w:rsidRPr="009F540B" w:rsidRDefault="006940BB" w:rsidP="006940BB">
      <w:pPr>
        <w:pStyle w:val="ListParagraph"/>
        <w:numPr>
          <w:ilvl w:val="0"/>
          <w:numId w:val="31"/>
        </w:numPr>
        <w:rPr>
          <w:rFonts w:ascii="Linotype Univers 330 Light" w:eastAsia="SimSun" w:hAnsi="Linotype Univers 330 Light" w:cs="Arial"/>
          <w:lang w:val="fr-FR" w:eastAsia="fr-FR"/>
        </w:rPr>
      </w:pPr>
      <w:r w:rsidRPr="009F540B">
        <w:rPr>
          <w:rFonts w:ascii="Linotype Univers 330 Light" w:eastAsia="SimSun" w:hAnsi="Linotype Univers 330 Light" w:cs="Arial"/>
          <w:lang w:val="fr-FR" w:eastAsia="fr-FR"/>
        </w:rPr>
        <w:t>Les processus d'harmonisation de la réglementation semencière en cours dans la région nord-africaine en général et couvrant au moins un pays de la région.</w:t>
      </w:r>
    </w:p>
    <w:p w14:paraId="4BF0F839" w14:textId="027FCA92" w:rsidR="006940BB" w:rsidRPr="009F540B" w:rsidRDefault="006940BB" w:rsidP="006940BB">
      <w:pPr>
        <w:pStyle w:val="ListParagraph"/>
        <w:numPr>
          <w:ilvl w:val="0"/>
          <w:numId w:val="31"/>
        </w:numPr>
        <w:rPr>
          <w:rFonts w:ascii="Linotype Univers 330 Light" w:eastAsia="SimSun" w:hAnsi="Linotype Univers 330 Light" w:cs="Arial"/>
          <w:lang w:val="fr-FR" w:eastAsia="fr-FR"/>
        </w:rPr>
      </w:pPr>
      <w:r w:rsidRPr="009F540B">
        <w:rPr>
          <w:rFonts w:ascii="Linotype Univers 330 Light" w:eastAsia="SimSun" w:hAnsi="Linotype Univers 330 Light" w:cs="Arial"/>
          <w:lang w:val="fr-FR" w:eastAsia="fr-FR"/>
        </w:rPr>
        <w:t>Le modèle actuel des semences et les politiques associées et comment ils contribuent à la restructuration du système agricole en faveur de l'agrobusiness et de la monoculture.</w:t>
      </w:r>
    </w:p>
    <w:p w14:paraId="766F8011" w14:textId="2A6254B4" w:rsidR="006940BB" w:rsidRPr="009F540B" w:rsidRDefault="006940BB" w:rsidP="006940BB">
      <w:pPr>
        <w:pStyle w:val="ListParagraph"/>
        <w:numPr>
          <w:ilvl w:val="0"/>
          <w:numId w:val="31"/>
        </w:numPr>
        <w:rPr>
          <w:rFonts w:ascii="Linotype Univers 330 Light" w:eastAsia="SimSun" w:hAnsi="Linotype Univers 330 Light" w:cs="Arial"/>
          <w:lang w:val="fr-FR" w:eastAsia="fr-FR"/>
        </w:rPr>
      </w:pPr>
      <w:r w:rsidRPr="009F540B">
        <w:rPr>
          <w:rFonts w:ascii="Linotype Univers 330 Light" w:eastAsia="SimSun" w:hAnsi="Linotype Univers 330 Light" w:cs="Arial"/>
          <w:lang w:val="fr-FR" w:eastAsia="fr-FR"/>
        </w:rPr>
        <w:t>Comment les lois sur la réglementation des semences sapent les systèmes de semences des agriculteurs et leur résilience et comment les agriculteurs sont poussés à abandonner leurs systèmes de semences.</w:t>
      </w:r>
    </w:p>
    <w:p w14:paraId="2E90F274" w14:textId="0E727E07" w:rsidR="006940BB" w:rsidRPr="009F540B" w:rsidRDefault="006940BB" w:rsidP="006940BB">
      <w:pPr>
        <w:pStyle w:val="ListParagraph"/>
        <w:numPr>
          <w:ilvl w:val="0"/>
          <w:numId w:val="31"/>
        </w:numPr>
        <w:rPr>
          <w:rFonts w:ascii="Linotype Univers 330 Light" w:eastAsia="SimSun" w:hAnsi="Linotype Univers 330 Light" w:cs="Arial"/>
          <w:lang w:val="fr-FR" w:eastAsia="fr-FR"/>
        </w:rPr>
      </w:pPr>
      <w:r w:rsidRPr="009F540B">
        <w:rPr>
          <w:rFonts w:ascii="Linotype Univers 330 Light" w:eastAsia="SimSun" w:hAnsi="Linotype Univers 330 Light" w:cs="Arial"/>
          <w:lang w:val="fr-FR" w:eastAsia="fr-FR"/>
        </w:rPr>
        <w:t>Comment l'application du cadre légal actuel des semences renforce la dépendance du système agricole NA aux marchés internationaux et comment les gouvernements nord-africains cèdent à la pression des entreprises et sapent les systèmes semenciers locaux.</w:t>
      </w:r>
    </w:p>
    <w:p w14:paraId="09B223BC" w14:textId="4CBB55ED" w:rsidR="006940BB" w:rsidRPr="009F540B" w:rsidRDefault="006940BB" w:rsidP="006940BB">
      <w:pPr>
        <w:pStyle w:val="ListParagraph"/>
        <w:numPr>
          <w:ilvl w:val="0"/>
          <w:numId w:val="31"/>
        </w:numPr>
        <w:rPr>
          <w:rFonts w:ascii="Linotype Univers 330 Light" w:eastAsia="SimSun" w:hAnsi="Linotype Univers 330 Light" w:cs="Arial"/>
          <w:lang w:val="fr-FR" w:eastAsia="fr-FR"/>
        </w:rPr>
      </w:pPr>
      <w:r w:rsidRPr="009F540B">
        <w:rPr>
          <w:rFonts w:ascii="Linotype Univers 330 Light" w:eastAsia="SimSun" w:hAnsi="Linotype Univers 330 Light" w:cs="Arial"/>
          <w:lang w:val="fr-FR" w:eastAsia="fr-FR"/>
        </w:rPr>
        <w:t xml:space="preserve">L'impact de ce modèle sur la détérioration du système agricole et la perte de sa résilience face aux crises (le COVID-19, la sécheresse, la guerre en Ukraine) </w:t>
      </w:r>
    </w:p>
    <w:p w14:paraId="16332353" w14:textId="6F508E21" w:rsidR="00271CD0" w:rsidRPr="009F540B" w:rsidRDefault="006940BB" w:rsidP="00D0565B">
      <w:pPr>
        <w:pStyle w:val="ListParagraph"/>
        <w:numPr>
          <w:ilvl w:val="0"/>
          <w:numId w:val="31"/>
        </w:numPr>
        <w:jc w:val="both"/>
        <w:rPr>
          <w:rFonts w:ascii="Linotype Univers 330 Light" w:eastAsia="SimSun" w:hAnsi="Linotype Univers 330 Light" w:cs="Arial"/>
          <w:lang w:val="fr-FR" w:eastAsia="fr-FR"/>
        </w:rPr>
      </w:pPr>
      <w:r w:rsidRPr="009F540B">
        <w:rPr>
          <w:rFonts w:ascii="Linotype Univers 330 Light" w:eastAsia="SimSun" w:hAnsi="Linotype Univers 330 Light" w:cs="Arial"/>
          <w:lang w:val="fr-FR" w:eastAsia="fr-FR"/>
        </w:rPr>
        <w:t>Comment les systèmes de semences gérés par les agriculteurs soutiennent la production agroécologique à petite échelle et la souveraineté alimentaire</w:t>
      </w:r>
      <w:r w:rsidR="00271CD0" w:rsidRPr="009F540B">
        <w:rPr>
          <w:rFonts w:ascii="Linotype Univers 330 Light" w:eastAsia="SimSun" w:hAnsi="Linotype Univers 330 Light" w:cs="Arial"/>
          <w:lang w:val="fr-FR" w:eastAsia="fr-FR"/>
        </w:rPr>
        <w:t>.</w:t>
      </w:r>
    </w:p>
    <w:p w14:paraId="498FDB09" w14:textId="00696A60" w:rsidR="00271CD0" w:rsidRPr="009F540B" w:rsidRDefault="006940BB" w:rsidP="00D0565B">
      <w:pPr>
        <w:jc w:val="both"/>
        <w:rPr>
          <w:rFonts w:ascii="Linotype Univers 330 Light" w:eastAsia="SimSun" w:hAnsi="Linotype Univers 330 Light" w:cs="Arial"/>
          <w:lang w:val="fr-FR" w:eastAsia="fr-FR"/>
        </w:rPr>
      </w:pPr>
      <w:r w:rsidRPr="009F540B">
        <w:rPr>
          <w:rFonts w:ascii="Linotype Univers 330 Light" w:eastAsia="SimSun" w:hAnsi="Linotype Univers 330 Light" w:cs="Arial"/>
          <w:lang w:val="fr-FR" w:eastAsia="fr-FR"/>
        </w:rPr>
        <w:t>Cette étude proposera également des actions et des politiques à mettre en œuvre pour renforcer les systèmes de semences gérés par les agriculteurs :</w:t>
      </w:r>
    </w:p>
    <w:p w14:paraId="2F04E5C0" w14:textId="6F5C44CE" w:rsidR="00D0565B" w:rsidRPr="009F540B" w:rsidRDefault="00D0565B" w:rsidP="00D0565B">
      <w:pPr>
        <w:pStyle w:val="ListParagraph"/>
        <w:numPr>
          <w:ilvl w:val="0"/>
          <w:numId w:val="37"/>
        </w:numPr>
        <w:rPr>
          <w:rFonts w:ascii="Linotype Univers 330 Light" w:eastAsia="SimSun" w:hAnsi="Linotype Univers 330 Light" w:cs="Arial"/>
          <w:lang w:val="fr-FR" w:eastAsia="fr-FR"/>
        </w:rPr>
      </w:pPr>
      <w:r w:rsidRPr="009F540B">
        <w:rPr>
          <w:rFonts w:ascii="Linotype Univers 330 Light" w:eastAsia="SimSun" w:hAnsi="Linotype Univers 330 Light" w:cs="Arial"/>
          <w:lang w:val="fr-FR" w:eastAsia="fr-FR"/>
        </w:rPr>
        <w:lastRenderedPageBreak/>
        <w:t>Basé sur le cadre légal proposé par l'Alliance pour la souveraineté alimentaire en Afrique pour la reconnaissance et la promotion des systèmes de semences gérés par les agriculteurs.</w:t>
      </w:r>
    </w:p>
    <w:p w14:paraId="69EECFB0" w14:textId="4FF72E05" w:rsidR="00D0565B" w:rsidRPr="009F540B" w:rsidRDefault="00D0565B" w:rsidP="00D0565B">
      <w:pPr>
        <w:pStyle w:val="ListParagraph"/>
        <w:numPr>
          <w:ilvl w:val="0"/>
          <w:numId w:val="37"/>
        </w:numPr>
        <w:rPr>
          <w:rFonts w:ascii="Linotype Univers 330 Light" w:eastAsia="SimSun" w:hAnsi="Linotype Univers 330 Light" w:cs="Arial"/>
          <w:lang w:val="fr-FR" w:eastAsia="fr-FR"/>
        </w:rPr>
      </w:pPr>
      <w:r w:rsidRPr="009F540B">
        <w:rPr>
          <w:rFonts w:ascii="Linotype Univers 330 Light" w:eastAsia="SimSun" w:hAnsi="Linotype Univers 330 Light" w:cs="Arial"/>
          <w:lang w:val="fr-FR" w:eastAsia="fr-FR"/>
        </w:rPr>
        <w:t>Avec des dispositions préliminaires, des outils et des organes à mettre en place pour la gestion des systèmes de semences des agriculteurs.</w:t>
      </w:r>
    </w:p>
    <w:p w14:paraId="232BF0D9" w14:textId="2AE82A9E" w:rsidR="00A606C4" w:rsidRPr="009F540B" w:rsidRDefault="00D0565B" w:rsidP="00D0565B">
      <w:pPr>
        <w:pStyle w:val="ListParagraph"/>
        <w:numPr>
          <w:ilvl w:val="0"/>
          <w:numId w:val="37"/>
        </w:numPr>
        <w:jc w:val="both"/>
        <w:rPr>
          <w:rFonts w:ascii="Linotype Univers 330 Light" w:eastAsia="Times New Roman" w:hAnsi="Linotype Univers 330 Light" w:cs="Arial"/>
          <w:b/>
          <w:bCs/>
          <w:sz w:val="26"/>
          <w:szCs w:val="26"/>
          <w:lang w:val="fr-FR"/>
        </w:rPr>
      </w:pPr>
      <w:r w:rsidRPr="009F540B">
        <w:rPr>
          <w:rFonts w:ascii="Linotype Univers 330 Light" w:eastAsia="SimSun" w:hAnsi="Linotype Univers 330 Light" w:cs="Arial"/>
          <w:lang w:val="fr-FR" w:eastAsia="fr-FR"/>
        </w:rPr>
        <w:t>Pour atteindre la souveraineté alimentaire tout en faisant face aux politiques hégémoniques des systèmes semenciers.</w:t>
      </w:r>
    </w:p>
    <w:p w14:paraId="27B7B8FB" w14:textId="77777777" w:rsidR="00D0565B" w:rsidRPr="009F540B" w:rsidRDefault="00D0565B" w:rsidP="00D0565B">
      <w:pPr>
        <w:pStyle w:val="ListParagraph"/>
        <w:ind w:left="1080"/>
        <w:jc w:val="both"/>
        <w:rPr>
          <w:rFonts w:ascii="Linotype Univers 330 Light" w:eastAsia="Times New Roman" w:hAnsi="Linotype Univers 330 Light" w:cs="Arial"/>
          <w:b/>
          <w:bCs/>
          <w:sz w:val="26"/>
          <w:szCs w:val="26"/>
          <w:lang w:val="fr-FR"/>
        </w:rPr>
      </w:pPr>
    </w:p>
    <w:p w14:paraId="084EF144" w14:textId="6F4BD603" w:rsidR="006A7609" w:rsidRPr="009F540B" w:rsidRDefault="00D0565B" w:rsidP="00030058">
      <w:pPr>
        <w:pStyle w:val="ListParagraph"/>
        <w:numPr>
          <w:ilvl w:val="0"/>
          <w:numId w:val="2"/>
        </w:numPr>
        <w:jc w:val="both"/>
        <w:rPr>
          <w:rFonts w:ascii="Linotype Univers 330 Light" w:eastAsia="Times New Roman" w:hAnsi="Linotype Univers 330 Light" w:cs="Arial"/>
          <w:b/>
          <w:bCs/>
          <w:sz w:val="26"/>
          <w:szCs w:val="26"/>
          <w:lang w:val="fr-FR"/>
        </w:rPr>
      </w:pPr>
      <w:r w:rsidRPr="009F540B">
        <w:rPr>
          <w:rFonts w:ascii="Linotype Univers 330 Light" w:eastAsia="Times New Roman" w:hAnsi="Linotype Univers 330 Light" w:cs="Arial"/>
          <w:b/>
          <w:bCs/>
          <w:sz w:val="26"/>
          <w:szCs w:val="26"/>
          <w:lang w:val="fr-FR"/>
        </w:rPr>
        <w:t xml:space="preserve">Méthodologie </w:t>
      </w:r>
    </w:p>
    <w:p w14:paraId="7034A70C" w14:textId="77777777" w:rsidR="00D0565B" w:rsidRPr="009F540B" w:rsidRDefault="00D0565B" w:rsidP="00D0565B">
      <w:pPr>
        <w:spacing w:after="0" w:line="60" w:lineRule="atLeast"/>
        <w:rPr>
          <w:rFonts w:ascii="Linotype Univers 330 Light" w:eastAsia="SimSun" w:hAnsi="Linotype Univers 330 Light" w:cs="Arial"/>
          <w:lang w:val="fr-FR" w:eastAsia="fr-FR"/>
        </w:rPr>
      </w:pPr>
      <w:r w:rsidRPr="009F540B">
        <w:rPr>
          <w:rFonts w:ascii="Linotype Univers 330 Light" w:eastAsia="SimSun" w:hAnsi="Linotype Univers 330 Light" w:cs="Arial"/>
          <w:lang w:val="fr-FR" w:eastAsia="fr-FR"/>
        </w:rPr>
        <w:t xml:space="preserve">La méthodologie sera proposée par le chercheur en fonction de la disponibilité des données. </w:t>
      </w:r>
    </w:p>
    <w:p w14:paraId="0C76BA79" w14:textId="2EF95865" w:rsidR="0099028A" w:rsidRPr="009F540B" w:rsidRDefault="00D0565B" w:rsidP="00D0565B">
      <w:pPr>
        <w:spacing w:after="0" w:line="60" w:lineRule="atLeast"/>
        <w:jc w:val="both"/>
        <w:rPr>
          <w:rFonts w:ascii="Linotype Univers 330 Light" w:eastAsia="SimSun" w:hAnsi="Linotype Univers 330 Light" w:cs="Arial"/>
          <w:lang w:val="fr-FR" w:eastAsia="fr-FR"/>
        </w:rPr>
      </w:pPr>
      <w:r w:rsidRPr="009F540B">
        <w:rPr>
          <w:rFonts w:ascii="Linotype Univers 330 Light" w:eastAsia="SimSun" w:hAnsi="Linotype Univers 330 Light" w:cs="Arial"/>
          <w:lang w:val="fr-FR" w:eastAsia="fr-FR"/>
        </w:rPr>
        <w:t>La portée de la recherche sera proposée par le chercheur mais l'étude doit contenir au moins une étude de cas spécifique</w:t>
      </w:r>
      <w:r w:rsidR="00E90F68" w:rsidRPr="009F540B">
        <w:rPr>
          <w:rFonts w:ascii="Linotype Univers 330 Light" w:eastAsia="SimSun" w:hAnsi="Linotype Univers 330 Light" w:cs="Arial"/>
          <w:lang w:val="fr-FR" w:eastAsia="fr-FR"/>
        </w:rPr>
        <w:t>.</w:t>
      </w:r>
    </w:p>
    <w:p w14:paraId="676A7E6B" w14:textId="77777777" w:rsidR="00E90F68" w:rsidRPr="009F540B" w:rsidRDefault="00E90F68" w:rsidP="00271CD0">
      <w:pPr>
        <w:spacing w:after="0" w:line="60" w:lineRule="atLeast"/>
        <w:jc w:val="both"/>
        <w:rPr>
          <w:rFonts w:ascii="Linotype Univers 330 Light" w:eastAsia="SimSun" w:hAnsi="Linotype Univers 330 Light" w:cs="Arial"/>
          <w:lang w:val="fr-FR" w:eastAsia="fr-FR"/>
        </w:rPr>
      </w:pPr>
    </w:p>
    <w:p w14:paraId="593111E4" w14:textId="05756F69" w:rsidR="0099028A" w:rsidRPr="009F540B" w:rsidRDefault="00D0565B" w:rsidP="00030058">
      <w:pPr>
        <w:pStyle w:val="ListParagraph"/>
        <w:numPr>
          <w:ilvl w:val="0"/>
          <w:numId w:val="2"/>
        </w:numPr>
        <w:spacing w:after="0" w:line="60" w:lineRule="atLeast"/>
        <w:jc w:val="both"/>
        <w:rPr>
          <w:rFonts w:ascii="Linotype Univers 330 Light" w:eastAsia="Times New Roman" w:hAnsi="Linotype Univers 330 Light" w:cs="Arial"/>
          <w:b/>
          <w:bCs/>
          <w:sz w:val="26"/>
          <w:szCs w:val="26"/>
          <w:lang w:val="fr-FR"/>
        </w:rPr>
      </w:pPr>
      <w:r w:rsidRPr="009F540B">
        <w:rPr>
          <w:rFonts w:ascii="Linotype Univers 330 Light" w:eastAsia="Times New Roman" w:hAnsi="Linotype Univers 330 Light" w:cs="Arial"/>
          <w:b/>
          <w:bCs/>
          <w:sz w:val="26"/>
          <w:szCs w:val="26"/>
          <w:lang w:val="fr-FR"/>
        </w:rPr>
        <w:t>Groupes Cibles</w:t>
      </w:r>
      <w:r w:rsidR="00FA6B57" w:rsidRPr="009F540B">
        <w:rPr>
          <w:rFonts w:ascii="Linotype Univers 330 Light" w:eastAsia="Times New Roman" w:hAnsi="Linotype Univers 330 Light" w:cs="Arial"/>
          <w:b/>
          <w:bCs/>
          <w:sz w:val="26"/>
          <w:szCs w:val="26"/>
          <w:lang w:val="fr-FR"/>
        </w:rPr>
        <w:tab/>
      </w:r>
    </w:p>
    <w:p w14:paraId="2BB85847" w14:textId="77777777" w:rsidR="00A606C4" w:rsidRPr="009F540B" w:rsidRDefault="00A606C4" w:rsidP="00A606C4">
      <w:pPr>
        <w:spacing w:after="0" w:line="60" w:lineRule="atLeast"/>
        <w:jc w:val="both"/>
        <w:rPr>
          <w:rFonts w:ascii="Linotype Univers 330 Light" w:eastAsia="Times New Roman" w:hAnsi="Linotype Univers 330 Light" w:cs="Arial"/>
          <w:b/>
          <w:bCs/>
          <w:sz w:val="26"/>
          <w:szCs w:val="26"/>
          <w:lang w:val="fr-FR"/>
        </w:rPr>
      </w:pPr>
    </w:p>
    <w:p w14:paraId="35A59E0B" w14:textId="77777777" w:rsidR="00D0565B" w:rsidRPr="009F540B" w:rsidRDefault="00D0565B" w:rsidP="00D0565B">
      <w:pPr>
        <w:pStyle w:val="ListParagraph"/>
        <w:spacing w:after="0" w:line="60" w:lineRule="atLeast"/>
        <w:rPr>
          <w:rFonts w:ascii="Linotype Univers 330 Light" w:eastAsia="SimSun" w:hAnsi="Linotype Univers 330 Light" w:cs="Arial"/>
          <w:lang w:val="fr-FR" w:eastAsia="fr-FR"/>
        </w:rPr>
      </w:pPr>
      <w:r w:rsidRPr="009F540B">
        <w:rPr>
          <w:rFonts w:ascii="Linotype Univers 330 Light" w:eastAsia="SimSun" w:hAnsi="Linotype Univers 330 Light" w:cs="Arial"/>
          <w:lang w:val="fr-FR" w:eastAsia="fr-FR"/>
        </w:rPr>
        <w:t>- Décideurs politiques, organismes officiels, institutions nationales, responsables politiques, etc. dans la région d'Afrique du Nord.</w:t>
      </w:r>
    </w:p>
    <w:p w14:paraId="2DACCF95" w14:textId="77777777" w:rsidR="00D0565B" w:rsidRPr="009F540B" w:rsidRDefault="00D0565B" w:rsidP="00D0565B">
      <w:pPr>
        <w:pStyle w:val="ListParagraph"/>
        <w:spacing w:after="0" w:line="60" w:lineRule="atLeast"/>
        <w:rPr>
          <w:rFonts w:ascii="Linotype Univers 330 Light" w:eastAsia="SimSun" w:hAnsi="Linotype Univers 330 Light" w:cs="Arial"/>
          <w:lang w:val="fr-FR" w:eastAsia="fr-FR"/>
        </w:rPr>
      </w:pPr>
      <w:r w:rsidRPr="009F540B">
        <w:rPr>
          <w:rFonts w:ascii="Linotype Univers 330 Light" w:eastAsia="SimSun" w:hAnsi="Linotype Univers 330 Light" w:cs="Arial"/>
          <w:lang w:val="fr-FR" w:eastAsia="fr-FR"/>
        </w:rPr>
        <w:t xml:space="preserve">- Médias, ONG et autres organisations de la société civile dans les pays d'Afrique du Nord. </w:t>
      </w:r>
    </w:p>
    <w:p w14:paraId="6BC331CD" w14:textId="113D2660" w:rsidR="00030058" w:rsidRPr="009F540B" w:rsidRDefault="00D0565B" w:rsidP="00D0565B">
      <w:pPr>
        <w:pStyle w:val="ListParagraph"/>
        <w:spacing w:after="0" w:line="60" w:lineRule="atLeast"/>
        <w:jc w:val="both"/>
        <w:rPr>
          <w:rFonts w:ascii="Linotype Univers 330 Light" w:eastAsia="SimSun" w:hAnsi="Linotype Univers 330 Light" w:cs="Arial"/>
          <w:lang w:val="fr-FR" w:eastAsia="fr-FR"/>
        </w:rPr>
      </w:pPr>
      <w:r w:rsidRPr="009F540B">
        <w:rPr>
          <w:rFonts w:ascii="Linotype Univers 330 Light" w:eastAsia="SimSun" w:hAnsi="Linotype Univers 330 Light" w:cs="Arial"/>
          <w:lang w:val="fr-FR" w:eastAsia="fr-FR"/>
        </w:rPr>
        <w:t>- Médias, ONG et autres organisations de la société civile dans les pays du Nord et du Sud.</w:t>
      </w:r>
    </w:p>
    <w:p w14:paraId="71F5DC8E" w14:textId="77777777" w:rsidR="00D0565B" w:rsidRPr="009F540B" w:rsidRDefault="00D0565B" w:rsidP="00D0565B">
      <w:pPr>
        <w:spacing w:after="0" w:line="60" w:lineRule="atLeast"/>
        <w:jc w:val="both"/>
        <w:rPr>
          <w:rFonts w:ascii="Linotype Univers 330 Light" w:eastAsia="SimSun" w:hAnsi="Linotype Univers 330 Light" w:cs="Arial"/>
          <w:lang w:val="fr-FR" w:eastAsia="fr-FR"/>
        </w:rPr>
      </w:pPr>
    </w:p>
    <w:p w14:paraId="1B5751B5" w14:textId="2192A189" w:rsidR="00D0565B" w:rsidRPr="009F540B" w:rsidRDefault="00D0565B" w:rsidP="009F540B">
      <w:pPr>
        <w:pStyle w:val="ListParagraph"/>
        <w:numPr>
          <w:ilvl w:val="0"/>
          <w:numId w:val="2"/>
        </w:numPr>
        <w:spacing w:after="0" w:line="60" w:lineRule="atLeast"/>
        <w:jc w:val="both"/>
        <w:rPr>
          <w:rFonts w:ascii="Linotype Univers 330 Light" w:eastAsia="Times New Roman" w:hAnsi="Linotype Univers 330 Light" w:cs="Arial"/>
          <w:b/>
          <w:bCs/>
          <w:sz w:val="26"/>
          <w:szCs w:val="26"/>
          <w:lang w:val="fr-FR"/>
        </w:rPr>
      </w:pPr>
      <w:r w:rsidRPr="009F540B">
        <w:rPr>
          <w:rFonts w:ascii="Linotype Univers 330 Light" w:eastAsia="Times New Roman" w:hAnsi="Linotype Univers 330 Light" w:cs="Arial"/>
          <w:b/>
          <w:bCs/>
          <w:sz w:val="26"/>
          <w:szCs w:val="26"/>
          <w:lang w:val="fr-FR"/>
        </w:rPr>
        <w:t>Date de publication et portée de la publication finale</w:t>
      </w:r>
    </w:p>
    <w:p w14:paraId="7FE65D99" w14:textId="77777777" w:rsidR="00D0565B" w:rsidRPr="009F540B" w:rsidRDefault="00D0565B" w:rsidP="00D0565B">
      <w:pPr>
        <w:pStyle w:val="NormalWeb"/>
        <w:spacing w:after="270"/>
        <w:contextualSpacing/>
        <w:jc w:val="both"/>
      </w:pPr>
      <w:r w:rsidRPr="009F540B">
        <w:t xml:space="preserve">Portée : Maximum 60 pages, y compris les références et l'index </w:t>
      </w:r>
    </w:p>
    <w:p w14:paraId="795C23FA" w14:textId="7BD0069B" w:rsidR="00D0565B" w:rsidRPr="009F540B" w:rsidRDefault="00483C19" w:rsidP="00483C19">
      <w:pPr>
        <w:pStyle w:val="NormalWeb"/>
        <w:spacing w:after="270"/>
        <w:contextualSpacing/>
        <w:jc w:val="both"/>
      </w:pPr>
      <w:r>
        <w:t xml:space="preserve">Date de soumission finale : </w:t>
      </w:r>
      <w:r w:rsidR="00D0565B" w:rsidRPr="009F540B">
        <w:t>0</w:t>
      </w:r>
      <w:r>
        <w:t>4 décembre</w:t>
      </w:r>
      <w:bookmarkStart w:id="0" w:name="_GoBack"/>
      <w:bookmarkEnd w:id="0"/>
      <w:r w:rsidR="00D0565B" w:rsidRPr="009F540B">
        <w:t xml:space="preserve"> 2022.</w:t>
      </w:r>
    </w:p>
    <w:p w14:paraId="33820862" w14:textId="2DDFAF7D" w:rsidR="00D0565B" w:rsidRPr="009F540B" w:rsidRDefault="00D0565B" w:rsidP="009F540B">
      <w:pPr>
        <w:pStyle w:val="ListParagraph"/>
        <w:numPr>
          <w:ilvl w:val="0"/>
          <w:numId w:val="2"/>
        </w:numPr>
        <w:spacing w:after="0" w:line="60" w:lineRule="atLeast"/>
        <w:jc w:val="both"/>
        <w:rPr>
          <w:rFonts w:ascii="Linotype Univers 330 Light" w:eastAsia="Times New Roman" w:hAnsi="Linotype Univers 330 Light" w:cs="Arial"/>
          <w:b/>
          <w:bCs/>
          <w:sz w:val="26"/>
          <w:szCs w:val="26"/>
          <w:lang w:val="fr-FR"/>
        </w:rPr>
      </w:pPr>
      <w:r w:rsidRPr="009F540B">
        <w:rPr>
          <w:rFonts w:ascii="Linotype Univers 330 Light" w:eastAsia="Times New Roman" w:hAnsi="Linotype Univers 330 Light" w:cs="Arial"/>
          <w:b/>
          <w:bCs/>
          <w:sz w:val="26"/>
          <w:szCs w:val="26"/>
          <w:lang w:val="fr-FR"/>
        </w:rPr>
        <w:t>Proposition et attribution de l'appel d'offres</w:t>
      </w:r>
    </w:p>
    <w:p w14:paraId="4F7BB045" w14:textId="77777777" w:rsidR="00D0565B" w:rsidRPr="009F540B" w:rsidRDefault="00D0565B" w:rsidP="00D0565B">
      <w:pPr>
        <w:pStyle w:val="NormalWeb"/>
        <w:spacing w:after="270"/>
        <w:contextualSpacing/>
        <w:jc w:val="both"/>
      </w:pPr>
      <w:r w:rsidRPr="009F540B">
        <w:t xml:space="preserve">La tâche de recherche est conçue pour 35-40 jours de travail pour le chercheur principal. </w:t>
      </w:r>
    </w:p>
    <w:p w14:paraId="572625B3" w14:textId="77777777" w:rsidR="00D0565B" w:rsidRPr="009F540B" w:rsidRDefault="00D0565B" w:rsidP="00D0565B">
      <w:pPr>
        <w:pStyle w:val="NormalWeb"/>
        <w:spacing w:after="270"/>
        <w:contextualSpacing/>
        <w:jc w:val="both"/>
      </w:pPr>
      <w:r w:rsidRPr="009F540B">
        <w:t>Qualification nécessaire : Expérience avérée dans la recherche sur le sujet décrit ci-dessus.</w:t>
      </w:r>
    </w:p>
    <w:p w14:paraId="6D812DAC" w14:textId="77777777" w:rsidR="00D0565B" w:rsidRPr="009F540B" w:rsidRDefault="00D0565B" w:rsidP="00D0565B">
      <w:pPr>
        <w:pStyle w:val="NormalWeb"/>
        <w:spacing w:after="270"/>
        <w:contextualSpacing/>
        <w:jc w:val="both"/>
      </w:pPr>
      <w:r w:rsidRPr="009F540B">
        <w:t xml:space="preserve">La commande sera émise en tant que contrat de service ou d'honoraires et le chercheur proposé devra soumettre les documents suivants : </w:t>
      </w:r>
    </w:p>
    <w:p w14:paraId="0FC22409" w14:textId="77777777" w:rsidR="00D0565B" w:rsidRPr="009F540B" w:rsidRDefault="00D0565B" w:rsidP="00D0565B">
      <w:pPr>
        <w:pStyle w:val="NormalWeb"/>
        <w:numPr>
          <w:ilvl w:val="0"/>
          <w:numId w:val="39"/>
        </w:numPr>
        <w:spacing w:after="270"/>
        <w:contextualSpacing/>
        <w:jc w:val="both"/>
      </w:pPr>
      <w:r w:rsidRPr="009F540B">
        <w:t xml:space="preserve">CV/profil du/des chercheur(s) (1 chercheur principal et des assistants de recherche sur le terrain si nécessaire) </w:t>
      </w:r>
    </w:p>
    <w:p w14:paraId="25ED2D2F" w14:textId="77777777" w:rsidR="00D0565B" w:rsidRPr="009F540B" w:rsidRDefault="00D0565B" w:rsidP="00D0565B">
      <w:pPr>
        <w:pStyle w:val="NormalWeb"/>
        <w:numPr>
          <w:ilvl w:val="0"/>
          <w:numId w:val="39"/>
        </w:numPr>
        <w:spacing w:after="270"/>
        <w:contextualSpacing/>
        <w:jc w:val="both"/>
      </w:pPr>
      <w:r w:rsidRPr="009F540B">
        <w:t xml:space="preserve">Calendrier selon l'échéancier ci-dessous </w:t>
      </w:r>
    </w:p>
    <w:p w14:paraId="16EB3B98" w14:textId="77777777" w:rsidR="00D0565B" w:rsidRPr="009F540B" w:rsidRDefault="00D0565B" w:rsidP="00D0565B">
      <w:pPr>
        <w:pStyle w:val="NormalWeb"/>
        <w:numPr>
          <w:ilvl w:val="0"/>
          <w:numId w:val="39"/>
        </w:numPr>
        <w:spacing w:after="270"/>
        <w:contextualSpacing/>
        <w:jc w:val="both"/>
      </w:pPr>
      <w:r w:rsidRPr="009F540B">
        <w:t>Prix des références/honoraires par jour ouvrable (taxes comprises)</w:t>
      </w:r>
    </w:p>
    <w:p w14:paraId="5959EFB0" w14:textId="77777777" w:rsidR="00D0565B" w:rsidRPr="009F540B" w:rsidRDefault="00D0565B" w:rsidP="00D0565B">
      <w:pPr>
        <w:pStyle w:val="NormalWeb"/>
        <w:numPr>
          <w:ilvl w:val="0"/>
          <w:numId w:val="39"/>
        </w:numPr>
        <w:spacing w:after="270"/>
        <w:contextualSpacing/>
        <w:jc w:val="both"/>
      </w:pPr>
      <w:r w:rsidRPr="009F540B">
        <w:t>Une courte proposition/un aperçu de la manière dont le chercheur prévoit de mener la recherche.</w:t>
      </w:r>
    </w:p>
    <w:p w14:paraId="2F7F4E94" w14:textId="77777777" w:rsidR="00E90F68" w:rsidRPr="009F540B" w:rsidRDefault="00E90F68" w:rsidP="00E90F68">
      <w:pPr>
        <w:pStyle w:val="NormalWeb"/>
        <w:spacing w:after="270"/>
        <w:contextualSpacing/>
        <w:jc w:val="both"/>
        <w:rPr>
          <w:b/>
          <w:bCs/>
        </w:rPr>
      </w:pPr>
    </w:p>
    <w:p w14:paraId="2919B0AB" w14:textId="77777777" w:rsidR="00D0565B" w:rsidRPr="009F540B" w:rsidRDefault="00D0565B" w:rsidP="00D0565B">
      <w:pPr>
        <w:pStyle w:val="NormalWeb"/>
        <w:spacing w:after="270"/>
        <w:contextualSpacing/>
        <w:rPr>
          <w:b/>
          <w:bCs/>
        </w:rPr>
      </w:pPr>
      <w:r w:rsidRPr="009F540B">
        <w:rPr>
          <w:b/>
          <w:bCs/>
        </w:rPr>
        <w:t>Soumission :</w:t>
      </w:r>
    </w:p>
    <w:p w14:paraId="599B4AF0" w14:textId="09220695" w:rsidR="00D0565B" w:rsidRPr="009F540B" w:rsidRDefault="00D0565B" w:rsidP="00D0565B">
      <w:pPr>
        <w:pStyle w:val="NormalWeb"/>
        <w:spacing w:after="270"/>
        <w:contextualSpacing/>
      </w:pPr>
      <w:r w:rsidRPr="009F540B">
        <w:t xml:space="preserve">Les offres doivent être soumises au plus tard le </w:t>
      </w:r>
      <w:r w:rsidRPr="009F540B">
        <w:t>17 Octobre</w:t>
      </w:r>
      <w:r w:rsidRPr="009F540B">
        <w:t xml:space="preserve"> 2022.</w:t>
      </w:r>
    </w:p>
    <w:p w14:paraId="3596C995" w14:textId="77777777" w:rsidR="00D0565B" w:rsidRPr="009F540B" w:rsidRDefault="00D0565B" w:rsidP="00D0565B">
      <w:pPr>
        <w:pStyle w:val="NormalWeb"/>
        <w:spacing w:after="270"/>
        <w:contextualSpacing/>
      </w:pPr>
      <w:r w:rsidRPr="009F540B">
        <w:lastRenderedPageBreak/>
        <w:t>Les offres soumises après cette date ne seront pas acceptées.</w:t>
      </w:r>
    </w:p>
    <w:p w14:paraId="0D5582B2" w14:textId="70E29BAE" w:rsidR="00A606C4" w:rsidRPr="009F540B" w:rsidRDefault="00D0565B" w:rsidP="00D0565B">
      <w:pPr>
        <w:pStyle w:val="NormalWeb"/>
        <w:spacing w:before="0" w:beforeAutospacing="0" w:after="270" w:afterAutospacing="0"/>
        <w:contextualSpacing/>
        <w:jc w:val="both"/>
      </w:pPr>
      <w:r w:rsidRPr="009F540B">
        <w:t>Les offres doivent être soumises à Procurement.NorthAfrica@rosalux.org , avec pour objet : Étude du système semencier</w:t>
      </w:r>
      <w:r w:rsidRPr="009F540B">
        <w:t>.</w:t>
      </w:r>
    </w:p>
    <w:p w14:paraId="3251EA63" w14:textId="77777777" w:rsidR="00D0565B" w:rsidRPr="009F540B" w:rsidRDefault="00D0565B" w:rsidP="00D0565B">
      <w:pPr>
        <w:pStyle w:val="NormalWeb"/>
        <w:spacing w:after="270"/>
        <w:contextualSpacing/>
      </w:pPr>
      <w:r w:rsidRPr="009F540B">
        <w:t>*Les demandes incomplètes ne seront pas prises en compte.</w:t>
      </w:r>
    </w:p>
    <w:p w14:paraId="407B6808" w14:textId="2183864E" w:rsidR="00D0565B" w:rsidRPr="009F540B" w:rsidRDefault="00D0565B" w:rsidP="00D0565B">
      <w:pPr>
        <w:pStyle w:val="NormalWeb"/>
        <w:spacing w:before="0" w:beforeAutospacing="0" w:after="270" w:afterAutospacing="0"/>
        <w:contextualSpacing/>
        <w:jc w:val="both"/>
      </w:pPr>
      <w:r w:rsidRPr="009F540B">
        <w:t>*Seuls les candidats présélectionnés seront contactés.</w:t>
      </w:r>
    </w:p>
    <w:p w14:paraId="4DC41D0D" w14:textId="77777777" w:rsidR="00D0565B" w:rsidRPr="009F540B" w:rsidRDefault="00D0565B" w:rsidP="00D0565B">
      <w:pPr>
        <w:pStyle w:val="NormalWeb"/>
        <w:spacing w:before="0" w:beforeAutospacing="0" w:after="270" w:afterAutospacing="0"/>
        <w:contextualSpacing/>
        <w:jc w:val="both"/>
      </w:pPr>
    </w:p>
    <w:p w14:paraId="60DBEB1D" w14:textId="370F875A" w:rsidR="00A606C4" w:rsidRPr="009F540B" w:rsidRDefault="00D0565B" w:rsidP="00A606C4">
      <w:pPr>
        <w:pStyle w:val="NormalWeb"/>
        <w:numPr>
          <w:ilvl w:val="0"/>
          <w:numId w:val="2"/>
        </w:numPr>
        <w:spacing w:after="270"/>
        <w:contextualSpacing/>
        <w:jc w:val="both"/>
        <w:rPr>
          <w:b/>
          <w:bCs/>
          <w:sz w:val="26"/>
          <w:szCs w:val="26"/>
        </w:rPr>
      </w:pPr>
      <w:r w:rsidRPr="009F540B">
        <w:rPr>
          <w:b/>
          <w:bCs/>
          <w:sz w:val="26"/>
          <w:szCs w:val="26"/>
        </w:rPr>
        <w:t>Langues</w:t>
      </w:r>
    </w:p>
    <w:p w14:paraId="3247C09D" w14:textId="77777777" w:rsidR="00A606C4" w:rsidRPr="009F540B" w:rsidRDefault="00A606C4" w:rsidP="00A606C4">
      <w:pPr>
        <w:pStyle w:val="NormalWeb"/>
        <w:spacing w:after="270"/>
        <w:ind w:left="720"/>
        <w:contextualSpacing/>
        <w:jc w:val="both"/>
        <w:rPr>
          <w:b/>
          <w:bCs/>
          <w:sz w:val="26"/>
          <w:szCs w:val="26"/>
        </w:rPr>
      </w:pPr>
    </w:p>
    <w:p w14:paraId="2274428A" w14:textId="545EE514" w:rsidR="00A606C4" w:rsidRPr="009F540B" w:rsidRDefault="00D0565B" w:rsidP="00A606C4">
      <w:pPr>
        <w:pStyle w:val="NormalWeb"/>
        <w:spacing w:after="270"/>
        <w:contextualSpacing/>
        <w:jc w:val="both"/>
      </w:pPr>
      <w:r w:rsidRPr="009F540B">
        <w:t>L'étude peut être menée en français, en arabe ou en anglais. (Les traductions dans d'autres langues seront décidées par le RLS).</w:t>
      </w:r>
    </w:p>
    <w:p w14:paraId="57870396" w14:textId="77777777" w:rsidR="00D0565B" w:rsidRPr="009F540B" w:rsidRDefault="00D0565B" w:rsidP="00A606C4">
      <w:pPr>
        <w:pStyle w:val="NormalWeb"/>
        <w:spacing w:after="270"/>
        <w:contextualSpacing/>
        <w:jc w:val="both"/>
      </w:pPr>
    </w:p>
    <w:p w14:paraId="3CC597FA" w14:textId="08D0870B" w:rsidR="00A606C4" w:rsidRPr="009F540B" w:rsidRDefault="00D0565B" w:rsidP="00A606C4">
      <w:pPr>
        <w:pStyle w:val="NormalWeb"/>
        <w:numPr>
          <w:ilvl w:val="0"/>
          <w:numId w:val="2"/>
        </w:numPr>
        <w:spacing w:after="270"/>
        <w:contextualSpacing/>
        <w:jc w:val="both"/>
        <w:rPr>
          <w:b/>
          <w:bCs/>
          <w:sz w:val="26"/>
          <w:szCs w:val="26"/>
        </w:rPr>
      </w:pPr>
      <w:r w:rsidRPr="009F540B">
        <w:rPr>
          <w:b/>
          <w:bCs/>
          <w:sz w:val="26"/>
          <w:szCs w:val="26"/>
        </w:rPr>
        <w:t xml:space="preserve">Editeurs </w:t>
      </w:r>
    </w:p>
    <w:p w14:paraId="272A48D4" w14:textId="5CB7F2EF" w:rsidR="00A606C4" w:rsidRPr="009F540B" w:rsidRDefault="009F540B" w:rsidP="00E90F68">
      <w:pPr>
        <w:pStyle w:val="NormalWeb"/>
        <w:tabs>
          <w:tab w:val="left" w:pos="7811"/>
        </w:tabs>
        <w:spacing w:before="0" w:beforeAutospacing="0" w:after="270" w:afterAutospacing="0"/>
        <w:contextualSpacing/>
        <w:jc w:val="both"/>
      </w:pPr>
      <w:r w:rsidRPr="009F540B">
        <w:t>Rosa-Luxemburg-Stiftung et Réseau nord-africain pour la souveraineté alimentaire et autres partenaires du RLS.</w:t>
      </w:r>
      <w:r w:rsidR="00E90F68" w:rsidRPr="009F540B">
        <w:tab/>
      </w:r>
    </w:p>
    <w:p w14:paraId="7654562A" w14:textId="77777777" w:rsidR="00A606C4" w:rsidRPr="009F540B" w:rsidRDefault="00A606C4" w:rsidP="00A606C4">
      <w:pPr>
        <w:pStyle w:val="NormalWeb"/>
        <w:spacing w:before="0" w:beforeAutospacing="0" w:after="270" w:afterAutospacing="0"/>
        <w:contextualSpacing/>
        <w:jc w:val="both"/>
      </w:pPr>
    </w:p>
    <w:p w14:paraId="184D0637" w14:textId="58812101" w:rsidR="00A606C4" w:rsidRPr="009F540B" w:rsidRDefault="00A606C4" w:rsidP="009F540B">
      <w:pPr>
        <w:pStyle w:val="NormalWeb"/>
        <w:numPr>
          <w:ilvl w:val="0"/>
          <w:numId w:val="2"/>
        </w:numPr>
        <w:spacing w:before="0" w:beforeAutospacing="0" w:after="270" w:afterAutospacing="0"/>
        <w:contextualSpacing/>
        <w:jc w:val="both"/>
        <w:rPr>
          <w:b/>
          <w:bCs/>
          <w:sz w:val="26"/>
          <w:szCs w:val="26"/>
        </w:rPr>
      </w:pPr>
      <w:r w:rsidRPr="009F540B">
        <w:rPr>
          <w:b/>
          <w:bCs/>
          <w:sz w:val="26"/>
          <w:szCs w:val="26"/>
        </w:rPr>
        <w:t xml:space="preserve">Timeline </w:t>
      </w:r>
      <w:r w:rsidR="009F540B" w:rsidRPr="009F540B">
        <w:rPr>
          <w:b/>
          <w:bCs/>
          <w:sz w:val="26"/>
          <w:szCs w:val="26"/>
        </w:rPr>
        <w:t>et livrables</w:t>
      </w:r>
    </w:p>
    <w:p w14:paraId="2E491633" w14:textId="77777777" w:rsidR="00A606C4" w:rsidRPr="009F540B" w:rsidRDefault="00A606C4" w:rsidP="00A606C4">
      <w:pPr>
        <w:pStyle w:val="NormalWeb"/>
        <w:spacing w:before="0" w:beforeAutospacing="0" w:after="270" w:afterAutospacing="0"/>
        <w:ind w:left="720"/>
        <w:contextualSpacing/>
        <w:jc w:val="both"/>
        <w:rPr>
          <w:b/>
          <w:bCs/>
          <w:sz w:val="26"/>
          <w:szCs w:val="26"/>
        </w:rPr>
      </w:pPr>
    </w:p>
    <w:tbl>
      <w:tblPr>
        <w:tblStyle w:val="GridTable1Light"/>
        <w:tblW w:w="9776" w:type="dxa"/>
        <w:tblLook w:val="04A0" w:firstRow="1" w:lastRow="0" w:firstColumn="1" w:lastColumn="0" w:noHBand="0" w:noVBand="1"/>
      </w:tblPr>
      <w:tblGrid>
        <w:gridCol w:w="1526"/>
        <w:gridCol w:w="3431"/>
        <w:gridCol w:w="3151"/>
        <w:gridCol w:w="1668"/>
      </w:tblGrid>
      <w:tr w:rsidR="009F540B" w:rsidRPr="009F540B" w14:paraId="751EEDBD" w14:textId="77777777" w:rsidTr="00F077CE">
        <w:trPr>
          <w:cnfStyle w:val="100000000000" w:firstRow="1" w:lastRow="0" w:firstColumn="0" w:lastColumn="0" w:oddVBand="0" w:evenVBand="0" w:oddHBand="0"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1526" w:type="dxa"/>
          </w:tcPr>
          <w:p w14:paraId="6DE50049" w14:textId="524F8465" w:rsidR="009F540B" w:rsidRPr="009F540B" w:rsidRDefault="009F540B" w:rsidP="009F540B">
            <w:pPr>
              <w:pStyle w:val="NormalWeb"/>
              <w:contextualSpacing/>
              <w:jc w:val="both"/>
              <w:rPr>
                <w:b w:val="0"/>
                <w:bCs w:val="0"/>
              </w:rPr>
            </w:pPr>
            <w:r w:rsidRPr="009F540B">
              <w:t>Dates</w:t>
            </w:r>
          </w:p>
        </w:tc>
        <w:tc>
          <w:tcPr>
            <w:tcW w:w="3431" w:type="dxa"/>
          </w:tcPr>
          <w:p w14:paraId="0548D42E" w14:textId="0ADD8A9E" w:rsidR="009F540B" w:rsidRPr="009F540B" w:rsidRDefault="009F540B" w:rsidP="009F540B">
            <w:pPr>
              <w:pStyle w:val="NormalWeb"/>
              <w:contextualSpacing/>
              <w:jc w:val="both"/>
              <w:cnfStyle w:val="100000000000" w:firstRow="1" w:lastRow="0" w:firstColumn="0" w:lastColumn="0" w:oddVBand="0" w:evenVBand="0" w:oddHBand="0" w:evenHBand="0" w:firstRowFirstColumn="0" w:firstRowLastColumn="0" w:lastRowFirstColumn="0" w:lastRowLastColumn="0"/>
              <w:rPr>
                <w:b w:val="0"/>
                <w:bCs w:val="0"/>
              </w:rPr>
            </w:pPr>
            <w:r w:rsidRPr="009F540B">
              <w:t xml:space="preserve">Taches </w:t>
            </w:r>
          </w:p>
        </w:tc>
        <w:tc>
          <w:tcPr>
            <w:tcW w:w="3151" w:type="dxa"/>
          </w:tcPr>
          <w:p w14:paraId="56008C4D" w14:textId="4B125406" w:rsidR="009F540B" w:rsidRPr="009F540B" w:rsidRDefault="009F540B" w:rsidP="009F540B">
            <w:pPr>
              <w:pStyle w:val="NormalWeb"/>
              <w:contextualSpacing/>
              <w:jc w:val="both"/>
              <w:cnfStyle w:val="100000000000" w:firstRow="1" w:lastRow="0" w:firstColumn="0" w:lastColumn="0" w:oddVBand="0" w:evenVBand="0" w:oddHBand="0" w:evenHBand="0" w:firstRowFirstColumn="0" w:firstRowLastColumn="0" w:lastRowFirstColumn="0" w:lastRowLastColumn="0"/>
              <w:rPr>
                <w:b w:val="0"/>
                <w:bCs w:val="0"/>
              </w:rPr>
            </w:pPr>
            <w:r w:rsidRPr="009F540B">
              <w:t>Livrables</w:t>
            </w:r>
          </w:p>
        </w:tc>
        <w:tc>
          <w:tcPr>
            <w:tcW w:w="1668" w:type="dxa"/>
          </w:tcPr>
          <w:p w14:paraId="6E134A86" w14:textId="0BE1F763" w:rsidR="009F540B" w:rsidRPr="009F540B" w:rsidRDefault="009F540B" w:rsidP="009F540B">
            <w:pPr>
              <w:pStyle w:val="NormalWeb"/>
              <w:contextualSpacing/>
              <w:jc w:val="both"/>
              <w:cnfStyle w:val="100000000000" w:firstRow="1" w:lastRow="0" w:firstColumn="0" w:lastColumn="0" w:oddVBand="0" w:evenVBand="0" w:oddHBand="0" w:evenHBand="0" w:firstRowFirstColumn="0" w:firstRowLastColumn="0" w:lastRowFirstColumn="0" w:lastRowLastColumn="0"/>
              <w:rPr>
                <w:b w:val="0"/>
                <w:bCs w:val="0"/>
              </w:rPr>
            </w:pPr>
            <w:r w:rsidRPr="009F540B">
              <w:t xml:space="preserve">Nombre de jours maximum </w:t>
            </w:r>
          </w:p>
        </w:tc>
      </w:tr>
      <w:tr w:rsidR="009F540B" w:rsidRPr="009F540B" w14:paraId="4121C138" w14:textId="77777777" w:rsidTr="00F077CE">
        <w:trPr>
          <w:trHeight w:val="179"/>
        </w:trPr>
        <w:tc>
          <w:tcPr>
            <w:cnfStyle w:val="001000000000" w:firstRow="0" w:lastRow="0" w:firstColumn="1" w:lastColumn="0" w:oddVBand="0" w:evenVBand="0" w:oddHBand="0" w:evenHBand="0" w:firstRowFirstColumn="0" w:firstRowLastColumn="0" w:lastRowFirstColumn="0" w:lastRowLastColumn="0"/>
            <w:tcW w:w="1526" w:type="dxa"/>
          </w:tcPr>
          <w:p w14:paraId="3E935DA0" w14:textId="131BE37A" w:rsidR="009F540B" w:rsidRPr="009F540B" w:rsidRDefault="009F540B" w:rsidP="009F540B">
            <w:pPr>
              <w:pStyle w:val="NormalWeb"/>
              <w:contextualSpacing/>
              <w:jc w:val="both"/>
              <w:rPr>
                <w:b w:val="0"/>
                <w:bCs w:val="0"/>
              </w:rPr>
            </w:pPr>
            <w:r>
              <w:t>27</w:t>
            </w:r>
            <w:r w:rsidRPr="009F540B">
              <w:t>.10.2022</w:t>
            </w:r>
          </w:p>
        </w:tc>
        <w:tc>
          <w:tcPr>
            <w:tcW w:w="3431" w:type="dxa"/>
          </w:tcPr>
          <w:p w14:paraId="367BA79B" w14:textId="296638EC" w:rsidR="009F540B" w:rsidRPr="009F540B" w:rsidRDefault="009F540B" w:rsidP="009F540B">
            <w:pPr>
              <w:pStyle w:val="NormalWeb"/>
              <w:contextualSpacing/>
              <w:jc w:val="both"/>
              <w:cnfStyle w:val="000000000000" w:firstRow="0" w:lastRow="0" w:firstColumn="0" w:lastColumn="0" w:oddVBand="0" w:evenVBand="0" w:oddHBand="0" w:evenHBand="0" w:firstRowFirstColumn="0" w:firstRowLastColumn="0" w:lastRowFirstColumn="0" w:lastRowLastColumn="0"/>
            </w:pPr>
            <w:r w:rsidRPr="009F540B">
              <w:t>Le chercheur a soumis une ébauche de la section d'aperçu de l'étude.</w:t>
            </w:r>
          </w:p>
        </w:tc>
        <w:tc>
          <w:tcPr>
            <w:tcW w:w="3151" w:type="dxa"/>
          </w:tcPr>
          <w:p w14:paraId="40D9AF0A" w14:textId="5F23C8DB" w:rsidR="009F540B" w:rsidRPr="009F540B" w:rsidRDefault="009F540B" w:rsidP="009F540B">
            <w:pPr>
              <w:pStyle w:val="NormalWeb"/>
              <w:contextualSpacing/>
              <w:jc w:val="both"/>
              <w:cnfStyle w:val="000000000000" w:firstRow="0" w:lastRow="0" w:firstColumn="0" w:lastColumn="0" w:oddVBand="0" w:evenVBand="0" w:oddHBand="0" w:evenHBand="0" w:firstRowFirstColumn="0" w:firstRowLastColumn="0" w:lastRowFirstColumn="0" w:lastRowLastColumn="0"/>
            </w:pPr>
            <w:r w:rsidRPr="009F540B">
              <w:t xml:space="preserve">Inception report </w:t>
            </w:r>
          </w:p>
        </w:tc>
        <w:tc>
          <w:tcPr>
            <w:tcW w:w="1668" w:type="dxa"/>
          </w:tcPr>
          <w:p w14:paraId="7A1CE247" w14:textId="1A92A22C" w:rsidR="009F540B" w:rsidRPr="009F540B" w:rsidRDefault="009F540B" w:rsidP="009F540B">
            <w:pPr>
              <w:pStyle w:val="NormalWeb"/>
              <w:contextualSpacing/>
              <w:jc w:val="both"/>
              <w:cnfStyle w:val="000000000000" w:firstRow="0" w:lastRow="0" w:firstColumn="0" w:lastColumn="0" w:oddVBand="0" w:evenVBand="0" w:oddHBand="0" w:evenHBand="0" w:firstRowFirstColumn="0" w:firstRowLastColumn="0" w:lastRowFirstColumn="0" w:lastRowLastColumn="0"/>
            </w:pPr>
            <w:r w:rsidRPr="009F540B">
              <w:t>10 jours</w:t>
            </w:r>
          </w:p>
        </w:tc>
      </w:tr>
      <w:tr w:rsidR="009F540B" w:rsidRPr="009F540B" w14:paraId="2ACF405F" w14:textId="77777777" w:rsidTr="00F077CE">
        <w:trPr>
          <w:trHeight w:val="187"/>
        </w:trPr>
        <w:tc>
          <w:tcPr>
            <w:cnfStyle w:val="001000000000" w:firstRow="0" w:lastRow="0" w:firstColumn="1" w:lastColumn="0" w:oddVBand="0" w:evenVBand="0" w:oddHBand="0" w:evenHBand="0" w:firstRowFirstColumn="0" w:firstRowLastColumn="0" w:lastRowFirstColumn="0" w:lastRowLastColumn="0"/>
            <w:tcW w:w="1526" w:type="dxa"/>
            <w:tcBorders>
              <w:bottom w:val="single" w:sz="4" w:space="0" w:color="auto"/>
            </w:tcBorders>
          </w:tcPr>
          <w:p w14:paraId="2B4ED228" w14:textId="3958204C" w:rsidR="009F540B" w:rsidRPr="009F540B" w:rsidRDefault="009F540B" w:rsidP="009F540B">
            <w:pPr>
              <w:pStyle w:val="NormalWeb"/>
              <w:contextualSpacing/>
              <w:jc w:val="both"/>
              <w:rPr>
                <w:b w:val="0"/>
                <w:bCs w:val="0"/>
              </w:rPr>
            </w:pPr>
            <w:r>
              <w:t>27</w:t>
            </w:r>
            <w:r w:rsidRPr="009F540B">
              <w:t>.11.2022</w:t>
            </w:r>
          </w:p>
        </w:tc>
        <w:tc>
          <w:tcPr>
            <w:tcW w:w="3431" w:type="dxa"/>
            <w:tcBorders>
              <w:bottom w:val="single" w:sz="4" w:space="0" w:color="auto"/>
            </w:tcBorders>
          </w:tcPr>
          <w:p w14:paraId="03A20055" w14:textId="42E57803" w:rsidR="009F540B" w:rsidRPr="009F540B" w:rsidRDefault="009F540B" w:rsidP="009F540B">
            <w:pPr>
              <w:pStyle w:val="NormalWeb"/>
              <w:contextualSpacing/>
              <w:jc w:val="both"/>
              <w:cnfStyle w:val="000000000000" w:firstRow="0" w:lastRow="0" w:firstColumn="0" w:lastColumn="0" w:oddVBand="0" w:evenVBand="0" w:oddHBand="0" w:evenHBand="0" w:firstRowFirstColumn="0" w:firstRowLastColumn="0" w:lastRowFirstColumn="0" w:lastRowLastColumn="0"/>
            </w:pPr>
            <w:r w:rsidRPr="009F540B">
              <w:t>Les recherches ont été intégrées dans l'étude globale par le chercheur.</w:t>
            </w:r>
          </w:p>
        </w:tc>
        <w:tc>
          <w:tcPr>
            <w:tcW w:w="3151" w:type="dxa"/>
            <w:tcBorders>
              <w:bottom w:val="single" w:sz="4" w:space="0" w:color="auto"/>
            </w:tcBorders>
          </w:tcPr>
          <w:p w14:paraId="78F35CF2" w14:textId="5F91D5D2" w:rsidR="009F540B" w:rsidRPr="009F540B" w:rsidRDefault="009F540B" w:rsidP="009F540B">
            <w:pPr>
              <w:pStyle w:val="NormalWeb"/>
              <w:contextualSpacing/>
              <w:jc w:val="both"/>
              <w:cnfStyle w:val="000000000000" w:firstRow="0" w:lastRow="0" w:firstColumn="0" w:lastColumn="0" w:oddVBand="0" w:evenVBand="0" w:oddHBand="0" w:evenHBand="0" w:firstRowFirstColumn="0" w:firstRowLastColumn="0" w:lastRowFirstColumn="0" w:lastRowLastColumn="0"/>
            </w:pPr>
            <w:r w:rsidRPr="009F540B">
              <w:t>Première version de l'étude</w:t>
            </w:r>
          </w:p>
        </w:tc>
        <w:tc>
          <w:tcPr>
            <w:tcW w:w="1668" w:type="dxa"/>
            <w:tcBorders>
              <w:bottom w:val="single" w:sz="4" w:space="0" w:color="auto"/>
            </w:tcBorders>
          </w:tcPr>
          <w:p w14:paraId="59EE6CC2" w14:textId="313A9B12" w:rsidR="009F540B" w:rsidRPr="009F540B" w:rsidRDefault="009F540B" w:rsidP="009F540B">
            <w:pPr>
              <w:pStyle w:val="NormalWeb"/>
              <w:contextualSpacing/>
              <w:jc w:val="both"/>
              <w:cnfStyle w:val="000000000000" w:firstRow="0" w:lastRow="0" w:firstColumn="0" w:lastColumn="0" w:oddVBand="0" w:evenVBand="0" w:oddHBand="0" w:evenHBand="0" w:firstRowFirstColumn="0" w:firstRowLastColumn="0" w:lastRowFirstColumn="0" w:lastRowLastColumn="0"/>
            </w:pPr>
            <w:r w:rsidRPr="009F540B">
              <w:t>15-20 jours</w:t>
            </w:r>
          </w:p>
        </w:tc>
      </w:tr>
      <w:tr w:rsidR="009F540B" w:rsidRPr="009F540B" w14:paraId="119299F7" w14:textId="77777777" w:rsidTr="00F077CE">
        <w:trPr>
          <w:trHeight w:val="109"/>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tcBorders>
          </w:tcPr>
          <w:p w14:paraId="14DBB4C9" w14:textId="6248835D" w:rsidR="009F540B" w:rsidRPr="009F540B" w:rsidRDefault="009F540B" w:rsidP="009F540B">
            <w:pPr>
              <w:pStyle w:val="NormalWeb"/>
              <w:contextualSpacing/>
              <w:jc w:val="both"/>
            </w:pPr>
            <w:r>
              <w:t>28</w:t>
            </w:r>
            <w:r w:rsidRPr="009F540B">
              <w:t>.11.2022</w:t>
            </w:r>
          </w:p>
        </w:tc>
        <w:tc>
          <w:tcPr>
            <w:tcW w:w="3431" w:type="dxa"/>
            <w:tcBorders>
              <w:top w:val="single" w:sz="4" w:space="0" w:color="auto"/>
            </w:tcBorders>
          </w:tcPr>
          <w:p w14:paraId="4BB338AB" w14:textId="5A08D488" w:rsidR="009F540B" w:rsidRPr="009F540B" w:rsidRDefault="009F540B" w:rsidP="009F540B">
            <w:pPr>
              <w:pStyle w:val="NormalWeb"/>
              <w:contextualSpacing/>
              <w:jc w:val="both"/>
              <w:cnfStyle w:val="000000000000" w:firstRow="0" w:lastRow="0" w:firstColumn="0" w:lastColumn="0" w:oddVBand="0" w:evenVBand="0" w:oddHBand="0" w:evenHBand="0" w:firstRowFirstColumn="0" w:firstRowLastColumn="0" w:lastRowFirstColumn="0" w:lastRowLastColumn="0"/>
            </w:pPr>
            <w:r w:rsidRPr="009F540B">
              <w:t>les révisions finales et la synthèse de l'étude effectuées par le chercheur</w:t>
            </w:r>
          </w:p>
        </w:tc>
        <w:tc>
          <w:tcPr>
            <w:tcW w:w="3151" w:type="dxa"/>
            <w:tcBorders>
              <w:top w:val="single" w:sz="4" w:space="0" w:color="auto"/>
            </w:tcBorders>
          </w:tcPr>
          <w:p w14:paraId="3591D40F" w14:textId="462F27A1" w:rsidR="009F540B" w:rsidRPr="009F540B" w:rsidRDefault="009F540B" w:rsidP="009F540B">
            <w:pPr>
              <w:pStyle w:val="NormalWeb"/>
              <w:contextualSpacing/>
              <w:jc w:val="both"/>
              <w:cnfStyle w:val="000000000000" w:firstRow="0" w:lastRow="0" w:firstColumn="0" w:lastColumn="0" w:oddVBand="0" w:evenVBand="0" w:oddHBand="0" w:evenHBand="0" w:firstRowFirstColumn="0" w:firstRowLastColumn="0" w:lastRowFirstColumn="0" w:lastRowLastColumn="0"/>
            </w:pPr>
            <w:r w:rsidRPr="009F540B">
              <w:t>Première version finale de l'étude</w:t>
            </w:r>
          </w:p>
        </w:tc>
        <w:tc>
          <w:tcPr>
            <w:tcW w:w="1668" w:type="dxa"/>
            <w:tcBorders>
              <w:top w:val="single" w:sz="4" w:space="0" w:color="auto"/>
            </w:tcBorders>
          </w:tcPr>
          <w:p w14:paraId="3681186B" w14:textId="76C5AC95" w:rsidR="009F540B" w:rsidRPr="009F540B" w:rsidRDefault="009F540B" w:rsidP="009F540B">
            <w:pPr>
              <w:pStyle w:val="NormalWeb"/>
              <w:contextualSpacing/>
              <w:jc w:val="both"/>
              <w:cnfStyle w:val="000000000000" w:firstRow="0" w:lastRow="0" w:firstColumn="0" w:lastColumn="0" w:oddVBand="0" w:evenVBand="0" w:oddHBand="0" w:evenHBand="0" w:firstRowFirstColumn="0" w:firstRowLastColumn="0" w:lastRowFirstColumn="0" w:lastRowLastColumn="0"/>
            </w:pPr>
            <w:r w:rsidRPr="009F540B">
              <w:t>5 jours</w:t>
            </w:r>
          </w:p>
        </w:tc>
      </w:tr>
      <w:tr w:rsidR="009F540B" w:rsidRPr="009F540B" w14:paraId="03350125" w14:textId="77777777" w:rsidTr="00F077CE">
        <w:trPr>
          <w:trHeight w:val="775"/>
        </w:trPr>
        <w:tc>
          <w:tcPr>
            <w:cnfStyle w:val="001000000000" w:firstRow="0" w:lastRow="0" w:firstColumn="1" w:lastColumn="0" w:oddVBand="0" w:evenVBand="0" w:oddHBand="0" w:evenHBand="0" w:firstRowFirstColumn="0" w:firstRowLastColumn="0" w:lastRowFirstColumn="0" w:lastRowLastColumn="0"/>
            <w:tcW w:w="1526" w:type="dxa"/>
          </w:tcPr>
          <w:p w14:paraId="6BE53395" w14:textId="6C51E294" w:rsidR="009F540B" w:rsidRPr="009F540B" w:rsidRDefault="00483C19" w:rsidP="009F540B">
            <w:pPr>
              <w:pStyle w:val="NormalWeb"/>
              <w:contextualSpacing/>
              <w:jc w:val="both"/>
              <w:rPr>
                <w:b w:val="0"/>
                <w:bCs w:val="0"/>
              </w:rPr>
            </w:pPr>
            <w:r>
              <w:t>04.12</w:t>
            </w:r>
            <w:r w:rsidR="009F540B" w:rsidRPr="009F540B">
              <w:t>.2022</w:t>
            </w:r>
          </w:p>
        </w:tc>
        <w:tc>
          <w:tcPr>
            <w:tcW w:w="3431" w:type="dxa"/>
          </w:tcPr>
          <w:p w14:paraId="52F8C860" w14:textId="0F2B69B3" w:rsidR="009F540B" w:rsidRPr="009F540B" w:rsidRDefault="009F540B" w:rsidP="009F540B">
            <w:pPr>
              <w:pStyle w:val="NormalWeb"/>
              <w:contextualSpacing/>
              <w:jc w:val="both"/>
              <w:cnfStyle w:val="000000000000" w:firstRow="0" w:lastRow="0" w:firstColumn="0" w:lastColumn="0" w:oddVBand="0" w:evenVBand="0" w:oddHBand="0" w:evenHBand="0" w:firstRowFirstColumn="0" w:firstRowLastColumn="0" w:lastRowFirstColumn="0" w:lastRowLastColumn="0"/>
            </w:pPr>
            <w:r w:rsidRPr="009F540B">
              <w:t>Incorporation des révisions</w:t>
            </w:r>
          </w:p>
        </w:tc>
        <w:tc>
          <w:tcPr>
            <w:tcW w:w="3151" w:type="dxa"/>
          </w:tcPr>
          <w:p w14:paraId="2D2BDE6C" w14:textId="2239AE34" w:rsidR="009F540B" w:rsidRPr="009F540B" w:rsidRDefault="009F540B" w:rsidP="009F540B">
            <w:pPr>
              <w:pStyle w:val="NormalWeb"/>
              <w:contextualSpacing/>
              <w:jc w:val="both"/>
              <w:cnfStyle w:val="000000000000" w:firstRow="0" w:lastRow="0" w:firstColumn="0" w:lastColumn="0" w:oddVBand="0" w:evenVBand="0" w:oddHBand="0" w:evenHBand="0" w:firstRowFirstColumn="0" w:firstRowLastColumn="0" w:lastRowFirstColumn="0" w:lastRowLastColumn="0"/>
            </w:pPr>
            <w:r w:rsidRPr="009F540B">
              <w:t>Version finale de l'étude</w:t>
            </w:r>
          </w:p>
        </w:tc>
        <w:tc>
          <w:tcPr>
            <w:tcW w:w="1668" w:type="dxa"/>
          </w:tcPr>
          <w:p w14:paraId="14C92249" w14:textId="44115F89" w:rsidR="009F540B" w:rsidRPr="009F540B" w:rsidRDefault="009F540B" w:rsidP="009F540B">
            <w:pPr>
              <w:pStyle w:val="NormalWeb"/>
              <w:contextualSpacing/>
              <w:jc w:val="both"/>
              <w:cnfStyle w:val="000000000000" w:firstRow="0" w:lastRow="0" w:firstColumn="0" w:lastColumn="0" w:oddVBand="0" w:evenVBand="0" w:oddHBand="0" w:evenHBand="0" w:firstRowFirstColumn="0" w:firstRowLastColumn="0" w:lastRowFirstColumn="0" w:lastRowLastColumn="0"/>
            </w:pPr>
            <w:r w:rsidRPr="009F540B">
              <w:t>5 jours</w:t>
            </w:r>
          </w:p>
        </w:tc>
      </w:tr>
    </w:tbl>
    <w:p w14:paraId="214C4CA6" w14:textId="77777777" w:rsidR="00A606C4" w:rsidRPr="009F540B" w:rsidRDefault="00A606C4" w:rsidP="00A606C4">
      <w:pPr>
        <w:pStyle w:val="NormalWeb"/>
        <w:spacing w:before="0" w:beforeAutospacing="0" w:after="270" w:afterAutospacing="0"/>
        <w:contextualSpacing/>
        <w:jc w:val="both"/>
        <w:rPr>
          <w:b/>
          <w:bCs/>
          <w:sz w:val="26"/>
          <w:szCs w:val="26"/>
        </w:rPr>
      </w:pPr>
    </w:p>
    <w:p w14:paraId="2F0E2DC1" w14:textId="52A44ACE" w:rsidR="00A606C4" w:rsidRPr="009F540B" w:rsidRDefault="00A606C4" w:rsidP="00A606C4">
      <w:pPr>
        <w:pStyle w:val="NormalWeb"/>
        <w:numPr>
          <w:ilvl w:val="0"/>
          <w:numId w:val="2"/>
        </w:numPr>
        <w:spacing w:before="0" w:beforeAutospacing="0" w:after="270" w:afterAutospacing="0"/>
        <w:contextualSpacing/>
        <w:jc w:val="both"/>
        <w:rPr>
          <w:b/>
          <w:bCs/>
          <w:sz w:val="26"/>
          <w:szCs w:val="26"/>
        </w:rPr>
      </w:pPr>
      <w:r w:rsidRPr="009F540B">
        <w:rPr>
          <w:b/>
          <w:bCs/>
          <w:sz w:val="26"/>
          <w:szCs w:val="26"/>
        </w:rPr>
        <w:t>Contact</w:t>
      </w:r>
    </w:p>
    <w:p w14:paraId="0AE134F0" w14:textId="77777777" w:rsidR="00FA70D1" w:rsidRPr="009F540B" w:rsidRDefault="00FA70D1" w:rsidP="00A606C4">
      <w:pPr>
        <w:pStyle w:val="NormalWeb"/>
        <w:spacing w:after="270"/>
        <w:ind w:left="720"/>
        <w:contextualSpacing/>
      </w:pPr>
    </w:p>
    <w:p w14:paraId="08C45274" w14:textId="50F6106E" w:rsidR="00A606C4" w:rsidRPr="009F540B" w:rsidRDefault="00A606C4" w:rsidP="00A606C4">
      <w:pPr>
        <w:pStyle w:val="NormalWeb"/>
        <w:spacing w:after="270"/>
        <w:ind w:left="720"/>
        <w:contextualSpacing/>
      </w:pPr>
      <w:r w:rsidRPr="009F540B">
        <w:t xml:space="preserve">Imen Louati </w:t>
      </w:r>
    </w:p>
    <w:p w14:paraId="6E9BEAB4" w14:textId="77777777" w:rsidR="00A606C4" w:rsidRPr="009F540B" w:rsidRDefault="00A606C4" w:rsidP="00A606C4">
      <w:pPr>
        <w:pStyle w:val="NormalWeb"/>
        <w:spacing w:after="270"/>
        <w:ind w:left="720"/>
        <w:contextualSpacing/>
      </w:pPr>
      <w:r w:rsidRPr="009F540B">
        <w:t>Program Manager Political Ecology | North Africa Regional Office</w:t>
      </w:r>
    </w:p>
    <w:p w14:paraId="6E87EEED" w14:textId="77777777" w:rsidR="00A606C4" w:rsidRPr="009F540B" w:rsidRDefault="00A606C4" w:rsidP="00A606C4">
      <w:pPr>
        <w:pStyle w:val="NormalWeb"/>
        <w:spacing w:after="270"/>
        <w:ind w:left="720"/>
        <w:contextualSpacing/>
      </w:pPr>
      <w:r w:rsidRPr="009F540B">
        <w:t xml:space="preserve">Address: 55 TER, Rue 1er Juin, Mutuelleville, 1082 Tunis </w:t>
      </w:r>
    </w:p>
    <w:p w14:paraId="03D69CC7" w14:textId="6FE5FDE5" w:rsidR="00A606C4" w:rsidRPr="009F540B" w:rsidRDefault="00A606C4" w:rsidP="00A606C4">
      <w:pPr>
        <w:pStyle w:val="NormalWeb"/>
        <w:spacing w:before="0" w:beforeAutospacing="0" w:after="270" w:afterAutospacing="0"/>
        <w:ind w:left="720"/>
        <w:contextualSpacing/>
        <w:jc w:val="both"/>
      </w:pPr>
      <w:r w:rsidRPr="009F540B">
        <w:t>imen.louati@rosalux.org | www.rosaluxna.org</w:t>
      </w:r>
    </w:p>
    <w:sectPr w:rsidR="00A606C4" w:rsidRPr="009F540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00C5D" w14:textId="77777777" w:rsidR="002539B0" w:rsidRDefault="002539B0" w:rsidP="004340A7">
      <w:pPr>
        <w:spacing w:after="0" w:line="240" w:lineRule="auto"/>
      </w:pPr>
      <w:r>
        <w:separator/>
      </w:r>
    </w:p>
  </w:endnote>
  <w:endnote w:type="continuationSeparator" w:id="0">
    <w:p w14:paraId="4E87B509" w14:textId="77777777" w:rsidR="002539B0" w:rsidRDefault="002539B0" w:rsidP="00434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notype Univers 330 Light">
    <w:panose1 w:val="020B0403030202020203"/>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05C12" w14:textId="77777777" w:rsidR="00567013" w:rsidRPr="00567013" w:rsidRDefault="00567013" w:rsidP="00567013">
    <w:pPr>
      <w:pStyle w:val="Footer"/>
      <w:jc w:val="center"/>
    </w:pPr>
    <w:r w:rsidRPr="00567013">
      <w:rPr>
        <w:noProof/>
      </w:rPr>
      <w:drawing>
        <wp:inline distT="0" distB="0" distL="0" distR="0" wp14:anchorId="15601224" wp14:editId="21A4AA0D">
          <wp:extent cx="3324225" cy="666750"/>
          <wp:effectExtent l="0" t="0" r="9525" b="0"/>
          <wp:docPr id="1" name="Picture 1" descr="C:\Users\benzina\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nzina\Desktop\Captu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4225" cy="6667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BAC3B" w14:textId="77777777" w:rsidR="002539B0" w:rsidRDefault="002539B0" w:rsidP="004340A7">
      <w:pPr>
        <w:spacing w:after="0" w:line="240" w:lineRule="auto"/>
      </w:pPr>
      <w:r>
        <w:separator/>
      </w:r>
    </w:p>
  </w:footnote>
  <w:footnote w:type="continuationSeparator" w:id="0">
    <w:p w14:paraId="4840BEEB" w14:textId="77777777" w:rsidR="002539B0" w:rsidRDefault="002539B0" w:rsidP="00434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14DC3" w14:textId="77777777" w:rsidR="004340A7" w:rsidRDefault="004340A7">
    <w:pPr>
      <w:pStyle w:val="Header"/>
    </w:pPr>
    <w:r>
      <w:rPr>
        <w:noProof/>
      </w:rPr>
      <w:drawing>
        <wp:anchor distT="0" distB="0" distL="114300" distR="114300" simplePos="0" relativeHeight="251659264" behindDoc="0" locked="0" layoutInCell="1" allowOverlap="1" wp14:anchorId="5FFC8E84" wp14:editId="76F44DF8">
          <wp:simplePos x="0" y="0"/>
          <wp:positionH relativeFrom="column">
            <wp:posOffset>-771525</wp:posOffset>
          </wp:positionH>
          <wp:positionV relativeFrom="paragraph">
            <wp:posOffset>-333375</wp:posOffset>
          </wp:positionV>
          <wp:extent cx="7440791" cy="641985"/>
          <wp:effectExtent l="0" t="0" r="8255" b="5715"/>
          <wp:wrapNone/>
          <wp:docPr id="9"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top.png"/>
                  <pic:cNvPicPr/>
                </pic:nvPicPr>
                <pic:blipFill>
                  <a:blip r:embed="rId1">
                    <a:extLst>
                      <a:ext uri="{28A0092B-C50C-407E-A947-70E740481C1C}">
                        <a14:useLocalDpi xmlns:a14="http://schemas.microsoft.com/office/drawing/2010/main" val="0"/>
                      </a:ext>
                    </a:extLst>
                  </a:blip>
                  <a:stretch>
                    <a:fillRect/>
                  </a:stretch>
                </pic:blipFill>
                <pic:spPr>
                  <a:xfrm>
                    <a:off x="0" y="0"/>
                    <a:ext cx="7440791" cy="64198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2F16"/>
    <w:multiLevelType w:val="multilevel"/>
    <w:tmpl w:val="320AF60A"/>
    <w:lvl w:ilvl="0">
      <w:start w:val="2"/>
      <w:numFmt w:val="decimal"/>
      <w:lvlText w:val="%1."/>
      <w:lvlJc w:val="left"/>
      <w:pPr>
        <w:tabs>
          <w:tab w:val="num" w:pos="720"/>
        </w:tabs>
        <w:ind w:left="720" w:hanging="360"/>
      </w:pPr>
    </w:lvl>
    <w:lvl w:ilvl="1">
      <w:numFmt w:val="bullet"/>
      <w:lvlText w:val="•"/>
      <w:lvlJc w:val="left"/>
      <w:pPr>
        <w:ind w:left="1440" w:hanging="360"/>
      </w:pPr>
      <w:rPr>
        <w:rFonts w:ascii="Linotype Univers 330 Light" w:eastAsia="Times New Roman" w:hAnsi="Linotype Univers 330 Light" w:cs="Arial" w:hint="default"/>
      </w:rPr>
    </w:lvl>
    <w:lvl w:ilvl="2">
      <w:numFmt w:val="bullet"/>
      <w:lvlText w:val="-"/>
      <w:lvlJc w:val="left"/>
      <w:pPr>
        <w:ind w:left="2160" w:hanging="360"/>
      </w:pPr>
      <w:rPr>
        <w:rFonts w:ascii="Linotype Univers 330 Light" w:eastAsia="SimSun" w:hAnsi="Linotype Univers 330 Light"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47240"/>
    <w:multiLevelType w:val="hybridMultilevel"/>
    <w:tmpl w:val="DFE016BA"/>
    <w:lvl w:ilvl="0" w:tplc="4BA210B6">
      <w:start w:val="1"/>
      <w:numFmt w:val="lowerLetter"/>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9E4E31"/>
    <w:multiLevelType w:val="hybridMultilevel"/>
    <w:tmpl w:val="C584F7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36E83"/>
    <w:multiLevelType w:val="hybridMultilevel"/>
    <w:tmpl w:val="BBAE7FFA"/>
    <w:lvl w:ilvl="0" w:tplc="DF1A74E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51E90"/>
    <w:multiLevelType w:val="hybridMultilevel"/>
    <w:tmpl w:val="783E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84D36"/>
    <w:multiLevelType w:val="multilevel"/>
    <w:tmpl w:val="9C0A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D94036"/>
    <w:multiLevelType w:val="hybridMultilevel"/>
    <w:tmpl w:val="256AC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00CD9"/>
    <w:multiLevelType w:val="hybridMultilevel"/>
    <w:tmpl w:val="06D8ED12"/>
    <w:lvl w:ilvl="0" w:tplc="8A44F182">
      <w:start w:val="3"/>
      <w:numFmt w:val="bullet"/>
      <w:lvlText w:val="-"/>
      <w:lvlJc w:val="left"/>
      <w:pPr>
        <w:ind w:left="720" w:hanging="360"/>
      </w:pPr>
      <w:rPr>
        <w:rFonts w:ascii="Linotype Univers 330 Light" w:eastAsia="SimSun" w:hAnsi="Linotype Univers 330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3A059A"/>
    <w:multiLevelType w:val="hybridMultilevel"/>
    <w:tmpl w:val="13F4D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6377D"/>
    <w:multiLevelType w:val="multilevel"/>
    <w:tmpl w:val="CF546D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D57B79"/>
    <w:multiLevelType w:val="hybridMultilevel"/>
    <w:tmpl w:val="A412B8D8"/>
    <w:lvl w:ilvl="0" w:tplc="8A44F182">
      <w:start w:val="3"/>
      <w:numFmt w:val="bullet"/>
      <w:lvlText w:val="-"/>
      <w:lvlJc w:val="left"/>
      <w:pPr>
        <w:ind w:left="720" w:hanging="360"/>
      </w:pPr>
      <w:rPr>
        <w:rFonts w:ascii="Linotype Univers 330 Light" w:eastAsia="SimSun" w:hAnsi="Linotype Univers 330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B239C5"/>
    <w:multiLevelType w:val="multilevel"/>
    <w:tmpl w:val="9C0A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B80B55"/>
    <w:multiLevelType w:val="multilevel"/>
    <w:tmpl w:val="9C0A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91736C"/>
    <w:multiLevelType w:val="multilevel"/>
    <w:tmpl w:val="7E980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FA7B8D"/>
    <w:multiLevelType w:val="hybridMultilevel"/>
    <w:tmpl w:val="59BC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0F2455"/>
    <w:multiLevelType w:val="hybridMultilevel"/>
    <w:tmpl w:val="14B48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D0053"/>
    <w:multiLevelType w:val="multilevel"/>
    <w:tmpl w:val="9C0A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505D21"/>
    <w:multiLevelType w:val="hybridMultilevel"/>
    <w:tmpl w:val="FB42AA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0F6E72"/>
    <w:multiLevelType w:val="hybridMultilevel"/>
    <w:tmpl w:val="54EC73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77002F"/>
    <w:multiLevelType w:val="hybridMultilevel"/>
    <w:tmpl w:val="9768EA18"/>
    <w:lvl w:ilvl="0" w:tplc="8A44F182">
      <w:start w:val="3"/>
      <w:numFmt w:val="bullet"/>
      <w:lvlText w:val="-"/>
      <w:lvlJc w:val="left"/>
      <w:pPr>
        <w:ind w:left="720" w:hanging="360"/>
      </w:pPr>
      <w:rPr>
        <w:rFonts w:ascii="Linotype Univers 330 Light" w:eastAsia="SimSun" w:hAnsi="Linotype Univers 330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6B38EE"/>
    <w:multiLevelType w:val="hybridMultilevel"/>
    <w:tmpl w:val="66DA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8634E0"/>
    <w:multiLevelType w:val="hybridMultilevel"/>
    <w:tmpl w:val="BE3A5F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643D04"/>
    <w:multiLevelType w:val="hybridMultilevel"/>
    <w:tmpl w:val="B9441974"/>
    <w:lvl w:ilvl="0" w:tplc="A7087C36">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743F07"/>
    <w:multiLevelType w:val="hybridMultilevel"/>
    <w:tmpl w:val="2FB248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863C16"/>
    <w:multiLevelType w:val="hybridMultilevel"/>
    <w:tmpl w:val="BACC94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803FFE"/>
    <w:multiLevelType w:val="hybridMultilevel"/>
    <w:tmpl w:val="83908CFA"/>
    <w:lvl w:ilvl="0" w:tplc="04090017">
      <w:start w:val="1"/>
      <w:numFmt w:val="lowerLetter"/>
      <w:lvlText w:val="%1)"/>
      <w:lvlJc w:val="left"/>
      <w:pPr>
        <w:ind w:left="720" w:hanging="360"/>
      </w:pPr>
    </w:lvl>
    <w:lvl w:ilvl="1" w:tplc="FA9241D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D97CB2"/>
    <w:multiLevelType w:val="hybridMultilevel"/>
    <w:tmpl w:val="D5B03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A21AE6"/>
    <w:multiLevelType w:val="hybridMultilevel"/>
    <w:tmpl w:val="462EE426"/>
    <w:lvl w:ilvl="0" w:tplc="8A44F182">
      <w:start w:val="3"/>
      <w:numFmt w:val="bullet"/>
      <w:lvlText w:val="-"/>
      <w:lvlJc w:val="left"/>
      <w:pPr>
        <w:ind w:left="720" w:hanging="360"/>
      </w:pPr>
      <w:rPr>
        <w:rFonts w:ascii="Linotype Univers 330 Light" w:eastAsia="SimSun" w:hAnsi="Linotype Univers 330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D532CE"/>
    <w:multiLevelType w:val="hybridMultilevel"/>
    <w:tmpl w:val="8084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FD7C7E"/>
    <w:multiLevelType w:val="hybridMultilevel"/>
    <w:tmpl w:val="11F661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7E2131"/>
    <w:multiLevelType w:val="hybridMultilevel"/>
    <w:tmpl w:val="0BBA3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6F1DE6"/>
    <w:multiLevelType w:val="multilevel"/>
    <w:tmpl w:val="70F2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523226"/>
    <w:multiLevelType w:val="hybridMultilevel"/>
    <w:tmpl w:val="8BD2845A"/>
    <w:lvl w:ilvl="0" w:tplc="8A44F182">
      <w:start w:val="3"/>
      <w:numFmt w:val="bullet"/>
      <w:lvlText w:val="-"/>
      <w:lvlJc w:val="left"/>
      <w:pPr>
        <w:ind w:left="720" w:hanging="360"/>
      </w:pPr>
      <w:rPr>
        <w:rFonts w:ascii="Linotype Univers 330 Light" w:eastAsia="SimSun" w:hAnsi="Linotype Univers 330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9838E3"/>
    <w:multiLevelType w:val="multilevel"/>
    <w:tmpl w:val="19F67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4C2AC4"/>
    <w:multiLevelType w:val="hybridMultilevel"/>
    <w:tmpl w:val="A2202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AD3971"/>
    <w:multiLevelType w:val="multilevel"/>
    <w:tmpl w:val="E6BEA9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17163E"/>
    <w:multiLevelType w:val="hybridMultilevel"/>
    <w:tmpl w:val="19181DBE"/>
    <w:lvl w:ilvl="0" w:tplc="8A44F182">
      <w:start w:val="3"/>
      <w:numFmt w:val="bullet"/>
      <w:lvlText w:val="-"/>
      <w:lvlJc w:val="left"/>
      <w:pPr>
        <w:ind w:left="720" w:hanging="360"/>
      </w:pPr>
      <w:rPr>
        <w:rFonts w:ascii="Linotype Univers 330 Light" w:eastAsia="SimSun" w:hAnsi="Linotype Univers 330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7316ED"/>
    <w:multiLevelType w:val="hybridMultilevel"/>
    <w:tmpl w:val="6C08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253FAA"/>
    <w:multiLevelType w:val="multilevel"/>
    <w:tmpl w:val="9C0A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0"/>
  </w:num>
  <w:num w:numId="3">
    <w:abstractNumId w:val="33"/>
  </w:num>
  <w:num w:numId="4">
    <w:abstractNumId w:val="5"/>
  </w:num>
  <w:num w:numId="5">
    <w:abstractNumId w:val="31"/>
  </w:num>
  <w:num w:numId="6">
    <w:abstractNumId w:val="9"/>
  </w:num>
  <w:num w:numId="7">
    <w:abstractNumId w:val="35"/>
  </w:num>
  <w:num w:numId="8">
    <w:abstractNumId w:val="12"/>
  </w:num>
  <w:num w:numId="9">
    <w:abstractNumId w:val="16"/>
  </w:num>
  <w:num w:numId="10">
    <w:abstractNumId w:val="11"/>
  </w:num>
  <w:num w:numId="11">
    <w:abstractNumId w:val="38"/>
  </w:num>
  <w:num w:numId="12">
    <w:abstractNumId w:val="21"/>
  </w:num>
  <w:num w:numId="13">
    <w:abstractNumId w:val="20"/>
  </w:num>
  <w:num w:numId="14">
    <w:abstractNumId w:val="4"/>
  </w:num>
  <w:num w:numId="15">
    <w:abstractNumId w:val="8"/>
  </w:num>
  <w:num w:numId="16">
    <w:abstractNumId w:val="37"/>
  </w:num>
  <w:num w:numId="17">
    <w:abstractNumId w:val="15"/>
  </w:num>
  <w:num w:numId="18">
    <w:abstractNumId w:val="28"/>
  </w:num>
  <w:num w:numId="19">
    <w:abstractNumId w:val="30"/>
  </w:num>
  <w:num w:numId="20">
    <w:abstractNumId w:val="23"/>
  </w:num>
  <w:num w:numId="21">
    <w:abstractNumId w:val="14"/>
  </w:num>
  <w:num w:numId="22">
    <w:abstractNumId w:val="10"/>
  </w:num>
  <w:num w:numId="23">
    <w:abstractNumId w:val="22"/>
  </w:num>
  <w:num w:numId="24">
    <w:abstractNumId w:val="6"/>
  </w:num>
  <w:num w:numId="25">
    <w:abstractNumId w:val="24"/>
  </w:num>
  <w:num w:numId="26">
    <w:abstractNumId w:val="27"/>
  </w:num>
  <w:num w:numId="27">
    <w:abstractNumId w:val="7"/>
  </w:num>
  <w:num w:numId="28">
    <w:abstractNumId w:val="36"/>
  </w:num>
  <w:num w:numId="29">
    <w:abstractNumId w:val="32"/>
  </w:num>
  <w:num w:numId="30">
    <w:abstractNumId w:val="19"/>
  </w:num>
  <w:num w:numId="31">
    <w:abstractNumId w:val="25"/>
  </w:num>
  <w:num w:numId="32">
    <w:abstractNumId w:val="18"/>
  </w:num>
  <w:num w:numId="33">
    <w:abstractNumId w:val="3"/>
  </w:num>
  <w:num w:numId="34">
    <w:abstractNumId w:val="17"/>
  </w:num>
  <w:num w:numId="35">
    <w:abstractNumId w:val="2"/>
  </w:num>
  <w:num w:numId="36">
    <w:abstractNumId w:val="29"/>
  </w:num>
  <w:num w:numId="37">
    <w:abstractNumId w:val="1"/>
  </w:num>
  <w:num w:numId="38">
    <w:abstractNumId w:val="26"/>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0A7"/>
    <w:rsid w:val="00030058"/>
    <w:rsid w:val="001168A2"/>
    <w:rsid w:val="002539B0"/>
    <w:rsid w:val="00271CD0"/>
    <w:rsid w:val="003846CC"/>
    <w:rsid w:val="004340A7"/>
    <w:rsid w:val="00443349"/>
    <w:rsid w:val="00483C19"/>
    <w:rsid w:val="0055328F"/>
    <w:rsid w:val="00567013"/>
    <w:rsid w:val="005932DF"/>
    <w:rsid w:val="005D1126"/>
    <w:rsid w:val="006940BB"/>
    <w:rsid w:val="006A0B4F"/>
    <w:rsid w:val="006A7609"/>
    <w:rsid w:val="006D398A"/>
    <w:rsid w:val="007A31DE"/>
    <w:rsid w:val="007E3105"/>
    <w:rsid w:val="00825326"/>
    <w:rsid w:val="00847617"/>
    <w:rsid w:val="008713B4"/>
    <w:rsid w:val="008946F0"/>
    <w:rsid w:val="0093404E"/>
    <w:rsid w:val="0095552C"/>
    <w:rsid w:val="0099028A"/>
    <w:rsid w:val="009E77EE"/>
    <w:rsid w:val="009F540B"/>
    <w:rsid w:val="00A606C4"/>
    <w:rsid w:val="00AD3F59"/>
    <w:rsid w:val="00BA67D0"/>
    <w:rsid w:val="00C14054"/>
    <w:rsid w:val="00C820D7"/>
    <w:rsid w:val="00CF0C6F"/>
    <w:rsid w:val="00D0565B"/>
    <w:rsid w:val="00DA41BA"/>
    <w:rsid w:val="00E07AC9"/>
    <w:rsid w:val="00E66AFB"/>
    <w:rsid w:val="00E71FEC"/>
    <w:rsid w:val="00E872A2"/>
    <w:rsid w:val="00E90F68"/>
    <w:rsid w:val="00F077CE"/>
    <w:rsid w:val="00F607E5"/>
    <w:rsid w:val="00FA6B57"/>
    <w:rsid w:val="00FA70D1"/>
    <w:rsid w:val="00FB02C7"/>
    <w:rsid w:val="00FD56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C6653"/>
  <w15:chartTrackingRefBased/>
  <w15:docId w15:val="{6D7ECD6D-7D7D-4BFB-B14E-CFD4F1E2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B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0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0A7"/>
  </w:style>
  <w:style w:type="paragraph" w:styleId="Footer">
    <w:name w:val="footer"/>
    <w:basedOn w:val="Normal"/>
    <w:link w:val="FooterChar"/>
    <w:uiPriority w:val="99"/>
    <w:unhideWhenUsed/>
    <w:rsid w:val="004340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0A7"/>
  </w:style>
  <w:style w:type="character" w:styleId="CommentReference">
    <w:name w:val="annotation reference"/>
    <w:basedOn w:val="DefaultParagraphFont"/>
    <w:uiPriority w:val="99"/>
    <w:semiHidden/>
    <w:unhideWhenUsed/>
    <w:rsid w:val="004340A7"/>
    <w:rPr>
      <w:sz w:val="16"/>
      <w:szCs w:val="16"/>
    </w:rPr>
  </w:style>
  <w:style w:type="paragraph" w:styleId="CommentText">
    <w:name w:val="annotation text"/>
    <w:basedOn w:val="Normal"/>
    <w:link w:val="CommentTextChar"/>
    <w:uiPriority w:val="99"/>
    <w:semiHidden/>
    <w:unhideWhenUsed/>
    <w:rsid w:val="004340A7"/>
    <w:pPr>
      <w:spacing w:line="240" w:lineRule="auto"/>
    </w:pPr>
    <w:rPr>
      <w:sz w:val="20"/>
      <w:szCs w:val="20"/>
    </w:rPr>
  </w:style>
  <w:style w:type="character" w:customStyle="1" w:styleId="CommentTextChar">
    <w:name w:val="Comment Text Char"/>
    <w:basedOn w:val="DefaultParagraphFont"/>
    <w:link w:val="CommentText"/>
    <w:uiPriority w:val="99"/>
    <w:semiHidden/>
    <w:rsid w:val="004340A7"/>
    <w:rPr>
      <w:sz w:val="20"/>
      <w:szCs w:val="20"/>
    </w:rPr>
  </w:style>
  <w:style w:type="paragraph" w:styleId="CommentSubject">
    <w:name w:val="annotation subject"/>
    <w:basedOn w:val="CommentText"/>
    <w:next w:val="CommentText"/>
    <w:link w:val="CommentSubjectChar"/>
    <w:uiPriority w:val="99"/>
    <w:semiHidden/>
    <w:unhideWhenUsed/>
    <w:rsid w:val="004340A7"/>
    <w:rPr>
      <w:b/>
      <w:bCs/>
    </w:rPr>
  </w:style>
  <w:style w:type="character" w:customStyle="1" w:styleId="CommentSubjectChar">
    <w:name w:val="Comment Subject Char"/>
    <w:basedOn w:val="CommentTextChar"/>
    <w:link w:val="CommentSubject"/>
    <w:uiPriority w:val="99"/>
    <w:semiHidden/>
    <w:rsid w:val="004340A7"/>
    <w:rPr>
      <w:b/>
      <w:bCs/>
      <w:sz w:val="20"/>
      <w:szCs w:val="20"/>
    </w:rPr>
  </w:style>
  <w:style w:type="paragraph" w:styleId="BalloonText">
    <w:name w:val="Balloon Text"/>
    <w:basedOn w:val="Normal"/>
    <w:link w:val="BalloonTextChar"/>
    <w:uiPriority w:val="99"/>
    <w:semiHidden/>
    <w:unhideWhenUsed/>
    <w:rsid w:val="004340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0A7"/>
    <w:rPr>
      <w:rFonts w:ascii="Segoe UI" w:hAnsi="Segoe UI" w:cs="Segoe UI"/>
      <w:sz w:val="18"/>
      <w:szCs w:val="18"/>
    </w:rPr>
  </w:style>
  <w:style w:type="paragraph" w:styleId="ListParagraph">
    <w:name w:val="List Paragraph"/>
    <w:basedOn w:val="Normal"/>
    <w:uiPriority w:val="34"/>
    <w:qFormat/>
    <w:rsid w:val="0055328F"/>
    <w:pPr>
      <w:ind w:left="720"/>
      <w:contextualSpacing/>
    </w:pPr>
  </w:style>
  <w:style w:type="paragraph" w:styleId="NormalWeb">
    <w:name w:val="Normal (Web)"/>
    <w:basedOn w:val="Normal"/>
    <w:uiPriority w:val="99"/>
    <w:unhideWhenUsed/>
    <w:rsid w:val="006A7609"/>
    <w:pPr>
      <w:spacing w:before="100" w:beforeAutospacing="1" w:after="100" w:afterAutospacing="1" w:line="276" w:lineRule="auto"/>
    </w:pPr>
    <w:rPr>
      <w:rFonts w:ascii="Linotype Univers 330 Light" w:eastAsia="SimSun" w:hAnsi="Linotype Univers 330 Light" w:cs="Arial"/>
      <w:lang w:val="fr-FR" w:eastAsia="fr-FR"/>
    </w:rPr>
  </w:style>
  <w:style w:type="character" w:styleId="Hyperlink">
    <w:name w:val="Hyperlink"/>
    <w:basedOn w:val="DefaultParagraphFont"/>
    <w:uiPriority w:val="99"/>
    <w:unhideWhenUsed/>
    <w:rsid w:val="00FA6B57"/>
    <w:rPr>
      <w:color w:val="0563C1" w:themeColor="hyperlink"/>
      <w:u w:val="single"/>
    </w:rPr>
  </w:style>
  <w:style w:type="table" w:styleId="TableGrid">
    <w:name w:val="Table Grid"/>
    <w:basedOn w:val="TableNormal"/>
    <w:uiPriority w:val="39"/>
    <w:rsid w:val="00A60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A606C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271C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1CD0"/>
    <w:rPr>
      <w:sz w:val="20"/>
      <w:szCs w:val="20"/>
    </w:rPr>
  </w:style>
  <w:style w:type="character" w:styleId="FootnoteReference">
    <w:name w:val="footnote reference"/>
    <w:basedOn w:val="DefaultParagraphFont"/>
    <w:uiPriority w:val="99"/>
    <w:semiHidden/>
    <w:unhideWhenUsed/>
    <w:rsid w:val="00271C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25214">
      <w:bodyDiv w:val="1"/>
      <w:marLeft w:val="0"/>
      <w:marRight w:val="0"/>
      <w:marTop w:val="0"/>
      <w:marBottom w:val="0"/>
      <w:divBdr>
        <w:top w:val="none" w:sz="0" w:space="0" w:color="auto"/>
        <w:left w:val="none" w:sz="0" w:space="0" w:color="auto"/>
        <w:bottom w:val="none" w:sz="0" w:space="0" w:color="auto"/>
        <w:right w:val="none" w:sz="0" w:space="0" w:color="auto"/>
      </w:divBdr>
    </w:div>
    <w:div w:id="160853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08794-759B-4293-BED4-2E34AA183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RLS</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Zina, Rim</dc:creator>
  <cp:keywords/>
  <dc:description/>
  <cp:lastModifiedBy>Louati, Imen</cp:lastModifiedBy>
  <cp:revision>11</cp:revision>
  <cp:lastPrinted>2021-12-13T10:06:00Z</cp:lastPrinted>
  <dcterms:created xsi:type="dcterms:W3CDTF">2022-06-07T14:19:00Z</dcterms:created>
  <dcterms:modified xsi:type="dcterms:W3CDTF">2022-10-11T14:43:00Z</dcterms:modified>
</cp:coreProperties>
</file>