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5FAD" w14:textId="177D9A57" w:rsidR="00600252" w:rsidRDefault="00B51312" w:rsidP="00B51312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95DFF6A" wp14:editId="6D058D7A">
            <wp:simplePos x="0" y="0"/>
            <wp:positionH relativeFrom="margin">
              <wp:posOffset>2156460</wp:posOffset>
            </wp:positionH>
            <wp:positionV relativeFrom="margin">
              <wp:posOffset>200025</wp:posOffset>
            </wp:positionV>
            <wp:extent cx="1557655" cy="561975"/>
            <wp:effectExtent l="0" t="0" r="4445" b="9525"/>
            <wp:wrapSquare wrapText="bothSides"/>
            <wp:docPr id="2" name="Image 2" descr="C:\Users\Wissal Sakri\Desktop\Projet LEAD\Communications\198426287_2245187535615680_2669027370366391739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Wissal Sakri\Desktop\Projet LEAD\Communications\198426287_2245187535615680_2669027370366391739_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0" t="38205" r="24264" b="36168"/>
                    <a:stretch/>
                  </pic:blipFill>
                  <pic:spPr bwMode="auto">
                    <a:xfrm>
                      <a:off x="0" y="0"/>
                      <a:ext cx="15576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745AD8" w14:textId="5BDFAF84" w:rsidR="006F1DDE" w:rsidRDefault="006F1DDE" w:rsidP="007D34B2">
      <w:pPr>
        <w:rPr>
          <w:sz w:val="2"/>
          <w:szCs w:val="2"/>
        </w:rPr>
      </w:pPr>
    </w:p>
    <w:p w14:paraId="2F5D38FD" w14:textId="77777777" w:rsidR="00B51312" w:rsidRPr="003E34A5" w:rsidRDefault="00B51312" w:rsidP="007D34B2">
      <w:pPr>
        <w:rPr>
          <w:sz w:val="2"/>
          <w:szCs w:val="2"/>
        </w:rPr>
      </w:pPr>
    </w:p>
    <w:p w14:paraId="732556BB" w14:textId="77777777" w:rsidR="00B51312" w:rsidRDefault="00B51312" w:rsidP="00082EC0">
      <w:pPr>
        <w:jc w:val="center"/>
        <w:rPr>
          <w:rFonts w:ascii="Arial" w:hAnsi="Arial"/>
          <w:b/>
          <w:bCs/>
          <w:sz w:val="36"/>
          <w:u w:val="single"/>
        </w:rPr>
      </w:pPr>
    </w:p>
    <w:p w14:paraId="4CC52312" w14:textId="1EC127EC" w:rsidR="00082EC0" w:rsidRDefault="00082EC0" w:rsidP="00082EC0">
      <w:pPr>
        <w:jc w:val="center"/>
        <w:rPr>
          <w:rFonts w:ascii="Arial" w:hAnsi="Arial"/>
          <w:b/>
          <w:bCs/>
          <w:sz w:val="36"/>
          <w:u w:val="single"/>
        </w:rPr>
      </w:pPr>
      <w:r w:rsidRPr="00107EBD">
        <w:rPr>
          <w:rFonts w:ascii="Arial" w:hAnsi="Arial"/>
          <w:b/>
          <w:bCs/>
          <w:sz w:val="36"/>
          <w:u w:val="single"/>
        </w:rPr>
        <w:t>TERMES DE REFERENCE</w:t>
      </w:r>
    </w:p>
    <w:p w14:paraId="00D49D2F" w14:textId="77777777" w:rsidR="003424C6" w:rsidRPr="003424C6" w:rsidRDefault="003424C6" w:rsidP="00082EC0">
      <w:pPr>
        <w:jc w:val="center"/>
        <w:rPr>
          <w:rFonts w:ascii="Arial" w:hAnsi="Arial"/>
          <w:b/>
          <w:bCs/>
          <w:sz w:val="18"/>
          <w:szCs w:val="10"/>
          <w:u w:val="single"/>
        </w:rPr>
      </w:pPr>
    </w:p>
    <w:p w14:paraId="23305B4A" w14:textId="3A1CC499" w:rsidR="00082EC0" w:rsidRPr="003E34A5" w:rsidRDefault="00082EC0" w:rsidP="00E0379B">
      <w:pPr>
        <w:jc w:val="center"/>
        <w:rPr>
          <w:b/>
          <w:bCs/>
          <w:sz w:val="28"/>
          <w:szCs w:val="28"/>
        </w:rPr>
      </w:pPr>
      <w:r w:rsidRPr="003E34A5">
        <w:rPr>
          <w:b/>
          <w:bCs/>
          <w:sz w:val="28"/>
          <w:szCs w:val="28"/>
        </w:rPr>
        <w:t xml:space="preserve">Pour le recrutement d’un </w:t>
      </w:r>
      <w:r w:rsidR="003424C6" w:rsidRPr="003E34A5">
        <w:rPr>
          <w:b/>
          <w:bCs/>
          <w:sz w:val="28"/>
          <w:szCs w:val="28"/>
        </w:rPr>
        <w:t>expert</w:t>
      </w:r>
      <w:r w:rsidRPr="003E34A5">
        <w:rPr>
          <w:b/>
          <w:bCs/>
          <w:sz w:val="28"/>
          <w:szCs w:val="28"/>
        </w:rPr>
        <w:t xml:space="preserve">(e) </w:t>
      </w:r>
      <w:r w:rsidR="003424C6" w:rsidRPr="003E34A5">
        <w:rPr>
          <w:b/>
          <w:bCs/>
          <w:sz w:val="28"/>
          <w:szCs w:val="28"/>
        </w:rPr>
        <w:t xml:space="preserve">en </w:t>
      </w:r>
      <w:r w:rsidR="00541162">
        <w:rPr>
          <w:b/>
          <w:bCs/>
          <w:sz w:val="28"/>
          <w:szCs w:val="28"/>
        </w:rPr>
        <w:t>Soft Ski</w:t>
      </w:r>
      <w:r w:rsidR="00BF54B3">
        <w:rPr>
          <w:b/>
          <w:bCs/>
          <w:sz w:val="28"/>
          <w:szCs w:val="28"/>
        </w:rPr>
        <w:t>l</w:t>
      </w:r>
      <w:r w:rsidR="00541162">
        <w:rPr>
          <w:b/>
          <w:bCs/>
          <w:sz w:val="28"/>
          <w:szCs w:val="28"/>
        </w:rPr>
        <w:t>ls</w:t>
      </w:r>
      <w:r w:rsidR="00894FDB">
        <w:rPr>
          <w:b/>
          <w:bCs/>
          <w:sz w:val="28"/>
          <w:szCs w:val="28"/>
        </w:rPr>
        <w:t xml:space="preserve"> </w:t>
      </w:r>
      <w:r w:rsidR="00C646E7">
        <w:rPr>
          <w:b/>
          <w:bCs/>
          <w:sz w:val="28"/>
          <w:szCs w:val="28"/>
        </w:rPr>
        <w:t xml:space="preserve">pour les femmes entrepreneures </w:t>
      </w:r>
      <w:r w:rsidR="000F42A2" w:rsidRPr="003E34A5">
        <w:rPr>
          <w:b/>
          <w:bCs/>
          <w:sz w:val="28"/>
          <w:szCs w:val="28"/>
        </w:rPr>
        <w:t xml:space="preserve">dans </w:t>
      </w:r>
      <w:r w:rsidR="00B52A29" w:rsidRPr="003E34A5">
        <w:rPr>
          <w:b/>
          <w:bCs/>
          <w:sz w:val="28"/>
          <w:szCs w:val="28"/>
        </w:rPr>
        <w:t xml:space="preserve">le </w:t>
      </w:r>
      <w:r w:rsidR="00B52A29" w:rsidRPr="000C6936">
        <w:rPr>
          <w:b/>
          <w:bCs/>
          <w:sz w:val="28"/>
          <w:szCs w:val="28"/>
        </w:rPr>
        <w:t>Grand Tunis</w:t>
      </w:r>
    </w:p>
    <w:p w14:paraId="41DF5104" w14:textId="13B1B318" w:rsidR="00082EC0" w:rsidRPr="00B33075" w:rsidRDefault="00082EC0" w:rsidP="00082EC0">
      <w:pPr>
        <w:spacing w:before="240"/>
        <w:jc w:val="center"/>
        <w:rPr>
          <w:rFonts w:ascii="Arial" w:hAnsi="Arial"/>
        </w:rPr>
      </w:pPr>
    </w:p>
    <w:tbl>
      <w:tblPr>
        <w:tblW w:w="10481" w:type="dxa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771"/>
        <w:gridCol w:w="7710"/>
      </w:tblGrid>
      <w:tr w:rsidR="00082EC0" w:rsidRPr="00613199" w14:paraId="734D5922" w14:textId="77777777" w:rsidTr="001E2DD0">
        <w:trPr>
          <w:trHeight w:val="216"/>
          <w:jc w:val="center"/>
        </w:trPr>
        <w:tc>
          <w:tcPr>
            <w:tcW w:w="1048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2F33DA60" w14:textId="77777777" w:rsidR="00082EC0" w:rsidRPr="00613199" w:rsidRDefault="00082EC0" w:rsidP="001E2DD0">
            <w:pPr>
              <w:tabs>
                <w:tab w:val="left" w:pos="-720"/>
              </w:tabs>
              <w:suppressAutoHyphens/>
              <w:spacing w:before="109" w:after="54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3199">
              <w:rPr>
                <w:rFonts w:ascii="Arial" w:hAnsi="Arial" w:cs="Arial"/>
                <w:b/>
                <w:sz w:val="18"/>
                <w:szCs w:val="18"/>
              </w:rPr>
              <w:t>TERMES DE REFERENCE</w:t>
            </w:r>
          </w:p>
        </w:tc>
      </w:tr>
      <w:tr w:rsidR="00082EC0" w:rsidRPr="00613199" w14:paraId="342FE298" w14:textId="77777777" w:rsidTr="00082EC0">
        <w:tblPrEx>
          <w:tblCellMar>
            <w:left w:w="148" w:type="dxa"/>
            <w:right w:w="148" w:type="dxa"/>
          </w:tblCellMar>
        </w:tblPrEx>
        <w:trPr>
          <w:trHeight w:val="382"/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764DC6B8" w14:textId="77777777" w:rsidR="005C64E3" w:rsidRPr="00692974" w:rsidRDefault="005C64E3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9615965" w14:textId="170357D8" w:rsidR="00082EC0" w:rsidRPr="0015091B" w:rsidRDefault="00082EC0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Structure/Organisation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6AF7533" w14:textId="47486CB9" w:rsidR="00082EC0" w:rsidRPr="00FC04E6" w:rsidRDefault="00082EC0" w:rsidP="00082EC0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FC04E6">
              <w:rPr>
                <w:rFonts w:ascii="Arial" w:hAnsi="Arial" w:cs="Arial"/>
                <w:b/>
                <w:bCs/>
                <w:sz w:val="18"/>
                <w:szCs w:val="18"/>
              </w:rPr>
              <w:t>L’association Tunisienne de Gestion et de Stabilité Sociale (TAMSS)</w:t>
            </w:r>
          </w:p>
        </w:tc>
      </w:tr>
      <w:tr w:rsidR="00082EC0" w:rsidRPr="00613199" w14:paraId="4AA05A93" w14:textId="77777777" w:rsidTr="00082EC0">
        <w:tblPrEx>
          <w:tblCellMar>
            <w:left w:w="148" w:type="dxa"/>
            <w:right w:w="148" w:type="dxa"/>
          </w:tblCellMar>
        </w:tblPrEx>
        <w:trPr>
          <w:trHeight w:val="478"/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A3770D6" w14:textId="77777777" w:rsidR="00DB7472" w:rsidRPr="00DB7472" w:rsidRDefault="00DB7472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C14BC7C" w14:textId="72E94636" w:rsidR="00082EC0" w:rsidRPr="0015091B" w:rsidRDefault="00082EC0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Sujet de la consultation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28F9DAA" w14:textId="5602FF59" w:rsidR="00082EC0" w:rsidRPr="00A15628" w:rsidRDefault="003E34A5" w:rsidP="002418E9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E34A5">
              <w:rPr>
                <w:rFonts w:ascii="Arial" w:hAnsi="Arial" w:cs="Arial"/>
                <w:sz w:val="18"/>
                <w:szCs w:val="18"/>
              </w:rPr>
              <w:t xml:space="preserve">xpert(e) </w:t>
            </w:r>
            <w:r w:rsidR="005C10CB">
              <w:rPr>
                <w:rFonts w:ascii="Arial" w:hAnsi="Arial" w:cs="Arial"/>
                <w:sz w:val="18"/>
                <w:szCs w:val="18"/>
              </w:rPr>
              <w:t>en renforcement de connaissance et compétences en soft skills</w:t>
            </w:r>
            <w:r w:rsidR="005C10CB" w:rsidRPr="003E34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162">
              <w:rPr>
                <w:rFonts w:ascii="Arial" w:hAnsi="Arial" w:cs="Arial"/>
                <w:sz w:val="18"/>
                <w:szCs w:val="18"/>
              </w:rPr>
              <w:t>pour</w:t>
            </w:r>
            <w:r w:rsidR="00E049F5">
              <w:rPr>
                <w:rFonts w:ascii="Arial" w:hAnsi="Arial" w:cs="Arial"/>
                <w:sz w:val="18"/>
                <w:szCs w:val="18"/>
              </w:rPr>
              <w:t xml:space="preserve"> les projets/ initiatives ESS dans le Grand </w:t>
            </w:r>
            <w:r w:rsidR="00E049F5" w:rsidRPr="000C6936">
              <w:rPr>
                <w:rFonts w:ascii="Arial" w:hAnsi="Arial" w:cs="Arial"/>
                <w:sz w:val="18"/>
                <w:szCs w:val="18"/>
              </w:rPr>
              <w:t>Tunis</w:t>
            </w:r>
            <w:r w:rsidR="00E049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82EC0" w:rsidRPr="00613199" w14:paraId="172ABFA6" w14:textId="77777777" w:rsidTr="001E2DD0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4BF8EC0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Contexte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EA8F6B8" w14:textId="7E4A7C7C" w:rsidR="00082EC0" w:rsidRDefault="00D73079" w:rsidP="00E049F5">
            <w:p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B22">
              <w:rPr>
                <w:rFonts w:ascii="Arial" w:hAnsi="Arial" w:cs="Arial"/>
                <w:sz w:val="18"/>
                <w:szCs w:val="18"/>
              </w:rPr>
              <w:t>Local Employment in Africa for Development – LEAD, est un projet mis en œuvre par l’ONG SPARK en partenariat avec l’association TMASS en Tunisie</w:t>
            </w:r>
            <w:r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082EC0">
              <w:rPr>
                <w:rFonts w:ascii="Arial" w:hAnsi="Arial" w:cs="Arial"/>
                <w:sz w:val="18"/>
                <w:szCs w:val="18"/>
              </w:rPr>
              <w:t>financé par le ministère des</w:t>
            </w:r>
            <w:r>
              <w:rPr>
                <w:rFonts w:ascii="Arial" w:hAnsi="Arial" w:cs="Arial"/>
                <w:sz w:val="18"/>
                <w:szCs w:val="18"/>
              </w:rPr>
              <w:t xml:space="preserve"> Affaires Étrangères Hollandais</w:t>
            </w:r>
            <w:r w:rsidRPr="00082EC0">
              <w:rPr>
                <w:rFonts w:ascii="Arial" w:hAnsi="Arial" w:cs="Arial"/>
                <w:sz w:val="18"/>
                <w:szCs w:val="18"/>
              </w:rPr>
              <w:t>. En vue de renforcer et de créer de nouvelles opportunités d’emploi, LEAD soutient la création d’entreprises et la croissance des PME par la mise à disposition d’un accompagnement et un meilleur accès au financement et aux marchés, en particulier aux jeunes et femmes dans les régions vulnérables. </w:t>
            </w:r>
          </w:p>
          <w:p w14:paraId="0A9699D6" w14:textId="77777777" w:rsidR="00E049F5" w:rsidRPr="00E049F5" w:rsidRDefault="00E049F5" w:rsidP="00E049F5">
            <w:p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8B51D1D" w14:textId="6AD7A449" w:rsidR="00DB7472" w:rsidRPr="00272D14" w:rsidRDefault="00082EC0" w:rsidP="002418E9">
            <w:p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EC0">
              <w:rPr>
                <w:rFonts w:ascii="Arial" w:hAnsi="Arial" w:cs="Arial"/>
                <w:sz w:val="18"/>
                <w:szCs w:val="18"/>
              </w:rPr>
              <w:t>Pour cela, l’association prévoit le recr</w:t>
            </w:r>
            <w:r w:rsidR="00304670">
              <w:rPr>
                <w:rFonts w:ascii="Arial" w:hAnsi="Arial" w:cs="Arial"/>
                <w:sz w:val="18"/>
                <w:szCs w:val="18"/>
              </w:rPr>
              <w:t>utement d’un</w:t>
            </w:r>
            <w:r w:rsidR="003E34A5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3E34A5" w:rsidRPr="003E34A5">
              <w:rPr>
                <w:rFonts w:ascii="Arial" w:hAnsi="Arial" w:cs="Arial"/>
                <w:sz w:val="18"/>
                <w:szCs w:val="18"/>
              </w:rPr>
              <w:t>xpert(e)</w:t>
            </w:r>
            <w:r w:rsidR="00304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076">
              <w:rPr>
                <w:rFonts w:ascii="Arial" w:hAnsi="Arial" w:cs="Arial"/>
                <w:sz w:val="18"/>
                <w:szCs w:val="18"/>
              </w:rPr>
              <w:t>pour le</w:t>
            </w:r>
            <w:r w:rsidR="00272D14">
              <w:rPr>
                <w:rFonts w:ascii="Arial" w:hAnsi="Arial" w:cs="Arial"/>
                <w:sz w:val="18"/>
                <w:szCs w:val="18"/>
              </w:rPr>
              <w:t xml:space="preserve"> renforcement </w:t>
            </w:r>
            <w:r w:rsidR="005C10CB">
              <w:rPr>
                <w:rFonts w:ascii="Arial" w:hAnsi="Arial" w:cs="Arial"/>
                <w:sz w:val="18"/>
                <w:szCs w:val="18"/>
              </w:rPr>
              <w:t>de</w:t>
            </w:r>
            <w:r w:rsidR="00BE4076">
              <w:rPr>
                <w:rFonts w:ascii="Arial" w:hAnsi="Arial" w:cs="Arial"/>
                <w:sz w:val="18"/>
                <w:szCs w:val="18"/>
              </w:rPr>
              <w:t>s</w:t>
            </w:r>
            <w:r w:rsidR="005C10CB">
              <w:rPr>
                <w:rFonts w:ascii="Arial" w:hAnsi="Arial" w:cs="Arial"/>
                <w:sz w:val="18"/>
                <w:szCs w:val="18"/>
              </w:rPr>
              <w:t xml:space="preserve"> connaissance</w:t>
            </w:r>
            <w:r w:rsidR="00BE4076">
              <w:rPr>
                <w:rFonts w:ascii="Arial" w:hAnsi="Arial" w:cs="Arial"/>
                <w:sz w:val="18"/>
                <w:szCs w:val="18"/>
              </w:rPr>
              <w:t>s</w:t>
            </w:r>
            <w:r w:rsidR="005C10CB">
              <w:rPr>
                <w:rFonts w:ascii="Arial" w:hAnsi="Arial" w:cs="Arial"/>
                <w:sz w:val="18"/>
                <w:szCs w:val="18"/>
              </w:rPr>
              <w:t xml:space="preserve"> et</w:t>
            </w:r>
            <w:r w:rsidR="00BE4076">
              <w:rPr>
                <w:rFonts w:ascii="Arial" w:hAnsi="Arial" w:cs="Arial"/>
                <w:sz w:val="18"/>
                <w:szCs w:val="18"/>
              </w:rPr>
              <w:t xml:space="preserve"> des</w:t>
            </w:r>
            <w:r w:rsidR="005C10CB">
              <w:rPr>
                <w:rFonts w:ascii="Arial" w:hAnsi="Arial" w:cs="Arial"/>
                <w:sz w:val="18"/>
                <w:szCs w:val="18"/>
              </w:rPr>
              <w:t xml:space="preserve"> compétences e</w:t>
            </w:r>
            <w:r w:rsidR="00272D14">
              <w:rPr>
                <w:rFonts w:ascii="Arial" w:hAnsi="Arial" w:cs="Arial"/>
                <w:sz w:val="18"/>
                <w:szCs w:val="18"/>
              </w:rPr>
              <w:t xml:space="preserve">n soft skills </w:t>
            </w:r>
            <w:r w:rsidR="00BE4076">
              <w:rPr>
                <w:rFonts w:ascii="Arial" w:hAnsi="Arial" w:cs="Arial"/>
                <w:sz w:val="18"/>
                <w:szCs w:val="18"/>
              </w:rPr>
              <w:t>de 6 porteuses d’idées/entrepreneures/</w:t>
            </w:r>
            <w:r w:rsidR="0086568E">
              <w:rPr>
                <w:rFonts w:ascii="Arial" w:hAnsi="Arial" w:cs="Arial"/>
                <w:sz w:val="18"/>
                <w:szCs w:val="18"/>
              </w:rPr>
              <w:t xml:space="preserve"> initiatives ESS dans le Grand </w:t>
            </w:r>
            <w:r w:rsidR="0086568E" w:rsidRPr="000C6936">
              <w:rPr>
                <w:rFonts w:ascii="Arial" w:hAnsi="Arial" w:cs="Arial"/>
                <w:sz w:val="18"/>
                <w:szCs w:val="18"/>
              </w:rPr>
              <w:t>Tunis</w:t>
            </w:r>
            <w:r w:rsidR="008656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82EC0" w:rsidRPr="00613199" w14:paraId="08751691" w14:textId="77777777" w:rsidTr="001E2DD0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E06FC2C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Tâches et responsabilités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047C78C" w14:textId="6CBF1821" w:rsidR="00953D1A" w:rsidRDefault="00953D1A" w:rsidP="00953D1A">
            <w:p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E65AD2" w14:textId="4EF525FF" w:rsidR="00DC5CEC" w:rsidRPr="00953D1A" w:rsidRDefault="00953D1A" w:rsidP="002D40BA">
            <w:p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5074">
              <w:rPr>
                <w:rFonts w:ascii="Arial" w:hAnsi="Arial" w:cs="Arial"/>
                <w:color w:val="000000"/>
                <w:sz w:val="18"/>
                <w:szCs w:val="18"/>
              </w:rPr>
              <w:t>Le renforcement des capacités des</w:t>
            </w:r>
            <w:r w:rsidR="001A6F48" w:rsidRPr="009450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E4076" w:rsidRPr="00945074">
              <w:rPr>
                <w:rFonts w:ascii="Arial" w:hAnsi="Arial" w:cs="Arial"/>
                <w:color w:val="000000"/>
                <w:sz w:val="18"/>
                <w:szCs w:val="18"/>
              </w:rPr>
              <w:t>porteuses d’idée et des entrepreneures</w:t>
            </w:r>
            <w:r w:rsidRPr="00945074">
              <w:rPr>
                <w:rFonts w:ascii="Arial" w:hAnsi="Arial" w:cs="Arial"/>
                <w:color w:val="000000"/>
                <w:sz w:val="18"/>
                <w:szCs w:val="18"/>
              </w:rPr>
              <w:t xml:space="preserve"> en communication</w:t>
            </w:r>
            <w:r w:rsidR="00945074" w:rsidRPr="00945074">
              <w:rPr>
                <w:rFonts w:ascii="Arial" w:hAnsi="Arial" w:cs="Arial"/>
                <w:color w:val="000000"/>
                <w:sz w:val="18"/>
                <w:szCs w:val="18"/>
              </w:rPr>
              <w:t>, leadership, gestion des conflit</w:t>
            </w:r>
            <w:r w:rsidR="00945074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45074">
              <w:rPr>
                <w:rFonts w:ascii="Arial" w:hAnsi="Arial" w:cs="Arial"/>
                <w:color w:val="000000"/>
                <w:sz w:val="18"/>
                <w:szCs w:val="18"/>
              </w:rPr>
              <w:t xml:space="preserve"> pour :</w:t>
            </w:r>
            <w:r w:rsidR="00DC5CEC" w:rsidRPr="00953D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572657A" w14:textId="00BA57EC" w:rsidR="00953D1A" w:rsidRPr="00953D1A" w:rsidRDefault="00953D1A" w:rsidP="00953D1A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1A">
              <w:rPr>
                <w:rFonts w:ascii="Arial" w:hAnsi="Arial" w:cs="Arial"/>
                <w:color w:val="000000"/>
                <w:sz w:val="18"/>
                <w:szCs w:val="18"/>
              </w:rPr>
              <w:t xml:space="preserve">Améliorer la qualité de ses relations dans </w:t>
            </w:r>
            <w:r w:rsidR="00282324">
              <w:rPr>
                <w:rFonts w:ascii="Arial" w:hAnsi="Arial" w:cs="Arial"/>
                <w:color w:val="000000"/>
                <w:sz w:val="18"/>
                <w:szCs w:val="18"/>
              </w:rPr>
              <w:t xml:space="preserve">des </w:t>
            </w:r>
            <w:r w:rsidRPr="00953D1A">
              <w:rPr>
                <w:rFonts w:ascii="Arial" w:hAnsi="Arial" w:cs="Arial"/>
                <w:color w:val="000000"/>
                <w:sz w:val="18"/>
                <w:szCs w:val="18"/>
              </w:rPr>
              <w:t>différentes situations de prise de parole.</w:t>
            </w:r>
          </w:p>
          <w:p w14:paraId="10ABB57E" w14:textId="77777777" w:rsidR="00953D1A" w:rsidRPr="00953D1A" w:rsidRDefault="00953D1A" w:rsidP="00953D1A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1A">
              <w:rPr>
                <w:rFonts w:ascii="Arial" w:hAnsi="Arial" w:cs="Arial"/>
                <w:color w:val="000000"/>
                <w:sz w:val="18"/>
                <w:szCs w:val="18"/>
              </w:rPr>
              <w:t>Intégrer le processus et maîtriser les techniques de la communication non-violente.</w:t>
            </w:r>
          </w:p>
          <w:p w14:paraId="265E50C8" w14:textId="77777777" w:rsidR="00953D1A" w:rsidRPr="00953D1A" w:rsidRDefault="00953D1A" w:rsidP="00953D1A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1A">
              <w:rPr>
                <w:rFonts w:ascii="Arial" w:hAnsi="Arial" w:cs="Arial"/>
                <w:color w:val="000000"/>
                <w:sz w:val="18"/>
                <w:szCs w:val="18"/>
              </w:rPr>
              <w:t>Développer la capacité d’être à l’écoute de ses émotions, de ses besoins, de ses valeurs et les exprimer avec authenticité. </w:t>
            </w:r>
          </w:p>
          <w:p w14:paraId="0B4DD05E" w14:textId="77777777" w:rsidR="00953D1A" w:rsidRPr="00953D1A" w:rsidRDefault="00953D1A" w:rsidP="00953D1A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1A">
              <w:rPr>
                <w:rFonts w:ascii="Arial" w:hAnsi="Arial" w:cs="Arial"/>
                <w:color w:val="000000"/>
                <w:sz w:val="18"/>
                <w:szCs w:val="18"/>
              </w:rPr>
              <w:t>Les techniques de négociation pour aider les femmes à identifier ses points forts et ses points de vigilance en situation de négociation.</w:t>
            </w:r>
          </w:p>
          <w:p w14:paraId="433F531B" w14:textId="77777777" w:rsidR="00953D1A" w:rsidRPr="00953D1A" w:rsidRDefault="00953D1A" w:rsidP="00953D1A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1A">
              <w:rPr>
                <w:rFonts w:ascii="Arial" w:hAnsi="Arial" w:cs="Arial"/>
                <w:color w:val="000000"/>
                <w:sz w:val="18"/>
                <w:szCs w:val="18"/>
              </w:rPr>
              <w:t>Avoir la bonne posture pour atteindre les objectifs tout en préservant la qualité des relations</w:t>
            </w:r>
          </w:p>
          <w:p w14:paraId="6F640C0C" w14:textId="07CB9D4E" w:rsidR="00953D1A" w:rsidRPr="00953D1A" w:rsidRDefault="00953D1A" w:rsidP="00E0379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1A">
              <w:rPr>
                <w:rFonts w:ascii="Arial" w:hAnsi="Arial" w:cs="Arial"/>
                <w:color w:val="000000"/>
                <w:sz w:val="18"/>
                <w:szCs w:val="18"/>
              </w:rPr>
              <w:t xml:space="preserve">Préparer les négociations avec efficacité, et mener les </w:t>
            </w:r>
            <w:r w:rsidR="00E0379B">
              <w:rPr>
                <w:rFonts w:ascii="Arial" w:hAnsi="Arial" w:cs="Arial"/>
                <w:color w:val="000000"/>
                <w:sz w:val="18"/>
                <w:szCs w:val="18"/>
              </w:rPr>
              <w:t>entrepreneur</w:t>
            </w:r>
            <w:r w:rsidR="0028232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E0379B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53D1A">
              <w:rPr>
                <w:rFonts w:ascii="Arial" w:hAnsi="Arial" w:cs="Arial"/>
                <w:color w:val="000000"/>
                <w:sz w:val="18"/>
                <w:szCs w:val="18"/>
              </w:rPr>
              <w:t xml:space="preserve"> pour gérer les situations de blocage en négociation.</w:t>
            </w:r>
          </w:p>
          <w:p w14:paraId="6C2F0F02" w14:textId="77777777" w:rsidR="00953D1A" w:rsidRPr="00953D1A" w:rsidRDefault="00953D1A" w:rsidP="00953D1A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Leadership et cohésion d’équipe.</w:t>
            </w:r>
          </w:p>
          <w:p w14:paraId="4E4D59A6" w14:textId="2435895E" w:rsidR="00DC5CEC" w:rsidRPr="00953D1A" w:rsidRDefault="00953D1A" w:rsidP="00953D1A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1A">
              <w:rPr>
                <w:rFonts w:ascii="Arial" w:hAnsi="Arial" w:cs="Arial"/>
                <w:color w:val="000000"/>
                <w:sz w:val="18"/>
                <w:szCs w:val="18"/>
              </w:rPr>
              <w:t>Gestion de conflits.</w:t>
            </w:r>
          </w:p>
        </w:tc>
      </w:tr>
      <w:tr w:rsidR="00082EC0" w:rsidRPr="00613199" w14:paraId="724D7365" w14:textId="77777777" w:rsidTr="001E2DD0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EEF6350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Période et conditions du contrat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0C1B51A" w14:textId="38F5D67A" w:rsidR="000C03FE" w:rsidRPr="00AA7E17" w:rsidRDefault="00082EC0" w:rsidP="005D0219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666">
              <w:rPr>
                <w:rFonts w:ascii="Arial" w:hAnsi="Arial" w:cs="Arial"/>
                <w:sz w:val="18"/>
                <w:szCs w:val="18"/>
              </w:rPr>
              <w:t>Nombre de jours </w:t>
            </w:r>
            <w:r w:rsidRPr="00AA350A">
              <w:rPr>
                <w:rFonts w:ascii="Arial" w:hAnsi="Arial" w:cs="Arial"/>
                <w:sz w:val="18"/>
                <w:szCs w:val="18"/>
              </w:rPr>
              <w:t>:</w:t>
            </w:r>
            <w:r w:rsidR="000C03FE" w:rsidRPr="00AA350A">
              <w:rPr>
                <w:rFonts w:ascii="Arial" w:hAnsi="Arial" w:cs="Arial"/>
                <w:sz w:val="18"/>
                <w:szCs w:val="18"/>
              </w:rPr>
              <w:t> </w:t>
            </w:r>
            <w:r w:rsidR="001A6F48" w:rsidRPr="00AA350A">
              <w:rPr>
                <w:rFonts w:ascii="Arial" w:hAnsi="Arial" w:cs="Arial"/>
                <w:sz w:val="18"/>
                <w:szCs w:val="18"/>
              </w:rPr>
              <w:t>5</w:t>
            </w:r>
            <w:r w:rsidRPr="00AA350A">
              <w:rPr>
                <w:rFonts w:ascii="Arial" w:hAnsi="Arial" w:cs="Arial"/>
                <w:sz w:val="18"/>
                <w:szCs w:val="18"/>
              </w:rPr>
              <w:t xml:space="preserve"> Jours</w:t>
            </w:r>
            <w:r w:rsidR="000C03FE" w:rsidRPr="00AA35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0842" w:rsidRPr="00AA350A">
              <w:rPr>
                <w:rFonts w:ascii="Arial" w:hAnsi="Arial" w:cs="Arial"/>
                <w:sz w:val="18"/>
                <w:szCs w:val="18"/>
              </w:rPr>
              <w:t>de formation</w:t>
            </w:r>
            <w:r w:rsidR="005D0219" w:rsidRPr="00AA350A">
              <w:rPr>
                <w:rFonts w:ascii="Arial" w:hAnsi="Arial" w:cs="Arial"/>
                <w:sz w:val="18"/>
                <w:szCs w:val="18"/>
              </w:rPr>
              <w:t>.</w:t>
            </w:r>
            <w:r w:rsidR="00053D2A" w:rsidRPr="00AA7E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2EC0" w:rsidRPr="00613199" w14:paraId="7ADD738B" w14:textId="77777777" w:rsidTr="001E2DD0">
        <w:tblPrEx>
          <w:tblCellMar>
            <w:left w:w="148" w:type="dxa"/>
            <w:right w:w="148" w:type="dxa"/>
          </w:tblCellMar>
        </w:tblPrEx>
        <w:trPr>
          <w:trHeight w:val="948"/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2050D870" w14:textId="63849CBC" w:rsidR="00082EC0" w:rsidRPr="0015091B" w:rsidRDefault="00E34D04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082EC0"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ivrables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88C0625" w14:textId="77777777" w:rsidR="00082EC0" w:rsidRPr="00735FAD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F31">
              <w:rPr>
                <w:rFonts w:ascii="Arial" w:hAnsi="Arial" w:cs="Arial"/>
                <w:sz w:val="18"/>
                <w:szCs w:val="18"/>
              </w:rPr>
              <w:t>Programme de la formation et méthodologie</w:t>
            </w:r>
          </w:p>
          <w:p w14:paraId="0ED4A1E5" w14:textId="77777777" w:rsidR="00082EC0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FAD">
              <w:rPr>
                <w:rFonts w:ascii="Arial" w:hAnsi="Arial" w:cs="Arial"/>
                <w:sz w:val="18"/>
                <w:szCs w:val="18"/>
              </w:rPr>
              <w:t>Les supports de formation</w:t>
            </w:r>
          </w:p>
          <w:p w14:paraId="0E53899D" w14:textId="77777777" w:rsidR="00082EC0" w:rsidRPr="00735FAD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 fiches d’évaluation (Pré-Post Formation)</w:t>
            </w:r>
          </w:p>
          <w:p w14:paraId="35D30116" w14:textId="799645D0" w:rsidR="00082EC0" w:rsidRPr="006B0BE7" w:rsidRDefault="003E34A5" w:rsidP="00780842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rapport </w:t>
            </w:r>
            <w:r w:rsidR="00780842">
              <w:rPr>
                <w:rFonts w:ascii="Arial" w:hAnsi="Arial" w:cs="Arial"/>
                <w:sz w:val="18"/>
                <w:szCs w:val="18"/>
              </w:rPr>
              <w:t>de formation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074">
              <w:rPr>
                <w:rFonts w:ascii="Arial" w:hAnsi="Arial" w:cs="Arial"/>
                <w:sz w:val="18"/>
                <w:szCs w:val="18"/>
              </w:rPr>
              <w:t>annexé par des photo</w:t>
            </w:r>
            <w:r w:rsidR="009725BD">
              <w:rPr>
                <w:rFonts w:ascii="Arial" w:hAnsi="Arial" w:cs="Arial"/>
                <w:sz w:val="18"/>
                <w:szCs w:val="18"/>
              </w:rPr>
              <w:t>s</w:t>
            </w:r>
            <w:r w:rsidR="009450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2EC0">
              <w:rPr>
                <w:rFonts w:ascii="Arial" w:hAnsi="Arial" w:cs="Arial"/>
                <w:sz w:val="18"/>
                <w:szCs w:val="18"/>
              </w:rPr>
              <w:t xml:space="preserve">avec l’évaluation </w:t>
            </w:r>
            <w:r w:rsidR="00945074">
              <w:rPr>
                <w:rFonts w:ascii="Arial" w:hAnsi="Arial" w:cs="Arial"/>
                <w:sz w:val="18"/>
                <w:szCs w:val="18"/>
              </w:rPr>
              <w:t>des pré-post tests</w:t>
            </w:r>
          </w:p>
        </w:tc>
      </w:tr>
      <w:tr w:rsidR="00082EC0" w:rsidRPr="00613199" w14:paraId="7B7C0822" w14:textId="77777777" w:rsidTr="001E2DD0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CA69170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Suivi / monitoring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D262591" w14:textId="4DEDDAF5" w:rsidR="00082EC0" w:rsidRPr="00EB6D16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ACB">
              <w:rPr>
                <w:rFonts w:ascii="Arial" w:hAnsi="Arial" w:cs="Arial"/>
                <w:color w:val="000000"/>
                <w:sz w:val="18"/>
                <w:szCs w:val="18"/>
              </w:rPr>
              <w:t>La supervision 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assurée par l’équipe de TAMSS</w:t>
            </w:r>
            <w:r w:rsidR="00A64BA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82EC0" w:rsidRPr="00613199" w14:paraId="6775EF0F" w14:textId="77777777" w:rsidTr="001E2DD0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0510619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Qualifications / Expérience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44ACDD6" w14:textId="6DBBE634" w:rsidR="000774EF" w:rsidRDefault="00CF450F" w:rsidP="00780842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Une expertise notable en</w:t>
            </w:r>
            <w:r w:rsidR="000774EF" w:rsidRPr="000774E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74EF">
              <w:rPr>
                <w:rFonts w:ascii="Arial" w:hAnsi="Arial" w:cs="Arial"/>
                <w:color w:val="000000"/>
                <w:sz w:val="18"/>
                <w:szCs w:val="18"/>
              </w:rPr>
              <w:t>communication</w:t>
            </w:r>
            <w:r w:rsidR="00945074">
              <w:rPr>
                <w:rFonts w:ascii="Arial" w:hAnsi="Arial" w:cs="Arial"/>
                <w:color w:val="000000"/>
                <w:sz w:val="18"/>
                <w:szCs w:val="18"/>
              </w:rPr>
              <w:t>, leadership, gestion des conflits, etc.</w:t>
            </w:r>
            <w:r w:rsidR="00964240">
              <w:rPr>
                <w:rFonts w:ascii="Arial" w:hAnsi="Arial" w:cs="Arial"/>
                <w:color w:val="000000"/>
                <w:sz w:val="18"/>
                <w:szCs w:val="18"/>
              </w:rPr>
              <w:t> ;</w:t>
            </w:r>
          </w:p>
          <w:p w14:paraId="53264E25" w14:textId="609F775B" w:rsidR="00082EC0" w:rsidRPr="00974C71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974C71">
              <w:rPr>
                <w:rFonts w:ascii="Arial" w:hAnsi="Arial" w:cs="Arial"/>
                <w:color w:val="000000"/>
                <w:sz w:val="18"/>
                <w:szCs w:val="18"/>
              </w:rPr>
              <w:t>ne énergie et une attitude positive et constructive</w:t>
            </w:r>
            <w:r w:rsidR="00964240">
              <w:rPr>
                <w:rFonts w:ascii="Arial" w:hAnsi="Arial" w:cs="Arial"/>
                <w:color w:val="000000"/>
                <w:sz w:val="18"/>
                <w:szCs w:val="18"/>
              </w:rPr>
              <w:t> ;</w:t>
            </w:r>
          </w:p>
          <w:p w14:paraId="70397622" w14:textId="0432A818" w:rsidR="006174B8" w:rsidRPr="00C41CCA" w:rsidRDefault="00082EC0" w:rsidP="00C41CCA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52E">
              <w:rPr>
                <w:rFonts w:ascii="Arial" w:hAnsi="Arial" w:cs="Arial"/>
                <w:color w:val="000000"/>
                <w:sz w:val="18"/>
                <w:szCs w:val="18"/>
              </w:rPr>
              <w:t>Une expérience signifiante en termes de renforcement de capacités, en animation de formations basée sur les techniques interactives.</w:t>
            </w:r>
          </w:p>
        </w:tc>
      </w:tr>
      <w:tr w:rsidR="00082EC0" w:rsidRPr="00613199" w14:paraId="74370E44" w14:textId="77777777" w:rsidTr="0045481C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14:paraId="32610444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Soumission des candidatures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EED7B2B" w14:textId="77777777" w:rsidR="00082EC0" w:rsidRPr="00326D20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>Le dossier de candidature doit comporter :</w:t>
            </w:r>
          </w:p>
          <w:p w14:paraId="079B11FE" w14:textId="77777777" w:rsidR="00082EC0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Une Offre technique avec l’approche méthodologique envisagée</w:t>
            </w:r>
          </w:p>
          <w:p w14:paraId="630DE9EE" w14:textId="0AA98CE5" w:rsidR="00082EC0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Une Offre financière</w:t>
            </w:r>
          </w:p>
          <w:p w14:paraId="258EEE15" w14:textId="718B1279" w:rsidR="00A63C25" w:rsidRPr="00326D20" w:rsidRDefault="00A63C25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Support de Formation</w:t>
            </w:r>
          </w:p>
          <w:p w14:paraId="27D43331" w14:textId="77777777" w:rsidR="00082EC0" w:rsidRPr="00326D20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>Un curriculum vitae détaillé</w:t>
            </w:r>
          </w:p>
          <w:p w14:paraId="12BCAF94" w14:textId="0279B523" w:rsidR="00082EC0" w:rsidRPr="00326D20" w:rsidRDefault="00082EC0" w:rsidP="0043408B">
            <w:p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 xml:space="preserve">Date </w:t>
            </w:r>
            <w:r w:rsidR="003D4735">
              <w:rPr>
                <w:rFonts w:ascii="Arial" w:hAnsi="Arial" w:cs="Arial"/>
                <w:color w:val="000000"/>
                <w:sz w:val="18"/>
                <w:szCs w:val="18"/>
              </w:rPr>
              <w:t xml:space="preserve">limite d’envoi des </w:t>
            </w:r>
            <w:r w:rsidR="00CF450F">
              <w:rPr>
                <w:rFonts w:ascii="Arial" w:hAnsi="Arial" w:cs="Arial"/>
                <w:color w:val="000000"/>
                <w:sz w:val="18"/>
                <w:szCs w:val="18"/>
              </w:rPr>
              <w:t>candidatures :</w:t>
            </w:r>
            <w:r w:rsidR="002B0D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6F5B" w:rsidRPr="0094507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</w:t>
            </w:r>
            <w:r w:rsidR="008D67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  <w:r w:rsidR="00896F5B" w:rsidRPr="0094507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94507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</w:t>
            </w:r>
            <w:r w:rsidR="00896F5B" w:rsidRPr="0094507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ctobre 2022</w:t>
            </w:r>
            <w:r w:rsidRPr="002B0DB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BA86CE5" w14:textId="77777777" w:rsidR="00082EC0" w:rsidRPr="008E16AD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2F5496"/>
                <w:sz w:val="18"/>
                <w:szCs w:val="18"/>
              </w:rPr>
            </w:pP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 xml:space="preserve">Veuillez transmettre votre demande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 l’</w:t>
            </w: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suivante</w:t>
            </w: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r w:rsidRPr="00326D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F30">
              <w:rPr>
                <w:rFonts w:ascii="Arial" w:hAnsi="Arial" w:cs="Arial"/>
                <w:color w:val="2E74B5" w:themeColor="accent5" w:themeShade="BF"/>
                <w:sz w:val="20"/>
                <w:szCs w:val="20"/>
                <w:u w:val="single"/>
                <w:shd w:val="clear" w:color="auto" w:fill="FFFFFF"/>
              </w:rPr>
              <w:t>recrutement.tamss@gmail.com</w:t>
            </w:r>
          </w:p>
          <w:p w14:paraId="37668CDF" w14:textId="35990B81" w:rsidR="00082EC0" w:rsidRPr="00613199" w:rsidRDefault="00082EC0" w:rsidP="00780842">
            <w:p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Avec</w:t>
            </w: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 xml:space="preserve"> pour objet « Candidature</w:t>
            </w:r>
            <w:r w:rsidR="00F827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82709">
              <w:rPr>
                <w:rFonts w:ascii="Arial" w:hAnsi="Arial" w:cs="Arial"/>
                <w:sz w:val="18"/>
                <w:szCs w:val="18"/>
              </w:rPr>
              <w:t>E</w:t>
            </w:r>
            <w:r w:rsidR="00F82709" w:rsidRPr="003E34A5">
              <w:rPr>
                <w:rFonts w:ascii="Arial" w:hAnsi="Arial" w:cs="Arial"/>
                <w:sz w:val="18"/>
                <w:szCs w:val="18"/>
              </w:rPr>
              <w:t>xpert(e) en</w:t>
            </w:r>
            <w:r w:rsidR="00D27D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0842">
              <w:rPr>
                <w:rFonts w:ascii="Arial" w:hAnsi="Arial" w:cs="Arial"/>
                <w:sz w:val="18"/>
                <w:szCs w:val="18"/>
              </w:rPr>
              <w:t>Soft Skills</w:t>
            </w:r>
            <w:r w:rsidR="00D27D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>– Votre nom et prénom).</w:t>
            </w:r>
          </w:p>
        </w:tc>
      </w:tr>
    </w:tbl>
    <w:p w14:paraId="7F2B3CF0" w14:textId="77777777" w:rsidR="00082EC0" w:rsidRPr="00E52499" w:rsidRDefault="00082EC0" w:rsidP="00082EC0">
      <w:pPr>
        <w:rPr>
          <w:sz w:val="16"/>
          <w:szCs w:val="16"/>
        </w:rPr>
      </w:pPr>
    </w:p>
    <w:p w14:paraId="38CDB54E" w14:textId="77777777" w:rsidR="00082EC0" w:rsidRPr="00E52499" w:rsidRDefault="00082EC0" w:rsidP="00082EC0">
      <w:pPr>
        <w:rPr>
          <w:sz w:val="16"/>
          <w:szCs w:val="16"/>
        </w:rPr>
      </w:pPr>
    </w:p>
    <w:p w14:paraId="46B13D63" w14:textId="77777777" w:rsidR="00082EC0" w:rsidRPr="00185377" w:rsidRDefault="00082EC0" w:rsidP="00082EC0">
      <w:pPr>
        <w:rPr>
          <w:sz w:val="16"/>
          <w:szCs w:val="16"/>
        </w:rPr>
      </w:pPr>
    </w:p>
    <w:p w14:paraId="188CE6D1" w14:textId="77777777" w:rsidR="00082EC0" w:rsidRPr="00B33075" w:rsidRDefault="00082EC0" w:rsidP="00082EC0"/>
    <w:p w14:paraId="653F37B0" w14:textId="11C411D2" w:rsidR="00600252" w:rsidRPr="006F1DDE" w:rsidRDefault="00600252" w:rsidP="006F1DDE">
      <w:pPr>
        <w:rPr>
          <w:rFonts w:ascii="Calibri" w:hAnsi="Calibri" w:cs="Calibri"/>
          <w:sz w:val="28"/>
          <w:szCs w:val="28"/>
          <w:lang w:eastAsia="it-IT"/>
        </w:rPr>
      </w:pPr>
    </w:p>
    <w:sectPr w:rsidR="00600252" w:rsidRPr="006F1DDE" w:rsidSect="00F8270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AFC7" w14:textId="77777777" w:rsidR="00C3773C" w:rsidRDefault="00C3773C" w:rsidP="00600252">
      <w:pPr>
        <w:spacing w:after="0" w:line="240" w:lineRule="auto"/>
      </w:pPr>
      <w:r>
        <w:separator/>
      </w:r>
    </w:p>
  </w:endnote>
  <w:endnote w:type="continuationSeparator" w:id="0">
    <w:p w14:paraId="077C73D3" w14:textId="77777777" w:rsidR="00C3773C" w:rsidRDefault="00C3773C" w:rsidP="0060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AA18" w14:textId="77777777" w:rsidR="00C3773C" w:rsidRDefault="00C3773C" w:rsidP="00600252">
      <w:pPr>
        <w:spacing w:after="0" w:line="240" w:lineRule="auto"/>
      </w:pPr>
      <w:r>
        <w:separator/>
      </w:r>
    </w:p>
  </w:footnote>
  <w:footnote w:type="continuationSeparator" w:id="0">
    <w:p w14:paraId="08E05337" w14:textId="77777777" w:rsidR="00C3773C" w:rsidRDefault="00C3773C" w:rsidP="0060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79A4" w14:textId="26C345D9" w:rsidR="00B51312" w:rsidRDefault="00B51312">
    <w:pPr>
      <w:pStyle w:val="En-tte"/>
    </w:pPr>
    <w:r w:rsidRPr="00B51312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9349BF1" wp14:editId="185EBE47">
          <wp:simplePos x="0" y="0"/>
          <wp:positionH relativeFrom="margin">
            <wp:posOffset>1814830</wp:posOffset>
          </wp:positionH>
          <wp:positionV relativeFrom="margin">
            <wp:posOffset>-699770</wp:posOffset>
          </wp:positionV>
          <wp:extent cx="1769745" cy="666750"/>
          <wp:effectExtent l="0" t="0" r="1905" b="0"/>
          <wp:wrapSquare wrapText="bothSides"/>
          <wp:docPr id="4" name="Image 4" descr="C:\Users\Wissal Sakri\Desktop\Projet LEAD\Communications\logo_spark_cobalt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ssal Sakri\Desktop\Projet LEAD\Communications\logo_spark_cobaltbl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9" t="29467" r="11696" b="30540"/>
                  <a:stretch/>
                </pic:blipFill>
                <pic:spPr bwMode="auto">
                  <a:xfrm>
                    <a:off x="0" y="0"/>
                    <a:ext cx="17697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51312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C935301" wp14:editId="4A5E2282">
          <wp:simplePos x="0" y="0"/>
          <wp:positionH relativeFrom="margin">
            <wp:posOffset>4314825</wp:posOffset>
          </wp:positionH>
          <wp:positionV relativeFrom="margin">
            <wp:posOffset>-746125</wp:posOffset>
          </wp:positionV>
          <wp:extent cx="2578100" cy="812165"/>
          <wp:effectExtent l="0" t="0" r="0" b="0"/>
          <wp:wrapSquare wrapText="bothSides"/>
          <wp:docPr id="5" name="Image 5" descr="C:\Users\Wissal Sakri\Desktop\Projet LEAD\Communications\Donor - NLMF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ssal Sakri\Desktop\Projet LEAD\Communications\Donor - NLMFA 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86" b="17766"/>
                  <a:stretch/>
                </pic:blipFill>
                <pic:spPr bwMode="auto">
                  <a:xfrm>
                    <a:off x="0" y="0"/>
                    <a:ext cx="257810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131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3F3EC21" wp14:editId="538EC192">
          <wp:simplePos x="0" y="0"/>
          <wp:positionH relativeFrom="margin">
            <wp:posOffset>-762000</wp:posOffset>
          </wp:positionH>
          <wp:positionV relativeFrom="margin">
            <wp:posOffset>-698500</wp:posOffset>
          </wp:positionV>
          <wp:extent cx="1776730" cy="65722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E96"/>
    <w:multiLevelType w:val="multilevel"/>
    <w:tmpl w:val="4F9E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A2A20"/>
    <w:multiLevelType w:val="multilevel"/>
    <w:tmpl w:val="87F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53D72"/>
    <w:multiLevelType w:val="multilevel"/>
    <w:tmpl w:val="DC66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C5095"/>
    <w:multiLevelType w:val="hybridMultilevel"/>
    <w:tmpl w:val="82AA47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40F50"/>
    <w:multiLevelType w:val="hybridMultilevel"/>
    <w:tmpl w:val="E27EC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30517">
    <w:abstractNumId w:val="4"/>
  </w:num>
  <w:num w:numId="2" w16cid:durableId="1694106921">
    <w:abstractNumId w:val="1"/>
  </w:num>
  <w:num w:numId="3" w16cid:durableId="1913930637">
    <w:abstractNumId w:val="0"/>
  </w:num>
  <w:num w:numId="4" w16cid:durableId="166017038">
    <w:abstractNumId w:val="3"/>
  </w:num>
  <w:num w:numId="5" w16cid:durableId="1980457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48"/>
    <w:rsid w:val="00005D2A"/>
    <w:rsid w:val="000351C7"/>
    <w:rsid w:val="00053D2A"/>
    <w:rsid w:val="000774EF"/>
    <w:rsid w:val="00082EC0"/>
    <w:rsid w:val="000A495D"/>
    <w:rsid w:val="000C03FE"/>
    <w:rsid w:val="000C6936"/>
    <w:rsid w:val="000F42A2"/>
    <w:rsid w:val="00121D02"/>
    <w:rsid w:val="00165757"/>
    <w:rsid w:val="001A6F48"/>
    <w:rsid w:val="00202D0D"/>
    <w:rsid w:val="002110CF"/>
    <w:rsid w:val="002418E9"/>
    <w:rsid w:val="00252DF8"/>
    <w:rsid w:val="00272D14"/>
    <w:rsid w:val="00282324"/>
    <w:rsid w:val="002A3F30"/>
    <w:rsid w:val="002A43C3"/>
    <w:rsid w:val="002B0DB5"/>
    <w:rsid w:val="002B2A48"/>
    <w:rsid w:val="002D40BA"/>
    <w:rsid w:val="00304670"/>
    <w:rsid w:val="003424C6"/>
    <w:rsid w:val="003D4735"/>
    <w:rsid w:val="003E34A5"/>
    <w:rsid w:val="0043408B"/>
    <w:rsid w:val="0045481C"/>
    <w:rsid w:val="004601A5"/>
    <w:rsid w:val="00541162"/>
    <w:rsid w:val="00556543"/>
    <w:rsid w:val="005917FC"/>
    <w:rsid w:val="005C10CB"/>
    <w:rsid w:val="005C64E3"/>
    <w:rsid w:val="005D0219"/>
    <w:rsid w:val="005D3E50"/>
    <w:rsid w:val="00600252"/>
    <w:rsid w:val="00606BA6"/>
    <w:rsid w:val="006174B8"/>
    <w:rsid w:val="00692974"/>
    <w:rsid w:val="006D2649"/>
    <w:rsid w:val="006F1DDE"/>
    <w:rsid w:val="006F48EE"/>
    <w:rsid w:val="00780842"/>
    <w:rsid w:val="007B0FC4"/>
    <w:rsid w:val="007B3074"/>
    <w:rsid w:val="007D34B2"/>
    <w:rsid w:val="008124AA"/>
    <w:rsid w:val="008137A8"/>
    <w:rsid w:val="00820D7E"/>
    <w:rsid w:val="00845625"/>
    <w:rsid w:val="0086568E"/>
    <w:rsid w:val="0088300B"/>
    <w:rsid w:val="00894FDB"/>
    <w:rsid w:val="00896F5B"/>
    <w:rsid w:val="008974E7"/>
    <w:rsid w:val="008A3A09"/>
    <w:rsid w:val="008D67D3"/>
    <w:rsid w:val="008D7F20"/>
    <w:rsid w:val="00936989"/>
    <w:rsid w:val="00945074"/>
    <w:rsid w:val="00953D1A"/>
    <w:rsid w:val="00964240"/>
    <w:rsid w:val="009725BD"/>
    <w:rsid w:val="00A306CD"/>
    <w:rsid w:val="00A63C25"/>
    <w:rsid w:val="00A64BA0"/>
    <w:rsid w:val="00AA350A"/>
    <w:rsid w:val="00AA7E17"/>
    <w:rsid w:val="00B21850"/>
    <w:rsid w:val="00B51312"/>
    <w:rsid w:val="00B52A29"/>
    <w:rsid w:val="00B80ED3"/>
    <w:rsid w:val="00BB1AD1"/>
    <w:rsid w:val="00BE4076"/>
    <w:rsid w:val="00BF4819"/>
    <w:rsid w:val="00BF54B3"/>
    <w:rsid w:val="00C3773C"/>
    <w:rsid w:val="00C41CCA"/>
    <w:rsid w:val="00C47003"/>
    <w:rsid w:val="00C54666"/>
    <w:rsid w:val="00C646E7"/>
    <w:rsid w:val="00CA71B7"/>
    <w:rsid w:val="00CC1106"/>
    <w:rsid w:val="00CF450F"/>
    <w:rsid w:val="00D27DBF"/>
    <w:rsid w:val="00D73079"/>
    <w:rsid w:val="00D91849"/>
    <w:rsid w:val="00DA5ACF"/>
    <w:rsid w:val="00DA716E"/>
    <w:rsid w:val="00DB7472"/>
    <w:rsid w:val="00DC5CEC"/>
    <w:rsid w:val="00E0379B"/>
    <w:rsid w:val="00E049F5"/>
    <w:rsid w:val="00E1106D"/>
    <w:rsid w:val="00E34D04"/>
    <w:rsid w:val="00E369C3"/>
    <w:rsid w:val="00F2185E"/>
    <w:rsid w:val="00F300C6"/>
    <w:rsid w:val="00F31B80"/>
    <w:rsid w:val="00F82709"/>
    <w:rsid w:val="00FC04E6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67379"/>
  <w15:chartTrackingRefBased/>
  <w15:docId w15:val="{05CE9268-8EDB-477D-85AC-BB731454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252"/>
  </w:style>
  <w:style w:type="paragraph" w:styleId="Pieddepage">
    <w:name w:val="footer"/>
    <w:basedOn w:val="Normal"/>
    <w:link w:val="PieddepageCar"/>
    <w:uiPriority w:val="99"/>
    <w:unhideWhenUsed/>
    <w:rsid w:val="006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252"/>
  </w:style>
  <w:style w:type="character" w:styleId="Lienhypertexte">
    <w:name w:val="Hyperlink"/>
    <w:uiPriority w:val="99"/>
    <w:unhideWhenUsed/>
    <w:rsid w:val="00600252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00252"/>
    <w:pPr>
      <w:spacing w:after="0" w:line="240" w:lineRule="auto"/>
      <w:jc w:val="both"/>
    </w:pPr>
    <w:rPr>
      <w:rFonts w:ascii="Arial" w:eastAsia="SimSun" w:hAnsi="Arial" w:cs="Times New Roman"/>
      <w:snapToGrid w:val="0"/>
      <w:color w:val="00000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600252"/>
    <w:rPr>
      <w:rFonts w:ascii="Arial" w:eastAsia="SimSun" w:hAnsi="Arial" w:cs="Times New Roman"/>
      <w:snapToGrid w:val="0"/>
      <w:color w:val="000000"/>
      <w:sz w:val="20"/>
      <w:szCs w:val="20"/>
      <w:lang w:val="fr-FR"/>
    </w:rPr>
  </w:style>
  <w:style w:type="paragraph" w:styleId="Sansinterligne">
    <w:name w:val="No Spacing"/>
    <w:uiPriority w:val="1"/>
    <w:qFormat/>
    <w:rsid w:val="007D34B2"/>
    <w:pPr>
      <w:spacing w:after="0" w:line="240" w:lineRule="auto"/>
    </w:pPr>
  </w:style>
  <w:style w:type="character" w:customStyle="1" w:styleId="markedcontent">
    <w:name w:val="markedcontent"/>
    <w:basedOn w:val="Policepardfaut"/>
    <w:rsid w:val="0027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 Yedder</dc:creator>
  <cp:keywords/>
  <dc:description/>
  <cp:lastModifiedBy>Wissal Sakri</cp:lastModifiedBy>
  <cp:revision>4</cp:revision>
  <dcterms:created xsi:type="dcterms:W3CDTF">2022-10-17T09:04:00Z</dcterms:created>
  <dcterms:modified xsi:type="dcterms:W3CDTF">2022-10-18T09:46:00Z</dcterms:modified>
</cp:coreProperties>
</file>