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FAD" w14:textId="0F45FF91" w:rsidR="00600252" w:rsidRDefault="00A659FD" w:rsidP="007D34B2">
      <w:pPr>
        <w:rPr>
          <w:sz w:val="24"/>
          <w:szCs w:val="24"/>
        </w:rPr>
      </w:pPr>
      <w:r w:rsidRPr="00E60EF7">
        <w:rPr>
          <w:rFonts w:eastAsia="Times New Roman" w:cs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37D7124" wp14:editId="058853DD">
            <wp:simplePos x="0" y="0"/>
            <wp:positionH relativeFrom="margin">
              <wp:posOffset>1990725</wp:posOffset>
            </wp:positionH>
            <wp:positionV relativeFrom="margin">
              <wp:posOffset>273685</wp:posOffset>
            </wp:positionV>
            <wp:extent cx="1557655" cy="561975"/>
            <wp:effectExtent l="0" t="0" r="4445" b="9525"/>
            <wp:wrapSquare wrapText="bothSides"/>
            <wp:docPr id="2" name="Image 2" descr="C:\Users\Wissal Sakri\Desktop\Projet LEAD\Communications\198426287_2245187535615680_266902737036639173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sal Sakri\Desktop\Projet LEAD\Communications\198426287_2245187535615680_2669027370366391739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0" t="38205" r="24264" b="36168"/>
                    <a:stretch/>
                  </pic:blipFill>
                  <pic:spPr bwMode="auto">
                    <a:xfrm>
                      <a:off x="0" y="0"/>
                      <a:ext cx="15576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4F4571" w14:textId="63AA1720" w:rsidR="00A659FD" w:rsidRDefault="00A659FD" w:rsidP="00A659FD">
      <w:pPr>
        <w:jc w:val="center"/>
        <w:rPr>
          <w:sz w:val="24"/>
          <w:szCs w:val="24"/>
        </w:rPr>
      </w:pPr>
    </w:p>
    <w:p w14:paraId="7300625D" w14:textId="77777777" w:rsidR="00A659FD" w:rsidRDefault="00A659FD" w:rsidP="007D34B2">
      <w:pPr>
        <w:rPr>
          <w:sz w:val="24"/>
          <w:szCs w:val="24"/>
        </w:rPr>
      </w:pPr>
    </w:p>
    <w:p w14:paraId="6F745AD8" w14:textId="77777777" w:rsidR="006F1DDE" w:rsidRPr="003E34A5" w:rsidRDefault="006F1DDE" w:rsidP="007D34B2">
      <w:pPr>
        <w:rPr>
          <w:sz w:val="2"/>
          <w:szCs w:val="2"/>
        </w:rPr>
      </w:pPr>
    </w:p>
    <w:p w14:paraId="4CC52312" w14:textId="212E1B28" w:rsidR="00082EC0" w:rsidRDefault="00082EC0" w:rsidP="00082EC0">
      <w:pPr>
        <w:jc w:val="center"/>
        <w:rPr>
          <w:rFonts w:ascii="Arial" w:hAnsi="Arial"/>
          <w:b/>
          <w:bCs/>
          <w:sz w:val="36"/>
          <w:u w:val="single"/>
        </w:rPr>
      </w:pPr>
      <w:r w:rsidRPr="00107EBD">
        <w:rPr>
          <w:rFonts w:ascii="Arial" w:hAnsi="Arial"/>
          <w:b/>
          <w:bCs/>
          <w:sz w:val="36"/>
          <w:u w:val="single"/>
        </w:rPr>
        <w:t>TERMES DE REFERENCE</w:t>
      </w:r>
    </w:p>
    <w:p w14:paraId="00D49D2F" w14:textId="77777777" w:rsidR="003424C6" w:rsidRPr="007D7240" w:rsidRDefault="003424C6" w:rsidP="00082EC0">
      <w:pPr>
        <w:jc w:val="center"/>
        <w:rPr>
          <w:rFonts w:ascii="Arial" w:hAnsi="Arial"/>
          <w:b/>
          <w:bCs/>
          <w:sz w:val="2"/>
          <w:szCs w:val="2"/>
          <w:u w:val="single"/>
        </w:rPr>
      </w:pPr>
    </w:p>
    <w:p w14:paraId="41DF5104" w14:textId="7C7509E4" w:rsidR="00082EC0" w:rsidRDefault="00082EC0" w:rsidP="00E071C7">
      <w:pPr>
        <w:jc w:val="center"/>
        <w:rPr>
          <w:b/>
          <w:bCs/>
          <w:sz w:val="28"/>
          <w:szCs w:val="28"/>
        </w:rPr>
      </w:pPr>
      <w:r w:rsidRPr="003E34A5">
        <w:rPr>
          <w:b/>
          <w:bCs/>
          <w:sz w:val="28"/>
          <w:szCs w:val="28"/>
        </w:rPr>
        <w:t xml:space="preserve">Pour le recrutement d’un </w:t>
      </w:r>
      <w:r w:rsidR="003424C6" w:rsidRPr="003E34A5">
        <w:rPr>
          <w:b/>
          <w:bCs/>
          <w:sz w:val="28"/>
          <w:szCs w:val="28"/>
        </w:rPr>
        <w:t>expert</w:t>
      </w:r>
      <w:r w:rsidRPr="003E34A5">
        <w:rPr>
          <w:b/>
          <w:bCs/>
          <w:sz w:val="28"/>
          <w:szCs w:val="28"/>
        </w:rPr>
        <w:t xml:space="preserve">(e) </w:t>
      </w:r>
      <w:r w:rsidR="003424C6" w:rsidRPr="003E34A5">
        <w:rPr>
          <w:b/>
          <w:bCs/>
          <w:sz w:val="28"/>
          <w:szCs w:val="28"/>
        </w:rPr>
        <w:t xml:space="preserve">en </w:t>
      </w:r>
      <w:r w:rsidR="00765D15">
        <w:rPr>
          <w:b/>
          <w:bCs/>
          <w:sz w:val="28"/>
          <w:szCs w:val="28"/>
        </w:rPr>
        <w:t xml:space="preserve">Gestion d’entreprise </w:t>
      </w:r>
      <w:r w:rsidR="00B96195">
        <w:rPr>
          <w:b/>
          <w:bCs/>
          <w:sz w:val="28"/>
          <w:szCs w:val="28"/>
        </w:rPr>
        <w:t xml:space="preserve">pour les femmes entrepreneures </w:t>
      </w:r>
      <w:r w:rsidR="00B96195" w:rsidRPr="003E34A5">
        <w:rPr>
          <w:b/>
          <w:bCs/>
          <w:sz w:val="28"/>
          <w:szCs w:val="28"/>
        </w:rPr>
        <w:t xml:space="preserve">dans le </w:t>
      </w:r>
      <w:r w:rsidR="00B96195" w:rsidRPr="000C6936">
        <w:rPr>
          <w:b/>
          <w:bCs/>
          <w:sz w:val="28"/>
          <w:szCs w:val="28"/>
        </w:rPr>
        <w:t>Grand Tunis</w:t>
      </w:r>
    </w:p>
    <w:p w14:paraId="4A4507F7" w14:textId="77777777" w:rsidR="007D7240" w:rsidRPr="007D7240" w:rsidRDefault="007D7240" w:rsidP="00E071C7">
      <w:pPr>
        <w:jc w:val="center"/>
        <w:rPr>
          <w:b/>
          <w:bCs/>
          <w:sz w:val="2"/>
          <w:szCs w:val="2"/>
        </w:rPr>
      </w:pPr>
    </w:p>
    <w:tbl>
      <w:tblPr>
        <w:tblW w:w="10481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71"/>
        <w:gridCol w:w="7710"/>
      </w:tblGrid>
      <w:tr w:rsidR="00082EC0" w:rsidRPr="00613199" w14:paraId="734D5922" w14:textId="77777777" w:rsidTr="001E2DD0">
        <w:trPr>
          <w:trHeight w:val="216"/>
          <w:jc w:val="center"/>
        </w:trPr>
        <w:tc>
          <w:tcPr>
            <w:tcW w:w="10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F33DA60" w14:textId="77777777" w:rsidR="00082EC0" w:rsidRPr="00613199" w:rsidRDefault="00082EC0" w:rsidP="001E2DD0">
            <w:pPr>
              <w:tabs>
                <w:tab w:val="left" w:pos="-720"/>
              </w:tabs>
              <w:suppressAutoHyphens/>
              <w:spacing w:before="109" w:after="54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3199">
              <w:rPr>
                <w:rFonts w:ascii="Arial" w:hAnsi="Arial" w:cs="Arial"/>
                <w:b/>
                <w:sz w:val="18"/>
                <w:szCs w:val="18"/>
              </w:rPr>
              <w:t>TERMES DE REFERENCE</w:t>
            </w:r>
          </w:p>
        </w:tc>
      </w:tr>
      <w:tr w:rsidR="00082EC0" w:rsidRPr="00613199" w14:paraId="342FE298" w14:textId="77777777" w:rsidTr="00082EC0">
        <w:tblPrEx>
          <w:tblCellMar>
            <w:left w:w="148" w:type="dxa"/>
            <w:right w:w="148" w:type="dxa"/>
          </w:tblCellMar>
        </w:tblPrEx>
        <w:trPr>
          <w:trHeight w:val="382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764DC6B8" w14:textId="77777777" w:rsidR="005C64E3" w:rsidRPr="00692974" w:rsidRDefault="005C64E3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9615965" w14:textId="170357D8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Structure/Organisation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AF7533" w14:textId="47486CB9" w:rsidR="00082EC0" w:rsidRPr="00FC04E6" w:rsidRDefault="00082EC0" w:rsidP="00082EC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C04E6">
              <w:rPr>
                <w:rFonts w:ascii="Arial" w:hAnsi="Arial" w:cs="Arial"/>
                <w:b/>
                <w:bCs/>
                <w:sz w:val="18"/>
                <w:szCs w:val="18"/>
              </w:rPr>
              <w:t>L’association Tunisienne de Gestion et de Stabilité Sociale (TAMSS)</w:t>
            </w:r>
          </w:p>
        </w:tc>
      </w:tr>
      <w:tr w:rsidR="00082EC0" w:rsidRPr="00613199" w14:paraId="4AA05A93" w14:textId="77777777" w:rsidTr="00082EC0">
        <w:tblPrEx>
          <w:tblCellMar>
            <w:left w:w="148" w:type="dxa"/>
            <w:right w:w="148" w:type="dxa"/>
          </w:tblCellMar>
        </w:tblPrEx>
        <w:trPr>
          <w:trHeight w:val="478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A3770D6" w14:textId="77777777" w:rsidR="00DB7472" w:rsidRPr="00DB7472" w:rsidRDefault="00DB7472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C14BC7C" w14:textId="72E94636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Sujet de la consultation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28F9DAA" w14:textId="5AEDA368" w:rsidR="00082EC0" w:rsidRPr="00A15628" w:rsidRDefault="003E34A5" w:rsidP="001A0577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E34A5">
              <w:rPr>
                <w:rFonts w:ascii="Arial" w:hAnsi="Arial" w:cs="Arial"/>
                <w:sz w:val="18"/>
                <w:szCs w:val="18"/>
              </w:rPr>
              <w:t xml:space="preserve">xpert(e) en </w:t>
            </w:r>
            <w:r w:rsidR="001A0577">
              <w:rPr>
                <w:rFonts w:ascii="Arial" w:hAnsi="Arial" w:cs="Arial"/>
                <w:sz w:val="18"/>
                <w:szCs w:val="18"/>
              </w:rPr>
              <w:t>Gestion d’entreprise</w:t>
            </w:r>
            <w:r w:rsidRPr="003E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EA">
              <w:rPr>
                <w:rFonts w:ascii="Arial" w:hAnsi="Arial" w:cs="Arial"/>
                <w:sz w:val="18"/>
                <w:szCs w:val="18"/>
              </w:rPr>
              <w:t xml:space="preserve">pour les projets/ initiatives ESS dans le Grand </w:t>
            </w:r>
            <w:r w:rsidR="00DE06EA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DE06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2EC0" w:rsidRPr="00613199" w14:paraId="172ABFA6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4BF8EC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Contexte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2DEA83F" w14:textId="77777777" w:rsidR="00DB7472" w:rsidRPr="00DB7472" w:rsidRDefault="00DB7472" w:rsidP="00082EC0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AD4ADB8" w14:textId="1FB0F581" w:rsidR="00075250" w:rsidRDefault="00075250" w:rsidP="00075250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Employment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Africa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LEAD, est un projet mis en œuvre par l’ONG SPARK en partenariat avec l’association TMASS en Tunisie et financé par le </w:t>
            </w:r>
            <w:r w:rsidR="00DE06EA">
              <w:rPr>
                <w:rFonts w:ascii="Arial" w:hAnsi="Arial" w:cs="Arial"/>
                <w:sz w:val="18"/>
                <w:szCs w:val="18"/>
              </w:rPr>
              <w:t>ministère</w:t>
            </w:r>
            <w:r>
              <w:rPr>
                <w:rFonts w:ascii="Arial" w:hAnsi="Arial" w:cs="Arial"/>
                <w:sz w:val="18"/>
                <w:szCs w:val="18"/>
              </w:rPr>
              <w:t xml:space="preserve"> des Affaires Étrangères Hollandais. En vue de renforcer et de créer de nouvelles opportunités d’emploi, LEAD soutient la création d’entreprises et la croissance des PME par la mise à disposition d’un accompagnement et un meilleur accès au financement et aux marchés, en particulier aux jeunes et femmes dans les régions vulnérables. </w:t>
            </w:r>
          </w:p>
          <w:p w14:paraId="1EA8F6B8" w14:textId="77777777" w:rsidR="00082EC0" w:rsidRPr="00E02936" w:rsidRDefault="00082EC0" w:rsidP="00082EC0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6FDE25C" w14:textId="505F0033" w:rsidR="00082EC0" w:rsidRDefault="00082EC0" w:rsidP="007B44B3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EC0">
              <w:rPr>
                <w:rFonts w:ascii="Arial" w:hAnsi="Arial" w:cs="Arial"/>
                <w:sz w:val="18"/>
                <w:szCs w:val="18"/>
              </w:rPr>
              <w:t>Pour cela, l’association prévoit le recr</w:t>
            </w:r>
            <w:r w:rsidR="00304670">
              <w:rPr>
                <w:rFonts w:ascii="Arial" w:hAnsi="Arial" w:cs="Arial"/>
                <w:sz w:val="18"/>
                <w:szCs w:val="18"/>
              </w:rPr>
              <w:t>utement d’un</w:t>
            </w:r>
            <w:r w:rsidR="003E34A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3E34A5" w:rsidRPr="003E34A5">
              <w:rPr>
                <w:rFonts w:ascii="Arial" w:hAnsi="Arial" w:cs="Arial"/>
                <w:sz w:val="18"/>
                <w:szCs w:val="18"/>
              </w:rPr>
              <w:t>xpert(e)</w:t>
            </w:r>
            <w:r w:rsidR="00304670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7B44B3">
              <w:rPr>
                <w:rFonts w:ascii="Arial" w:hAnsi="Arial" w:cs="Arial"/>
                <w:sz w:val="18"/>
                <w:szCs w:val="18"/>
              </w:rPr>
              <w:t xml:space="preserve">gestion d’entreprise </w:t>
            </w:r>
            <w:r w:rsidR="00304670">
              <w:rPr>
                <w:rFonts w:ascii="Arial" w:hAnsi="Arial" w:cs="Arial"/>
                <w:sz w:val="18"/>
                <w:szCs w:val="18"/>
              </w:rPr>
              <w:t xml:space="preserve">des projets/ </w:t>
            </w:r>
            <w:r w:rsidR="000C6936">
              <w:rPr>
                <w:rFonts w:ascii="Arial" w:hAnsi="Arial" w:cs="Arial"/>
                <w:sz w:val="18"/>
                <w:szCs w:val="18"/>
              </w:rPr>
              <w:t>initiatives</w:t>
            </w:r>
            <w:r w:rsidR="00A63C25">
              <w:rPr>
                <w:rFonts w:ascii="Arial" w:hAnsi="Arial" w:cs="Arial"/>
                <w:sz w:val="18"/>
                <w:szCs w:val="18"/>
              </w:rPr>
              <w:t xml:space="preserve"> ESS dans le </w:t>
            </w:r>
            <w:r w:rsidR="007D7240">
              <w:rPr>
                <w:rFonts w:ascii="Arial" w:hAnsi="Arial" w:cs="Arial"/>
                <w:sz w:val="18"/>
                <w:szCs w:val="18"/>
              </w:rPr>
              <w:t xml:space="preserve">Grand </w:t>
            </w:r>
            <w:r w:rsidR="00A63C25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DB74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B51D1D" w14:textId="17B006B4" w:rsidR="00DB7472" w:rsidRPr="00DB7472" w:rsidRDefault="00DB7472" w:rsidP="003E34A5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2EC0" w:rsidRPr="00613199" w14:paraId="08751691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E06FC2C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Tâches et responsabilités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78AE623" w14:textId="77777777" w:rsidR="00E92436" w:rsidRPr="009C108B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206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Proposer un programme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formation,</w:t>
            </w:r>
          </w:p>
          <w:p w14:paraId="06ABB88A" w14:textId="5DEEABFE" w:rsidR="00E92436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672">
              <w:rPr>
                <w:rFonts w:ascii="Arial" w:hAnsi="Arial" w:cs="Arial"/>
                <w:color w:val="000000"/>
                <w:sz w:val="18"/>
                <w:szCs w:val="18"/>
              </w:rPr>
              <w:t xml:space="preserve">Réaliser une </w:t>
            </w:r>
            <w:r w:rsidR="00F07BF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07672">
              <w:rPr>
                <w:rFonts w:ascii="Arial" w:hAnsi="Arial" w:cs="Arial"/>
                <w:color w:val="000000"/>
                <w:sz w:val="18"/>
                <w:szCs w:val="18"/>
              </w:rPr>
              <w:t xml:space="preserve">nalyse des </w:t>
            </w:r>
            <w:r w:rsidR="00F07BF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E07672">
              <w:rPr>
                <w:rFonts w:ascii="Arial" w:hAnsi="Arial" w:cs="Arial"/>
                <w:color w:val="000000"/>
                <w:sz w:val="18"/>
                <w:szCs w:val="18"/>
              </w:rPr>
              <w:t xml:space="preserve">esoins de </w:t>
            </w:r>
            <w:r w:rsidR="00F07BF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07672">
              <w:rPr>
                <w:rFonts w:ascii="Arial" w:hAnsi="Arial" w:cs="Arial"/>
                <w:color w:val="000000"/>
                <w:sz w:val="18"/>
                <w:szCs w:val="18"/>
              </w:rPr>
              <w:t>ormation</w:t>
            </w:r>
            <w:r w:rsidRPr="009C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4D34839" w14:textId="77777777" w:rsidR="00E92436" w:rsidRPr="009C108B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08B">
              <w:rPr>
                <w:rFonts w:ascii="Arial" w:hAnsi="Arial" w:cs="Arial"/>
                <w:color w:val="000000"/>
                <w:sz w:val="18"/>
                <w:szCs w:val="18"/>
              </w:rPr>
              <w:t>Proposer des supports de formation comprenant des exercices pratiques</w:t>
            </w:r>
          </w:p>
          <w:p w14:paraId="38866E20" w14:textId="77777777" w:rsidR="00E92436" w:rsidRPr="009C108B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08B">
              <w:rPr>
                <w:rFonts w:ascii="Arial" w:hAnsi="Arial" w:cs="Arial"/>
                <w:color w:val="000000"/>
                <w:sz w:val="18"/>
                <w:szCs w:val="18"/>
              </w:rPr>
              <w:t>Proposer des outils d’évaluation des connaissances des participantes</w:t>
            </w:r>
          </w:p>
          <w:p w14:paraId="183B9D0A" w14:textId="77777777" w:rsidR="00E92436" w:rsidRPr="00CD0206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206">
              <w:rPr>
                <w:rFonts w:ascii="Arial" w:hAnsi="Arial" w:cs="Arial"/>
                <w:color w:val="000000"/>
                <w:sz w:val="18"/>
                <w:szCs w:val="18"/>
              </w:rPr>
              <w:t>Elaborer un rapport de formation comprenant des recommandations</w:t>
            </w:r>
          </w:p>
          <w:p w14:paraId="42045330" w14:textId="77777777" w:rsidR="00E92436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66E">
              <w:rPr>
                <w:rFonts w:ascii="Arial" w:hAnsi="Arial" w:cs="Arial"/>
                <w:color w:val="000000"/>
                <w:sz w:val="18"/>
                <w:szCs w:val="18"/>
              </w:rPr>
              <w:t>Identifier les processus utiles pour le manager de projet (coûts, délais, contenu, risques)</w:t>
            </w:r>
          </w:p>
          <w:p w14:paraId="3AF82803" w14:textId="77777777" w:rsidR="00E92436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66E">
              <w:rPr>
                <w:rFonts w:ascii="Arial" w:hAnsi="Arial" w:cs="Arial"/>
                <w:color w:val="000000"/>
                <w:sz w:val="18"/>
                <w:szCs w:val="18"/>
              </w:rPr>
              <w:t>Appréhender la nature humaine (nature et rôle des structures, la prise de décision, RH)</w:t>
            </w:r>
          </w:p>
          <w:p w14:paraId="4E4D59A6" w14:textId="5D23D12E" w:rsidR="00082EC0" w:rsidRPr="00845625" w:rsidRDefault="00E92436" w:rsidP="00E9243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6E">
              <w:rPr>
                <w:rFonts w:ascii="Arial" w:hAnsi="Arial" w:cs="Arial"/>
                <w:color w:val="000000"/>
                <w:sz w:val="18"/>
                <w:szCs w:val="18"/>
              </w:rPr>
              <w:t>Le système relationnel d’un projet et la communication (gestion du temps, planning)</w:t>
            </w:r>
          </w:p>
        </w:tc>
      </w:tr>
      <w:tr w:rsidR="00082EC0" w:rsidRPr="00613199" w14:paraId="724D7365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EEF635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Période et conditions du contrat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1B51A" w14:textId="1EBB8FC1" w:rsidR="000C03FE" w:rsidRPr="00AA7E17" w:rsidRDefault="00082EC0" w:rsidP="00011DC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DCF">
              <w:rPr>
                <w:rFonts w:ascii="Arial" w:hAnsi="Arial" w:cs="Arial"/>
                <w:sz w:val="18"/>
                <w:szCs w:val="18"/>
              </w:rPr>
              <w:t>Nombre de jours :</w:t>
            </w:r>
            <w:r w:rsidR="00011DCF" w:rsidRPr="00011DCF">
              <w:rPr>
                <w:rFonts w:ascii="Arial" w:hAnsi="Arial" w:cs="Arial"/>
                <w:sz w:val="18"/>
                <w:szCs w:val="18"/>
              </w:rPr>
              <w:t> </w:t>
            </w:r>
            <w:r w:rsidR="007D7240">
              <w:rPr>
                <w:rFonts w:ascii="Arial" w:hAnsi="Arial" w:cs="Arial"/>
                <w:sz w:val="18"/>
                <w:szCs w:val="18"/>
              </w:rPr>
              <w:t>5</w:t>
            </w:r>
            <w:r w:rsidRPr="00011DCF">
              <w:rPr>
                <w:rFonts w:ascii="Arial" w:hAnsi="Arial" w:cs="Arial"/>
                <w:sz w:val="18"/>
                <w:szCs w:val="18"/>
              </w:rPr>
              <w:t xml:space="preserve"> Jours</w:t>
            </w:r>
            <w:r w:rsidR="000C03FE" w:rsidRPr="00011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BFE">
              <w:rPr>
                <w:rFonts w:ascii="Arial" w:hAnsi="Arial" w:cs="Arial"/>
                <w:sz w:val="18"/>
                <w:szCs w:val="18"/>
              </w:rPr>
              <w:t>de formation.</w:t>
            </w:r>
          </w:p>
        </w:tc>
      </w:tr>
      <w:tr w:rsidR="00082EC0" w:rsidRPr="00613199" w14:paraId="7ADD738B" w14:textId="77777777" w:rsidTr="007D7240">
        <w:tblPrEx>
          <w:tblCellMar>
            <w:left w:w="148" w:type="dxa"/>
            <w:right w:w="148" w:type="dxa"/>
          </w:tblCellMar>
        </w:tblPrEx>
        <w:trPr>
          <w:trHeight w:val="411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050D870" w14:textId="63849CBC" w:rsidR="00082EC0" w:rsidRPr="0015091B" w:rsidRDefault="00E34D04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082EC0"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ivrables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88C0625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F31">
              <w:rPr>
                <w:rFonts w:ascii="Arial" w:hAnsi="Arial" w:cs="Arial"/>
                <w:sz w:val="18"/>
                <w:szCs w:val="18"/>
              </w:rPr>
              <w:t>Programme de la formation et méthodologie</w:t>
            </w:r>
          </w:p>
          <w:p w14:paraId="0ED4A1E5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FAD">
              <w:rPr>
                <w:rFonts w:ascii="Arial" w:hAnsi="Arial" w:cs="Arial"/>
                <w:sz w:val="18"/>
                <w:szCs w:val="18"/>
              </w:rPr>
              <w:t>Les supports de formation</w:t>
            </w:r>
          </w:p>
          <w:p w14:paraId="0E53899D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fiches d’évaluation (Pré-Post Formation)</w:t>
            </w:r>
          </w:p>
          <w:p w14:paraId="35D30116" w14:textId="5AB900EB" w:rsidR="00082EC0" w:rsidRPr="006B0BE7" w:rsidRDefault="003E34A5" w:rsidP="003E34A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 rapport </w:t>
            </w:r>
            <w:r w:rsidR="007D7240">
              <w:rPr>
                <w:rFonts w:ascii="Arial" w:hAnsi="Arial" w:cs="Arial"/>
                <w:sz w:val="18"/>
                <w:szCs w:val="18"/>
              </w:rPr>
              <w:t xml:space="preserve">de formation </w:t>
            </w:r>
            <w:r w:rsidR="00082EC0">
              <w:rPr>
                <w:rFonts w:ascii="Arial" w:hAnsi="Arial" w:cs="Arial"/>
                <w:sz w:val="18"/>
                <w:szCs w:val="18"/>
              </w:rPr>
              <w:t>avec l’évaluation de satisfaction des participants</w:t>
            </w:r>
          </w:p>
        </w:tc>
      </w:tr>
      <w:tr w:rsidR="00082EC0" w:rsidRPr="00613199" w14:paraId="7B7C0822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CA6917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Suivi / monitoring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262591" w14:textId="4E2F9C28" w:rsidR="00082EC0" w:rsidRPr="00EB6D16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CB">
              <w:rPr>
                <w:rFonts w:ascii="Arial" w:hAnsi="Arial" w:cs="Arial"/>
                <w:color w:val="000000"/>
                <w:sz w:val="18"/>
                <w:szCs w:val="18"/>
              </w:rPr>
              <w:t>La supervision 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assurée par l’équipe de TAMSS</w:t>
            </w:r>
            <w:r w:rsidR="00A64B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82EC0" w:rsidRPr="00613199" w14:paraId="6775EF0F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0510619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Qualifications / Expérience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E9529F2" w14:textId="77777777" w:rsidR="006174B8" w:rsidRPr="006174B8" w:rsidRDefault="006174B8" w:rsidP="00082E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174B8">
              <w:rPr>
                <w:rFonts w:ascii="Arial" w:hAnsi="Arial" w:cs="Arial"/>
                <w:color w:val="000000"/>
                <w:sz w:val="18"/>
                <w:szCs w:val="18"/>
              </w:rPr>
              <w:t>Un minimum de 3 ans d’expérience en Tunisie dans le domaine de la gestion d’entreprise, de l’accompagnement, de l’ESS, ou domaine annexe ;</w:t>
            </w:r>
          </w:p>
          <w:p w14:paraId="1F63CFC4" w14:textId="1B4AB870" w:rsidR="00082EC0" w:rsidRPr="00881E78" w:rsidRDefault="00082EC0" w:rsidP="00C41CC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70A40">
              <w:rPr>
                <w:rFonts w:ascii="Arial" w:hAnsi="Arial" w:cs="Arial"/>
                <w:color w:val="000000"/>
                <w:sz w:val="18"/>
                <w:szCs w:val="18"/>
              </w:rPr>
              <w:t xml:space="preserve">Une expérience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qualifiante et </w:t>
            </w:r>
            <w:r w:rsidRPr="00670A40">
              <w:rPr>
                <w:rFonts w:ascii="Arial" w:hAnsi="Arial" w:cs="Arial"/>
                <w:color w:val="000000"/>
                <w:sz w:val="18"/>
                <w:szCs w:val="18"/>
              </w:rPr>
              <w:t>solide dans 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domaine de</w:t>
            </w:r>
            <w:r w:rsidR="00C41CCA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l’élaboration des plans d’affaires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264E25" w14:textId="77777777" w:rsidR="00082EC0" w:rsidRPr="00974C71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74C71">
              <w:rPr>
                <w:rFonts w:ascii="Arial" w:hAnsi="Arial" w:cs="Arial"/>
                <w:color w:val="000000"/>
                <w:sz w:val="18"/>
                <w:szCs w:val="18"/>
              </w:rPr>
              <w:t>ne énergie et une attitude positive et constructive</w:t>
            </w:r>
          </w:p>
          <w:p w14:paraId="70397622" w14:textId="0432A818" w:rsidR="006174B8" w:rsidRPr="00C41CCA" w:rsidRDefault="00082EC0" w:rsidP="00C41CC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52E">
              <w:rPr>
                <w:rFonts w:ascii="Arial" w:hAnsi="Arial" w:cs="Arial"/>
                <w:color w:val="000000"/>
                <w:sz w:val="18"/>
                <w:szCs w:val="18"/>
              </w:rPr>
              <w:t>Une expérience signifiante en termes de renforcement de capacités, en animation de formations basée sur les techniques interactives.</w:t>
            </w:r>
          </w:p>
        </w:tc>
      </w:tr>
      <w:tr w:rsidR="00082EC0" w:rsidRPr="00613199" w14:paraId="74370E44" w14:textId="77777777" w:rsidTr="0045481C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32610444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Soumission des candidatures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ED7B2B" w14:textId="77777777" w:rsidR="00082EC0" w:rsidRPr="00326D20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Le dossier de candidature doit comporter :</w:t>
            </w:r>
          </w:p>
          <w:p w14:paraId="079B11FE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technique avec l’approche méthodologique envisagée</w:t>
            </w:r>
          </w:p>
          <w:p w14:paraId="630DE9EE" w14:textId="0AA98CE5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financière</w:t>
            </w:r>
          </w:p>
          <w:p w14:paraId="258EEE15" w14:textId="718B1279" w:rsidR="00A63C25" w:rsidRPr="00326D20" w:rsidRDefault="00A63C25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de Formation</w:t>
            </w:r>
          </w:p>
          <w:p w14:paraId="27D43331" w14:textId="77777777" w:rsidR="00082EC0" w:rsidRPr="00326D2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Un curriculum vitae détaillé</w:t>
            </w:r>
          </w:p>
          <w:p w14:paraId="12BCAF94" w14:textId="43CBC46C" w:rsidR="00082EC0" w:rsidRPr="00326D20" w:rsidRDefault="00082EC0" w:rsidP="000A495D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DCF">
              <w:rPr>
                <w:rFonts w:ascii="Arial" w:hAnsi="Arial" w:cs="Arial"/>
                <w:color w:val="000000"/>
                <w:sz w:val="18"/>
                <w:szCs w:val="18"/>
              </w:rPr>
              <w:t xml:space="preserve">Date </w:t>
            </w:r>
            <w:r w:rsidR="003D4735" w:rsidRPr="00011DCF">
              <w:rPr>
                <w:rFonts w:ascii="Arial" w:hAnsi="Arial" w:cs="Arial"/>
                <w:color w:val="000000"/>
                <w:sz w:val="18"/>
                <w:szCs w:val="18"/>
              </w:rPr>
              <w:t>limite d’envoi des candidatures</w:t>
            </w:r>
            <w:r w:rsidR="00011D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11DC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7D7240"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="0053611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  <w:r w:rsidR="007D7240"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F07BFE"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</w:t>
            </w:r>
            <w:r w:rsid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</w:t>
            </w:r>
            <w:r w:rsidR="007D7240"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tobre</w:t>
            </w:r>
            <w:r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202</w:t>
            </w:r>
            <w:r w:rsidR="007D7240"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Pr="00F07B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  <w:p w14:paraId="6BA86CE5" w14:textId="77777777" w:rsidR="00082EC0" w:rsidRPr="008E16AD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Veuillez transmettre votre demande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 l’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suivante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32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F30">
              <w:rPr>
                <w:rFonts w:ascii="Arial" w:hAnsi="Arial" w:cs="Arial"/>
                <w:color w:val="2E74B5" w:themeColor="accent5" w:themeShade="BF"/>
                <w:sz w:val="20"/>
                <w:szCs w:val="20"/>
                <w:u w:val="single"/>
                <w:shd w:val="clear" w:color="auto" w:fill="FFFFFF"/>
              </w:rPr>
              <w:t>recrutement.tamss@gmail.com</w:t>
            </w:r>
          </w:p>
          <w:p w14:paraId="37668CDF" w14:textId="247009A5" w:rsidR="00082EC0" w:rsidRPr="00613199" w:rsidRDefault="00082EC0" w:rsidP="00A91A0B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Avec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objet « Candidature</w:t>
            </w:r>
            <w:r w:rsidR="00F827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2709">
              <w:rPr>
                <w:rFonts w:ascii="Arial" w:hAnsi="Arial" w:cs="Arial"/>
                <w:sz w:val="18"/>
                <w:szCs w:val="18"/>
              </w:rPr>
              <w:t>E</w:t>
            </w:r>
            <w:r w:rsidR="00F82709" w:rsidRPr="003E34A5">
              <w:rPr>
                <w:rFonts w:ascii="Arial" w:hAnsi="Arial" w:cs="Arial"/>
                <w:sz w:val="18"/>
                <w:szCs w:val="18"/>
              </w:rPr>
              <w:t>xpert(e) en</w:t>
            </w:r>
            <w:r w:rsidR="00A91A0B">
              <w:rPr>
                <w:rFonts w:ascii="Arial" w:hAnsi="Arial" w:cs="Arial"/>
                <w:sz w:val="18"/>
                <w:szCs w:val="18"/>
              </w:rPr>
              <w:t xml:space="preserve"> Gestion d’entreprise</w:t>
            </w:r>
            <w:r w:rsidR="00B8543C">
              <w:rPr>
                <w:rFonts w:ascii="Arial" w:hAnsi="Arial" w:cs="Arial"/>
                <w:sz w:val="18"/>
                <w:szCs w:val="18"/>
              </w:rPr>
              <w:t> »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F2B3CF0" w14:textId="77777777" w:rsidR="00082EC0" w:rsidRPr="00E52499" w:rsidRDefault="00082EC0" w:rsidP="00082EC0">
      <w:pPr>
        <w:rPr>
          <w:sz w:val="16"/>
          <w:szCs w:val="16"/>
        </w:rPr>
      </w:pPr>
    </w:p>
    <w:p w14:paraId="38CDB54E" w14:textId="77777777" w:rsidR="00082EC0" w:rsidRPr="00E52499" w:rsidRDefault="00082EC0" w:rsidP="00082EC0">
      <w:pPr>
        <w:rPr>
          <w:sz w:val="16"/>
          <w:szCs w:val="16"/>
        </w:rPr>
      </w:pPr>
    </w:p>
    <w:p w14:paraId="46B13D63" w14:textId="77777777" w:rsidR="00082EC0" w:rsidRPr="00185377" w:rsidRDefault="00082EC0" w:rsidP="00082EC0">
      <w:pPr>
        <w:rPr>
          <w:sz w:val="16"/>
          <w:szCs w:val="16"/>
        </w:rPr>
      </w:pPr>
    </w:p>
    <w:p w14:paraId="188CE6D1" w14:textId="77777777" w:rsidR="00082EC0" w:rsidRPr="00B33075" w:rsidRDefault="00082EC0" w:rsidP="00082EC0"/>
    <w:p w14:paraId="653F37B0" w14:textId="11C411D2" w:rsidR="00600252" w:rsidRPr="006F1DDE" w:rsidRDefault="00600252" w:rsidP="006F1DDE">
      <w:pPr>
        <w:rPr>
          <w:rFonts w:ascii="Calibri" w:hAnsi="Calibri" w:cs="Calibri"/>
          <w:sz w:val="28"/>
          <w:szCs w:val="28"/>
          <w:lang w:eastAsia="it-IT"/>
        </w:rPr>
      </w:pPr>
    </w:p>
    <w:sectPr w:rsidR="00600252" w:rsidRPr="006F1DDE" w:rsidSect="00F827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094F" w14:textId="77777777" w:rsidR="00035C6C" w:rsidRDefault="00035C6C" w:rsidP="00600252">
      <w:pPr>
        <w:spacing w:after="0" w:line="240" w:lineRule="auto"/>
      </w:pPr>
      <w:r>
        <w:separator/>
      </w:r>
    </w:p>
  </w:endnote>
  <w:endnote w:type="continuationSeparator" w:id="0">
    <w:p w14:paraId="66FB8E4F" w14:textId="77777777" w:rsidR="00035C6C" w:rsidRDefault="00035C6C" w:rsidP="006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3DF" w14:textId="77777777" w:rsidR="00035C6C" w:rsidRDefault="00035C6C" w:rsidP="00600252">
      <w:pPr>
        <w:spacing w:after="0" w:line="240" w:lineRule="auto"/>
      </w:pPr>
      <w:r>
        <w:separator/>
      </w:r>
    </w:p>
  </w:footnote>
  <w:footnote w:type="continuationSeparator" w:id="0">
    <w:p w14:paraId="41F7D019" w14:textId="77777777" w:rsidR="00035C6C" w:rsidRDefault="00035C6C" w:rsidP="006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4849" w14:textId="4C4BF77C" w:rsidR="00F82709" w:rsidRDefault="00A659FD">
    <w:pPr>
      <w:pStyle w:val="En-tte"/>
    </w:pPr>
    <w:r w:rsidRPr="00A659FD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DC47F19" wp14:editId="14DDAB30">
          <wp:simplePos x="0" y="0"/>
          <wp:positionH relativeFrom="margin">
            <wp:posOffset>1838960</wp:posOffset>
          </wp:positionH>
          <wp:positionV relativeFrom="margin">
            <wp:posOffset>-767715</wp:posOffset>
          </wp:positionV>
          <wp:extent cx="1769745" cy="666750"/>
          <wp:effectExtent l="0" t="0" r="1905" b="0"/>
          <wp:wrapSquare wrapText="bothSides"/>
          <wp:docPr id="4" name="Image 4" descr="C:\Users\Wissal Sakri\Desktop\Projet LEAD\Communications\logo_spark_cobalt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ssal Sakri\Desktop\Projet LEAD\Communications\logo_spark_cobalt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9" t="29467" r="11696" b="30540"/>
                  <a:stretch/>
                </pic:blipFill>
                <pic:spPr bwMode="auto">
                  <a:xfrm>
                    <a:off x="0" y="0"/>
                    <a:ext cx="1769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659FD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02A2F4D" wp14:editId="2030729A">
          <wp:simplePos x="0" y="0"/>
          <wp:positionH relativeFrom="margin">
            <wp:posOffset>4338955</wp:posOffset>
          </wp:positionH>
          <wp:positionV relativeFrom="margin">
            <wp:posOffset>-814070</wp:posOffset>
          </wp:positionV>
          <wp:extent cx="2578100" cy="812165"/>
          <wp:effectExtent l="0" t="0" r="0" b="0"/>
          <wp:wrapSquare wrapText="bothSides"/>
          <wp:docPr id="5" name="Image 5" descr="C:\Users\Wissal Sakri\Desktop\Projet LEAD\Communications\Donor - NLMF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ssal Sakri\Desktop\Projet LEAD\Communications\Donor - NLMFA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86" b="17766"/>
                  <a:stretch/>
                </pic:blipFill>
                <pic:spPr bwMode="auto">
                  <a:xfrm>
                    <a:off x="0" y="0"/>
                    <a:ext cx="25781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7F3">
      <w:rPr>
        <w:rFonts w:cs="Calibr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62747AAA" wp14:editId="7CF40857">
          <wp:simplePos x="0" y="0"/>
          <wp:positionH relativeFrom="margin">
            <wp:posOffset>-737870</wp:posOffset>
          </wp:positionH>
          <wp:positionV relativeFrom="margin">
            <wp:posOffset>-766445</wp:posOffset>
          </wp:positionV>
          <wp:extent cx="1776730" cy="6572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A20"/>
    <w:multiLevelType w:val="multilevel"/>
    <w:tmpl w:val="87F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C5095"/>
    <w:multiLevelType w:val="hybridMultilevel"/>
    <w:tmpl w:val="82AA47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0F50"/>
    <w:multiLevelType w:val="hybridMultilevel"/>
    <w:tmpl w:val="E27EC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5574">
    <w:abstractNumId w:val="2"/>
  </w:num>
  <w:num w:numId="2" w16cid:durableId="1451586891">
    <w:abstractNumId w:val="0"/>
  </w:num>
  <w:num w:numId="3" w16cid:durableId="214102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8"/>
    <w:rsid w:val="00011DCF"/>
    <w:rsid w:val="00035C6C"/>
    <w:rsid w:val="00053D2A"/>
    <w:rsid w:val="00075250"/>
    <w:rsid w:val="00082EC0"/>
    <w:rsid w:val="000A495D"/>
    <w:rsid w:val="000C03FE"/>
    <w:rsid w:val="000C6936"/>
    <w:rsid w:val="000F42A2"/>
    <w:rsid w:val="00120E8C"/>
    <w:rsid w:val="00121D02"/>
    <w:rsid w:val="00151157"/>
    <w:rsid w:val="001A0577"/>
    <w:rsid w:val="00202D0D"/>
    <w:rsid w:val="002110CF"/>
    <w:rsid w:val="00284DDF"/>
    <w:rsid w:val="002A3F30"/>
    <w:rsid w:val="002A43C3"/>
    <w:rsid w:val="002B2A48"/>
    <w:rsid w:val="002C0660"/>
    <w:rsid w:val="00304670"/>
    <w:rsid w:val="003424C6"/>
    <w:rsid w:val="003D4735"/>
    <w:rsid w:val="003E34A5"/>
    <w:rsid w:val="0045481C"/>
    <w:rsid w:val="00536112"/>
    <w:rsid w:val="00556543"/>
    <w:rsid w:val="005917FC"/>
    <w:rsid w:val="005B4835"/>
    <w:rsid w:val="005C64E3"/>
    <w:rsid w:val="00600252"/>
    <w:rsid w:val="006174B8"/>
    <w:rsid w:val="00692974"/>
    <w:rsid w:val="006F1DDE"/>
    <w:rsid w:val="00765D15"/>
    <w:rsid w:val="007870DC"/>
    <w:rsid w:val="007B44B3"/>
    <w:rsid w:val="007D34B2"/>
    <w:rsid w:val="007D7240"/>
    <w:rsid w:val="00845625"/>
    <w:rsid w:val="0088300B"/>
    <w:rsid w:val="008974E7"/>
    <w:rsid w:val="00A63C25"/>
    <w:rsid w:val="00A64BA0"/>
    <w:rsid w:val="00A659FD"/>
    <w:rsid w:val="00A91A0B"/>
    <w:rsid w:val="00AA7E17"/>
    <w:rsid w:val="00B01EEC"/>
    <w:rsid w:val="00B8543C"/>
    <w:rsid w:val="00B96195"/>
    <w:rsid w:val="00BD1B4E"/>
    <w:rsid w:val="00C23512"/>
    <w:rsid w:val="00C41CCA"/>
    <w:rsid w:val="00C47003"/>
    <w:rsid w:val="00C511CB"/>
    <w:rsid w:val="00CA71B7"/>
    <w:rsid w:val="00D91849"/>
    <w:rsid w:val="00DA716E"/>
    <w:rsid w:val="00DB7472"/>
    <w:rsid w:val="00DE06EA"/>
    <w:rsid w:val="00E02936"/>
    <w:rsid w:val="00E071C7"/>
    <w:rsid w:val="00E34D04"/>
    <w:rsid w:val="00E92436"/>
    <w:rsid w:val="00F07BFE"/>
    <w:rsid w:val="00F31B80"/>
    <w:rsid w:val="00F82709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67379"/>
  <w15:chartTrackingRefBased/>
  <w15:docId w15:val="{05CE9268-8EDB-477D-85AC-BB73145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52"/>
  </w:style>
  <w:style w:type="paragraph" w:styleId="Pieddepage">
    <w:name w:val="footer"/>
    <w:basedOn w:val="Normal"/>
    <w:link w:val="Pieddepag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52"/>
  </w:style>
  <w:style w:type="character" w:styleId="Lienhypertexte">
    <w:name w:val="Hyperlink"/>
    <w:uiPriority w:val="99"/>
    <w:unhideWhenUsed/>
    <w:rsid w:val="0060025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00252"/>
    <w:pPr>
      <w:spacing w:after="0" w:line="240" w:lineRule="auto"/>
      <w:jc w:val="both"/>
    </w:pPr>
    <w:rPr>
      <w:rFonts w:ascii="Arial" w:eastAsia="SimSun" w:hAnsi="Arial" w:cs="Times New Roman"/>
      <w:snapToGrid w:val="0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00252"/>
    <w:rPr>
      <w:rFonts w:ascii="Arial" w:eastAsia="SimSun" w:hAnsi="Arial" w:cs="Times New Roman"/>
      <w:snapToGrid w:val="0"/>
      <w:color w:val="000000"/>
      <w:sz w:val="20"/>
      <w:szCs w:val="20"/>
      <w:lang w:val="fr-FR"/>
    </w:rPr>
  </w:style>
  <w:style w:type="paragraph" w:styleId="Sansinterligne">
    <w:name w:val="No Spacing"/>
    <w:uiPriority w:val="1"/>
    <w:qFormat/>
    <w:rsid w:val="007D3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Yedder</dc:creator>
  <cp:keywords/>
  <dc:description/>
  <cp:lastModifiedBy>Wissal Sakri</cp:lastModifiedBy>
  <cp:revision>4</cp:revision>
  <dcterms:created xsi:type="dcterms:W3CDTF">2022-10-17T09:24:00Z</dcterms:created>
  <dcterms:modified xsi:type="dcterms:W3CDTF">2022-10-18T09:47:00Z</dcterms:modified>
</cp:coreProperties>
</file>