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3730" w14:textId="77777777" w:rsidR="00C73BDE" w:rsidRDefault="00C73BDE" w:rsidP="00C73BDE">
      <w:pPr>
        <w:jc w:val="right"/>
        <w:rPr>
          <w:lang w:val="fr-FR"/>
        </w:rPr>
      </w:pPr>
      <w:r>
        <w:rPr>
          <w:lang w:val="fr-FR"/>
        </w:rPr>
        <w:t>RFQ /TUN/2021/013</w:t>
      </w:r>
    </w:p>
    <w:p w14:paraId="6EDA0B85" w14:textId="77777777" w:rsidR="00C73BDE" w:rsidRPr="00B7585B" w:rsidRDefault="00C73BDE" w:rsidP="00C73BDE">
      <w:pPr>
        <w:jc w:val="center"/>
        <w:rPr>
          <w:sz w:val="32"/>
          <w:szCs w:val="32"/>
          <w:lang w:val="fr-FR"/>
        </w:rPr>
      </w:pPr>
      <w:r w:rsidRPr="00B7585B">
        <w:rPr>
          <w:sz w:val="32"/>
          <w:szCs w:val="32"/>
          <w:lang w:val="fr-FR"/>
        </w:rPr>
        <w:t>Annex A : Caractéristiques techniques</w:t>
      </w:r>
    </w:p>
    <w:p w14:paraId="3DF8DA6A" w14:textId="77777777" w:rsidR="00C73BDE" w:rsidRDefault="00C73BDE" w:rsidP="00C73BDE">
      <w:pPr>
        <w:rPr>
          <w:lang w:val="fr-FR"/>
        </w:rPr>
      </w:pPr>
    </w:p>
    <w:p w14:paraId="0EDFD9F8" w14:textId="77777777" w:rsidR="00C73BDE" w:rsidRPr="00E869A5" w:rsidRDefault="00C73BDE" w:rsidP="00C73BDE">
      <w:pPr>
        <w:rPr>
          <w:b/>
          <w:bCs/>
          <w:lang w:val="fr-FR"/>
        </w:rPr>
      </w:pPr>
      <w:r w:rsidRPr="00E869A5">
        <w:rPr>
          <w:b/>
          <w:bCs/>
          <w:lang w:val="fr-FR"/>
        </w:rPr>
        <w:t>Fourniture de l’eau :</w:t>
      </w:r>
    </w:p>
    <w:p w14:paraId="3CB9C12E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>Eau minérale conditionnées dans des</w:t>
      </w:r>
      <w:r>
        <w:rPr>
          <w:lang w:val="fr-FR"/>
        </w:rPr>
        <w:t xml:space="preserve"> bombonnes</w:t>
      </w:r>
      <w:r w:rsidRPr="00B11F42">
        <w:rPr>
          <w:lang w:val="fr-FR"/>
        </w:rPr>
        <w:t xml:space="preserve"> rechargeable</w:t>
      </w:r>
      <w:r>
        <w:rPr>
          <w:lang w:val="fr-FR"/>
        </w:rPr>
        <w:t>s</w:t>
      </w:r>
      <w:r w:rsidRPr="00B11F42">
        <w:rPr>
          <w:lang w:val="fr-FR"/>
        </w:rPr>
        <w:t xml:space="preserve"> de 19 litre</w:t>
      </w:r>
      <w:r>
        <w:rPr>
          <w:lang w:val="fr-FR"/>
        </w:rPr>
        <w:t>s</w:t>
      </w:r>
    </w:p>
    <w:p w14:paraId="3D34E37E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 xml:space="preserve">La société garantit que l’eau minérale est mise en bouteille et manipulée et/ou stockée selon les règles strictes d’hygiènes. L’eau livrée doit être exempte de résidus (particules) ou contaminations. Elle doit être claire sans sédiment de couleur transparente. </w:t>
      </w:r>
    </w:p>
    <w:p w14:paraId="31083430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 xml:space="preserve">L’eau doit répondre aux normes de paramètres physique et chimique fixée par l’office national de thermalisme et d’hydrothérapie. </w:t>
      </w:r>
    </w:p>
    <w:p w14:paraId="22C6DFFE" w14:textId="77777777" w:rsidR="00C73BDE" w:rsidRDefault="00C73BDE" w:rsidP="00C73BDE">
      <w:pPr>
        <w:rPr>
          <w:lang w:val="fr-FR"/>
        </w:rPr>
      </w:pPr>
      <w:r w:rsidRPr="00B11F42">
        <w:rPr>
          <w:lang w:val="fr-FR"/>
        </w:rPr>
        <w:t xml:space="preserve">Le traitement des bombonnes doit suivre un traitement de désinfection avant la phase de remplissage conformément aux normes d’hygiène établie par l’office National du thermalisme et de l’hydrothérapie.  </w:t>
      </w:r>
    </w:p>
    <w:p w14:paraId="428BE2D9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Les bonbonnes d’eau doivent être scellée convenablement et ne présentent pas de fuites. </w:t>
      </w:r>
    </w:p>
    <w:p w14:paraId="0B8A74EE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La livraison des commandes doit être fournies par le fournisseur sélectionné. </w:t>
      </w:r>
    </w:p>
    <w:p w14:paraId="59B4769F" w14:textId="0904D17B" w:rsidR="00C73BDE" w:rsidRDefault="00C73BDE" w:rsidP="00C73BDE">
      <w:pPr>
        <w:rPr>
          <w:lang w:val="fr-FR"/>
        </w:rPr>
      </w:pPr>
      <w:r>
        <w:rPr>
          <w:lang w:val="fr-FR"/>
        </w:rPr>
        <w:t>Le fournisseur récupères les bombonnes vides pour c</w:t>
      </w:r>
      <w:r>
        <w:rPr>
          <w:lang w:val="fr-FR"/>
        </w:rPr>
        <w:t>h</w:t>
      </w:r>
      <w:r>
        <w:rPr>
          <w:lang w:val="fr-FR"/>
        </w:rPr>
        <w:t xml:space="preserve">aque bouteille d’eau livrée. </w:t>
      </w:r>
    </w:p>
    <w:p w14:paraId="7B379962" w14:textId="77777777" w:rsidR="00C73BDE" w:rsidRDefault="00C73BDE" w:rsidP="00C73BDE">
      <w:pPr>
        <w:rPr>
          <w:lang w:val="fr-FR"/>
        </w:rPr>
      </w:pPr>
    </w:p>
    <w:p w14:paraId="1F044CD3" w14:textId="77777777" w:rsidR="00C73BDE" w:rsidRPr="00E869A5" w:rsidRDefault="00C73BDE" w:rsidP="00C73BDE">
      <w:pPr>
        <w:rPr>
          <w:b/>
          <w:bCs/>
          <w:lang w:val="fr-FR"/>
        </w:rPr>
      </w:pPr>
      <w:r w:rsidRPr="00E869A5">
        <w:rPr>
          <w:b/>
          <w:bCs/>
          <w:lang w:val="fr-FR"/>
        </w:rPr>
        <w:t xml:space="preserve">Service annexe (optionnel) : </w:t>
      </w:r>
    </w:p>
    <w:p w14:paraId="0303F6D3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Un nettoyage rigoureux des fontaines à eaux présentes aux locaux du UNHCR une fois par mois. </w:t>
      </w:r>
    </w:p>
    <w:p w14:paraId="4A20AAA8" w14:textId="77777777" w:rsidR="00C73BDE" w:rsidRDefault="00C73BDE" w:rsidP="00C73BDE">
      <w:pPr>
        <w:rPr>
          <w:lang w:val="fr-FR"/>
        </w:rPr>
      </w:pPr>
      <w:r>
        <w:rPr>
          <w:lang w:val="fr-FR"/>
        </w:rPr>
        <w:t>Maintenance préventive et réparation des fontaines à eau présentes aux locaux de UNHCR. Le prix des pièces et matériel nécessaires à la réparation seront remboursé par L’UNHCR suite à la présentation de facture détaillant l’intervention de maintenance.</w:t>
      </w:r>
    </w:p>
    <w:p w14:paraId="623FDD1A" w14:textId="77777777" w:rsidR="00C73BDE" w:rsidRDefault="00C73BDE" w:rsidP="00C73BDE">
      <w:pPr>
        <w:rPr>
          <w:lang w:val="fr-FR"/>
        </w:rPr>
      </w:pPr>
    </w:p>
    <w:p w14:paraId="471218C5" w14:textId="77777777" w:rsidR="00C73BDE" w:rsidRDefault="00C73BDE" w:rsidP="00C73BDE">
      <w:pPr>
        <w:rPr>
          <w:lang w:val="fr-FR"/>
        </w:rPr>
      </w:pPr>
    </w:p>
    <w:p w14:paraId="1C4D0DBE" w14:textId="77777777" w:rsidR="00C73BDE" w:rsidRPr="00B11F42" w:rsidRDefault="00C73BDE" w:rsidP="00C73BDE">
      <w:pPr>
        <w:rPr>
          <w:lang w:val="fr-FR"/>
        </w:rPr>
      </w:pPr>
    </w:p>
    <w:p w14:paraId="31B314D4" w14:textId="77777777" w:rsidR="00024202" w:rsidRPr="00C73BDE" w:rsidRDefault="00024202">
      <w:pPr>
        <w:rPr>
          <w:lang w:val="fr-FR"/>
        </w:rPr>
      </w:pPr>
    </w:p>
    <w:sectPr w:rsidR="00024202" w:rsidRPr="00C73BD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F323" w14:textId="77777777" w:rsidR="00B7585B" w:rsidRDefault="00C73BDE">
    <w:pPr>
      <w:pStyle w:val="Header"/>
    </w:pPr>
    <w:r>
      <w:rPr>
        <w:noProof/>
      </w:rPr>
      <w:drawing>
        <wp:inline distT="0" distB="0" distL="0" distR="0" wp14:anchorId="1F3B867A" wp14:editId="49A2BC01">
          <wp:extent cx="2532017" cy="623751"/>
          <wp:effectExtent l="0" t="0" r="1905" b="5080"/>
          <wp:docPr id="2" name="Picture 4" descr="Képtalálat a következőre: „unhcr logo”">
            <a:extLst xmlns:a="http://schemas.openxmlformats.org/drawingml/2006/main">
              <a:ext uri="{FF2B5EF4-FFF2-40B4-BE49-F238E27FC236}">
                <a16:creationId xmlns:a16="http://schemas.microsoft.com/office/drawing/2014/main" id="{9459B5DD-7EA1-43EC-B81A-B6D0F025E3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Képtalálat a következőre: „unhcr logo”">
                    <a:extLst>
                      <a:ext uri="{FF2B5EF4-FFF2-40B4-BE49-F238E27FC236}">
                        <a16:creationId xmlns:a16="http://schemas.microsoft.com/office/drawing/2014/main" id="{9459B5DD-7EA1-43EC-B81A-B6D0F025E3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 t="39494" r="10596" b="23103"/>
                  <a:stretch>
                    <a:fillRect/>
                  </a:stretch>
                </pic:blipFill>
                <pic:spPr bwMode="auto">
                  <a:xfrm>
                    <a:off x="0" y="0"/>
                    <a:ext cx="2532017" cy="62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1"/>
    <w:rsid w:val="00024202"/>
    <w:rsid w:val="00323E41"/>
    <w:rsid w:val="00C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0E6"/>
  <w15:chartTrackingRefBased/>
  <w15:docId w15:val="{398F1966-01CB-44E4-ACE5-D03DE91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E85E776A61419CE7AB37B8D0773D" ma:contentTypeVersion="8" ma:contentTypeDescription="Create a new document." ma:contentTypeScope="" ma:versionID="519fa3ca8ba76d61825966f685e44e82">
  <xsd:schema xmlns:xsd="http://www.w3.org/2001/XMLSchema" xmlns:xs="http://www.w3.org/2001/XMLSchema" xmlns:p="http://schemas.microsoft.com/office/2006/metadata/properties" xmlns:ns2="cb56766b-7df8-4ee6-a070-440e146a1d73" targetNamespace="http://schemas.microsoft.com/office/2006/metadata/properties" ma:root="true" ma:fieldsID="5921f01e0af81cc453a3e6e931cd32ca" ns2:_="">
    <xsd:import namespace="cb56766b-7df8-4ee6-a070-440e146a1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766b-7df8-4ee6-a070-440e146a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457F8-5ABF-4859-936C-7A88B38FE425}"/>
</file>

<file path=customXml/itemProps2.xml><?xml version="1.0" encoding="utf-8"?>
<ds:datastoreItem xmlns:ds="http://schemas.openxmlformats.org/officeDocument/2006/customXml" ds:itemID="{E6599D20-2287-460A-9D82-34BDB691285A}"/>
</file>

<file path=customXml/itemProps3.xml><?xml version="1.0" encoding="utf-8"?>
<ds:datastoreItem xmlns:ds="http://schemas.openxmlformats.org/officeDocument/2006/customXml" ds:itemID="{1D1BE03E-71A3-4C49-A4DB-5CFDB465C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Gharbi</dc:creator>
  <cp:keywords/>
  <dc:description/>
  <cp:lastModifiedBy>Nour Gharbi</cp:lastModifiedBy>
  <cp:revision>2</cp:revision>
  <dcterms:created xsi:type="dcterms:W3CDTF">2021-10-26T18:36:00Z</dcterms:created>
  <dcterms:modified xsi:type="dcterms:W3CDTF">2021-10-26T18:36:00Z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0x0101002645E85E776A61419CE7AB37B8D0773D</vt:lpwstr>
  </property>
</Properties>
</file>